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F8" w:rsidRPr="009E038F" w:rsidRDefault="00627FF8" w:rsidP="00727018">
      <w:pPr>
        <w:spacing w:after="0" w:line="240" w:lineRule="auto"/>
        <w:ind w:left="-142"/>
        <w:jc w:val="both"/>
        <w:rPr>
          <w:rFonts w:ascii="Arial" w:hAnsi="Arial" w:cs="Arial"/>
          <w:b/>
          <w:sz w:val="20"/>
          <w:szCs w:val="20"/>
        </w:rPr>
      </w:pPr>
      <w:bookmarkStart w:id="1" w:name="_GoBack"/>
      <w:bookmarkEnd w:id="1"/>
      <w:r w:rsidRPr="009E038F">
        <w:rPr>
          <w:rFonts w:ascii="Arial" w:hAnsi="Arial" w:cs="Arial"/>
          <w:b/>
          <w:sz w:val="20"/>
          <w:szCs w:val="20"/>
        </w:rPr>
        <w:t>Respuesta al cuestionario de consulta del Comité Asesor del Consejo de Derechos Humanos de Naciones Unidas, sobre los niveles actuales de representación de la mujer en los órganos y mecanismos de derechos humanos.</w:t>
      </w:r>
    </w:p>
    <w:p w:rsidR="009C5A17" w:rsidRPr="009E038F" w:rsidRDefault="009C5A17" w:rsidP="00521CA3">
      <w:pPr>
        <w:spacing w:after="0" w:line="240" w:lineRule="auto"/>
        <w:ind w:left="-142"/>
        <w:jc w:val="both"/>
        <w:rPr>
          <w:rFonts w:ascii="Arial" w:hAnsi="Arial" w:cs="Arial"/>
          <w:b/>
          <w:sz w:val="20"/>
          <w:szCs w:val="2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8"/>
      </w:tblGrid>
      <w:tr w:rsidR="00627FF8" w:rsidRPr="009E038F" w:rsidTr="00627FF8">
        <w:trPr>
          <w:trHeight w:val="231"/>
        </w:trPr>
        <w:tc>
          <w:tcPr>
            <w:tcW w:w="8880" w:type="dxa"/>
          </w:tcPr>
          <w:p w:rsidR="00627FF8" w:rsidRPr="009E038F" w:rsidRDefault="00627FF8" w:rsidP="00521CA3">
            <w:pPr>
              <w:pStyle w:val="SingleTxtG"/>
              <w:tabs>
                <w:tab w:val="right" w:pos="1134"/>
              </w:tabs>
              <w:spacing w:after="0" w:line="240" w:lineRule="auto"/>
              <w:ind w:left="0" w:right="-1"/>
              <w:rPr>
                <w:rFonts w:ascii="Arial" w:hAnsi="Arial" w:cs="Arial"/>
                <w:b/>
                <w:lang w:val="es-PE"/>
              </w:rPr>
            </w:pPr>
            <w:bookmarkStart w:id="2" w:name="_Hlk30150612"/>
            <w:r w:rsidRPr="009E038F">
              <w:rPr>
                <w:rFonts w:ascii="Arial" w:hAnsi="Arial" w:cs="Arial"/>
                <w:b/>
                <w:lang w:val="es-PE"/>
              </w:rPr>
              <w:t xml:space="preserve">Bloque </w:t>
            </w:r>
            <w:r w:rsidR="00220A8E" w:rsidRPr="009E038F">
              <w:rPr>
                <w:rFonts w:ascii="Arial" w:hAnsi="Arial" w:cs="Arial"/>
                <w:b/>
                <w:lang w:val="es-PE"/>
              </w:rPr>
              <w:t>I</w:t>
            </w:r>
            <w:r w:rsidRPr="009E038F">
              <w:rPr>
                <w:rFonts w:ascii="Arial" w:hAnsi="Arial" w:cs="Arial"/>
                <w:b/>
                <w:lang w:val="es-PE"/>
              </w:rPr>
              <w:t xml:space="preserve">: Antecedentes </w:t>
            </w:r>
          </w:p>
        </w:tc>
      </w:tr>
      <w:bookmarkEnd w:id="2"/>
    </w:tbl>
    <w:p w:rsidR="001D6E01" w:rsidRPr="009E038F" w:rsidRDefault="001D6E01" w:rsidP="00521CA3">
      <w:pPr>
        <w:spacing w:after="0" w:line="240" w:lineRule="auto"/>
        <w:jc w:val="both"/>
        <w:rPr>
          <w:rFonts w:ascii="Arial" w:eastAsia="Arial" w:hAnsi="Arial" w:cs="Arial"/>
          <w:b/>
          <w:color w:val="000000"/>
          <w:sz w:val="20"/>
          <w:szCs w:val="20"/>
        </w:rPr>
      </w:pPr>
    </w:p>
    <w:p w:rsidR="005F1481" w:rsidRPr="009E038F" w:rsidRDefault="005F1481"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 xml:space="preserve">Mediante la </w:t>
      </w:r>
      <w:r w:rsidR="00E32E3C" w:rsidRPr="009E038F">
        <w:rPr>
          <w:rFonts w:ascii="Arial" w:eastAsia="Arial" w:hAnsi="Arial" w:cs="Arial"/>
          <w:sz w:val="20"/>
          <w:szCs w:val="20"/>
        </w:rPr>
        <w:t>resolución A/HRC/41/L.6/Rev.1</w:t>
      </w:r>
      <w:r w:rsidR="0041747D" w:rsidRPr="009E038F">
        <w:rPr>
          <w:rStyle w:val="FootnoteReference"/>
          <w:rFonts w:ascii="Arial" w:eastAsia="Arial" w:hAnsi="Arial" w:cs="Arial"/>
          <w:sz w:val="20"/>
          <w:szCs w:val="20"/>
        </w:rPr>
        <w:footnoteReference w:id="1"/>
      </w:r>
      <w:r w:rsidR="00E32E3C" w:rsidRPr="009E038F">
        <w:rPr>
          <w:rFonts w:ascii="Arial" w:eastAsia="Arial" w:hAnsi="Arial" w:cs="Arial"/>
          <w:sz w:val="20"/>
          <w:szCs w:val="20"/>
        </w:rPr>
        <w:t xml:space="preserve">, de fecha 10 de julio de 2019, </w:t>
      </w:r>
      <w:r w:rsidR="00627FF8" w:rsidRPr="009E038F">
        <w:rPr>
          <w:rFonts w:ascii="Arial" w:eastAsia="Arial" w:hAnsi="Arial" w:cs="Arial"/>
          <w:sz w:val="20"/>
          <w:szCs w:val="20"/>
        </w:rPr>
        <w:t>del Consejo</w:t>
      </w:r>
      <w:r w:rsidR="00E32E3C" w:rsidRPr="009E038F">
        <w:rPr>
          <w:rFonts w:ascii="Arial" w:eastAsia="Arial" w:hAnsi="Arial" w:cs="Arial"/>
          <w:sz w:val="20"/>
          <w:szCs w:val="20"/>
        </w:rPr>
        <w:t xml:space="preserve"> de Derech</w:t>
      </w:r>
      <w:r w:rsidRPr="009E038F">
        <w:rPr>
          <w:rFonts w:ascii="Arial" w:eastAsia="Arial" w:hAnsi="Arial" w:cs="Arial"/>
          <w:sz w:val="20"/>
          <w:szCs w:val="20"/>
        </w:rPr>
        <w:t xml:space="preserve">os Humanos </w:t>
      </w:r>
      <w:r w:rsidR="00E32E3C" w:rsidRPr="009E038F">
        <w:rPr>
          <w:rFonts w:ascii="Arial" w:eastAsia="Arial" w:hAnsi="Arial" w:cs="Arial"/>
          <w:sz w:val="20"/>
          <w:szCs w:val="20"/>
        </w:rPr>
        <w:t>de Naciones Unidas</w:t>
      </w:r>
      <w:r w:rsidRPr="009E038F">
        <w:rPr>
          <w:rFonts w:ascii="Arial" w:eastAsia="Arial" w:hAnsi="Arial" w:cs="Arial"/>
          <w:sz w:val="20"/>
          <w:szCs w:val="20"/>
        </w:rPr>
        <w:t xml:space="preserve"> en el </w:t>
      </w:r>
      <w:r w:rsidR="00E32E3C" w:rsidRPr="009E038F">
        <w:rPr>
          <w:rFonts w:ascii="Arial" w:eastAsia="Arial" w:hAnsi="Arial" w:cs="Arial"/>
          <w:sz w:val="20"/>
          <w:szCs w:val="20"/>
        </w:rPr>
        <w:t>41° periodo de sesi</w:t>
      </w:r>
      <w:r w:rsidR="00073BBA" w:rsidRPr="009E038F">
        <w:rPr>
          <w:rFonts w:ascii="Arial" w:eastAsia="Arial" w:hAnsi="Arial" w:cs="Arial"/>
          <w:sz w:val="20"/>
          <w:szCs w:val="20"/>
        </w:rPr>
        <w:t xml:space="preserve">ones, </w:t>
      </w:r>
      <w:r w:rsidRPr="009E038F">
        <w:rPr>
          <w:rFonts w:ascii="Arial" w:eastAsia="Arial" w:hAnsi="Arial" w:cs="Arial"/>
          <w:sz w:val="20"/>
          <w:szCs w:val="20"/>
        </w:rPr>
        <w:t>se abordó</w:t>
      </w:r>
      <w:r w:rsidR="00073BBA" w:rsidRPr="009E038F">
        <w:rPr>
          <w:rFonts w:ascii="Arial" w:eastAsia="Arial" w:hAnsi="Arial" w:cs="Arial"/>
          <w:sz w:val="20"/>
          <w:szCs w:val="20"/>
        </w:rPr>
        <w:t xml:space="preserve"> como tema de agenda; </w:t>
      </w:r>
      <w:r w:rsidR="00073BBA" w:rsidRPr="009E038F">
        <w:rPr>
          <w:rFonts w:ascii="Arial" w:eastAsia="Arial" w:hAnsi="Arial" w:cs="Arial"/>
          <w:i/>
          <w:sz w:val="20"/>
          <w:szCs w:val="20"/>
        </w:rPr>
        <w:t>“La e</w:t>
      </w:r>
      <w:r w:rsidR="00E32E3C" w:rsidRPr="009E038F">
        <w:rPr>
          <w:rFonts w:ascii="Arial" w:eastAsia="Arial" w:hAnsi="Arial" w:cs="Arial"/>
          <w:i/>
          <w:sz w:val="20"/>
          <w:szCs w:val="20"/>
        </w:rPr>
        <w:t xml:space="preserve">liminación de todas las formas de discriminación </w:t>
      </w:r>
      <w:r w:rsidR="00E32E3C" w:rsidRPr="009E038F">
        <w:rPr>
          <w:rFonts w:ascii="Arial" w:eastAsia="Arial" w:hAnsi="Arial" w:cs="Arial"/>
          <w:sz w:val="20"/>
          <w:szCs w:val="20"/>
        </w:rPr>
        <w:t>contra las mujeres y las niñas</w:t>
      </w:r>
      <w:r w:rsidR="00073BBA" w:rsidRPr="009E038F">
        <w:rPr>
          <w:rFonts w:ascii="Arial" w:eastAsia="Arial" w:hAnsi="Arial" w:cs="Arial"/>
          <w:sz w:val="20"/>
          <w:szCs w:val="20"/>
        </w:rPr>
        <w:t>”</w:t>
      </w:r>
      <w:r w:rsidR="00E32E3C" w:rsidRPr="009E038F">
        <w:rPr>
          <w:rFonts w:ascii="Arial" w:eastAsia="Arial" w:hAnsi="Arial" w:cs="Arial"/>
          <w:sz w:val="20"/>
          <w:szCs w:val="20"/>
        </w:rPr>
        <w:t>.</w:t>
      </w:r>
    </w:p>
    <w:p w:rsidR="005F1481" w:rsidRPr="009E038F" w:rsidRDefault="005F1481" w:rsidP="00521CA3">
      <w:pPr>
        <w:pStyle w:val="ListParagraph"/>
        <w:tabs>
          <w:tab w:val="left" w:pos="709"/>
        </w:tabs>
        <w:spacing w:after="0" w:line="240" w:lineRule="auto"/>
        <w:ind w:left="0"/>
        <w:jc w:val="both"/>
        <w:rPr>
          <w:rFonts w:ascii="Arial" w:eastAsia="Arial" w:hAnsi="Arial" w:cs="Arial"/>
          <w:sz w:val="20"/>
          <w:szCs w:val="20"/>
        </w:rPr>
      </w:pPr>
    </w:p>
    <w:p w:rsidR="00934E92" w:rsidRPr="009E038F" w:rsidRDefault="006273EF"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Asimismo</w:t>
      </w:r>
      <w:r w:rsidR="00073BBA" w:rsidRPr="009E038F">
        <w:rPr>
          <w:rFonts w:ascii="Arial" w:eastAsia="Arial" w:hAnsi="Arial" w:cs="Arial"/>
          <w:sz w:val="20"/>
          <w:szCs w:val="20"/>
        </w:rPr>
        <w:t xml:space="preserve">, </w:t>
      </w:r>
      <w:r w:rsidR="009C5A17" w:rsidRPr="009E038F">
        <w:rPr>
          <w:rFonts w:ascii="Arial" w:eastAsia="Arial" w:hAnsi="Arial" w:cs="Arial"/>
          <w:sz w:val="20"/>
          <w:szCs w:val="20"/>
        </w:rPr>
        <w:t xml:space="preserve">el </w:t>
      </w:r>
      <w:r w:rsidR="005F1481" w:rsidRPr="009E038F">
        <w:rPr>
          <w:rFonts w:ascii="Arial" w:eastAsia="Arial" w:hAnsi="Arial" w:cs="Arial"/>
          <w:sz w:val="20"/>
          <w:szCs w:val="20"/>
        </w:rPr>
        <w:t>numeral 15 y 16 del referido documento, se exhorta a los Estados y se le solicita al Comité Asesor del Consejo de Derechos Humanos que prepare un informe, en estrecha cooperación con el Grupo de Trabajo y el Comité para la Eliminación de la Discriminación contra la Mujer, sobre el nivel actual de representación de la mujer en los órganos y mecanismos de derechos humanos.</w:t>
      </w:r>
    </w:p>
    <w:p w:rsidR="00934E92" w:rsidRPr="009E038F" w:rsidRDefault="00934E92" w:rsidP="00521CA3">
      <w:pPr>
        <w:pStyle w:val="ListParagraph"/>
        <w:tabs>
          <w:tab w:val="left" w:pos="709"/>
        </w:tabs>
        <w:spacing w:after="0" w:line="240" w:lineRule="auto"/>
        <w:ind w:left="0"/>
        <w:jc w:val="both"/>
        <w:rPr>
          <w:rFonts w:ascii="Arial" w:eastAsia="Arial" w:hAnsi="Arial" w:cs="Arial"/>
          <w:sz w:val="20"/>
          <w:szCs w:val="20"/>
        </w:rPr>
      </w:pPr>
    </w:p>
    <w:p w:rsidR="00073BBA" w:rsidRPr="009E038F" w:rsidRDefault="005F1481"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 xml:space="preserve">De igual manera, </w:t>
      </w:r>
      <w:r w:rsidR="00073BBA" w:rsidRPr="009E038F">
        <w:rPr>
          <w:rFonts w:ascii="Arial" w:eastAsia="Arial" w:hAnsi="Arial" w:cs="Arial"/>
          <w:sz w:val="20"/>
          <w:szCs w:val="20"/>
        </w:rPr>
        <w:t>se ha reconocido que la discriminación contra las mujeres y las niñas está inherentemente vinculada a estereotipos patriarcales y de género profundamente arraigados y a relaciones de poder desiguales, que las actitudes, los comportamientos, las normas, las percepciones, las costumbres y las prácticas nocivas de carácter discriminatorio, como la mutilación genital femenina y los matrimonios infantiles, precoces y forzados, tienen consecuencias negativas directas para la condición y el trato de las mujeres y las niñas, y que los entornos con prejuicios de género fomentan la impunidad y obstaculizan la aplicación de marcos legislativos y normativos que garanticen la igualdad de género y prohíban la discriminación contra las mujeres y niñas</w:t>
      </w:r>
      <w:r w:rsidR="009C5A17" w:rsidRPr="009E038F">
        <w:rPr>
          <w:rFonts w:ascii="Arial" w:hAnsi="Arial" w:cs="Arial"/>
          <w:sz w:val="20"/>
          <w:szCs w:val="20"/>
          <w:vertAlign w:val="superscript"/>
        </w:rPr>
        <w:footnoteReference w:id="2"/>
      </w:r>
      <w:r w:rsidR="00073BBA" w:rsidRPr="009E038F">
        <w:rPr>
          <w:rFonts w:ascii="Arial" w:eastAsia="Arial" w:hAnsi="Arial" w:cs="Arial"/>
          <w:sz w:val="20"/>
          <w:szCs w:val="20"/>
        </w:rPr>
        <w:t>.</w:t>
      </w:r>
    </w:p>
    <w:p w:rsidR="005F1481" w:rsidRPr="009E038F" w:rsidRDefault="005F1481" w:rsidP="00521CA3">
      <w:pPr>
        <w:pStyle w:val="ListParagraph"/>
        <w:tabs>
          <w:tab w:val="left" w:pos="709"/>
        </w:tabs>
        <w:spacing w:after="0" w:line="240" w:lineRule="auto"/>
        <w:ind w:left="0"/>
        <w:jc w:val="both"/>
        <w:rPr>
          <w:rFonts w:ascii="Arial" w:eastAsia="Arial" w:hAnsi="Arial" w:cs="Arial"/>
          <w:sz w:val="20"/>
          <w:szCs w:val="20"/>
        </w:rPr>
      </w:pPr>
    </w:p>
    <w:p w:rsidR="00627FF8" w:rsidRPr="009E038F" w:rsidRDefault="00073BBA"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En virtud de ello, s</w:t>
      </w:r>
      <w:r w:rsidR="00B915E8" w:rsidRPr="009E038F">
        <w:rPr>
          <w:rFonts w:ascii="Arial" w:eastAsia="Arial" w:hAnsi="Arial" w:cs="Arial"/>
          <w:sz w:val="20"/>
          <w:szCs w:val="20"/>
        </w:rPr>
        <w:t xml:space="preserve">e remite el presente informe en cumplimiento de la función de la Dirección de Asuntos Internacionales, Promoción y Adecuación Normativa contemplada en el artículo 87° inciso a) del Reglamento de Organización y Funciones del Ministerio de Justicia y Derechos </w:t>
      </w:r>
      <w:r w:rsidR="00B915E8" w:rsidRPr="009E038F">
        <w:rPr>
          <w:rFonts w:ascii="Arial" w:eastAsia="Arial" w:hAnsi="Arial" w:cs="Arial"/>
          <w:sz w:val="20"/>
          <w:szCs w:val="20"/>
        </w:rPr>
        <w:lastRenderedPageBreak/>
        <w:t>Humanos, y se eleva a la Dirección General de Derechos Humanos en concordancia con su función contenida el artículo 84 inciso g) del mencionado reglamento.</w:t>
      </w:r>
    </w:p>
    <w:p w:rsidR="00627FF8" w:rsidRPr="009E038F" w:rsidRDefault="00627FF8" w:rsidP="00521CA3">
      <w:pPr>
        <w:pStyle w:val="ListParagraph"/>
        <w:tabs>
          <w:tab w:val="left" w:pos="709"/>
        </w:tabs>
        <w:spacing w:after="0" w:line="240" w:lineRule="auto"/>
        <w:ind w:left="0"/>
        <w:jc w:val="both"/>
        <w:rPr>
          <w:rFonts w:ascii="Arial" w:eastAsia="Arial" w:hAnsi="Arial" w:cs="Arial"/>
          <w:sz w:val="20"/>
          <w:szCs w:val="2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8"/>
      </w:tblGrid>
      <w:tr w:rsidR="00627FF8" w:rsidRPr="009E038F" w:rsidTr="009773EA">
        <w:trPr>
          <w:trHeight w:val="231"/>
        </w:trPr>
        <w:tc>
          <w:tcPr>
            <w:tcW w:w="8880" w:type="dxa"/>
          </w:tcPr>
          <w:p w:rsidR="00627FF8" w:rsidRPr="009E038F" w:rsidRDefault="00627FF8" w:rsidP="00521CA3">
            <w:pPr>
              <w:pStyle w:val="ListParagraph"/>
              <w:tabs>
                <w:tab w:val="left" w:pos="709"/>
              </w:tabs>
              <w:spacing w:after="0" w:line="240" w:lineRule="auto"/>
              <w:ind w:left="0"/>
              <w:jc w:val="both"/>
              <w:rPr>
                <w:rFonts w:ascii="Arial" w:eastAsia="Arial" w:hAnsi="Arial" w:cs="Arial"/>
                <w:b/>
                <w:sz w:val="20"/>
                <w:szCs w:val="20"/>
              </w:rPr>
            </w:pPr>
            <w:bookmarkStart w:id="3" w:name="_Hlk30150666"/>
            <w:r w:rsidRPr="009E038F">
              <w:rPr>
                <w:rFonts w:ascii="Arial" w:eastAsia="Arial" w:hAnsi="Arial" w:cs="Arial"/>
                <w:b/>
                <w:sz w:val="20"/>
                <w:szCs w:val="20"/>
              </w:rPr>
              <w:t>Bloque I</w:t>
            </w:r>
            <w:r w:rsidR="00220A8E" w:rsidRPr="009E038F">
              <w:rPr>
                <w:rFonts w:ascii="Arial" w:eastAsia="Arial" w:hAnsi="Arial" w:cs="Arial"/>
                <w:b/>
                <w:sz w:val="20"/>
                <w:szCs w:val="20"/>
              </w:rPr>
              <w:t>I</w:t>
            </w:r>
            <w:r w:rsidRPr="009E038F">
              <w:rPr>
                <w:rFonts w:ascii="Arial" w:eastAsia="Arial" w:hAnsi="Arial" w:cs="Arial"/>
                <w:b/>
                <w:sz w:val="20"/>
                <w:szCs w:val="20"/>
              </w:rPr>
              <w:t xml:space="preserve">: Descripción del </w:t>
            </w:r>
            <w:r w:rsidR="00220A8E" w:rsidRPr="009E038F">
              <w:rPr>
                <w:rFonts w:ascii="Arial" w:eastAsia="Arial" w:hAnsi="Arial" w:cs="Arial"/>
                <w:b/>
                <w:sz w:val="20"/>
                <w:szCs w:val="20"/>
              </w:rPr>
              <w:t>c</w:t>
            </w:r>
            <w:r w:rsidRPr="009E038F">
              <w:rPr>
                <w:rFonts w:ascii="Arial" w:eastAsia="Arial" w:hAnsi="Arial" w:cs="Arial"/>
                <w:b/>
                <w:sz w:val="20"/>
                <w:szCs w:val="20"/>
              </w:rPr>
              <w:t>uestionario</w:t>
            </w:r>
          </w:p>
        </w:tc>
      </w:tr>
      <w:bookmarkEnd w:id="3"/>
    </w:tbl>
    <w:p w:rsidR="001900AD" w:rsidRPr="009E038F" w:rsidRDefault="001900AD" w:rsidP="00521CA3">
      <w:pPr>
        <w:pStyle w:val="ListParagraph"/>
        <w:tabs>
          <w:tab w:val="left" w:pos="709"/>
        </w:tabs>
        <w:spacing w:after="0" w:line="240" w:lineRule="auto"/>
        <w:ind w:left="0"/>
        <w:jc w:val="both"/>
        <w:rPr>
          <w:rFonts w:ascii="Arial" w:eastAsia="Arial" w:hAnsi="Arial" w:cs="Arial"/>
          <w:sz w:val="20"/>
          <w:szCs w:val="20"/>
        </w:rPr>
      </w:pPr>
    </w:p>
    <w:p w:rsidR="00521CA3" w:rsidRPr="009E038F" w:rsidRDefault="00CB7A80"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Al respecto, e</w:t>
      </w:r>
      <w:r w:rsidR="005F1481" w:rsidRPr="009E038F">
        <w:rPr>
          <w:rFonts w:ascii="Arial" w:eastAsia="Arial" w:hAnsi="Arial" w:cs="Arial"/>
          <w:sz w:val="20"/>
          <w:szCs w:val="20"/>
        </w:rPr>
        <w:t xml:space="preserve">l Consejo de Derechos Humanos de las Naciones Unidas, en el 41° periodo de sesiones abordó como tema de agenda, la eliminación de todas las formas de discriminación contra las mujeres y las niñas, recordando que la igualdad de género y la condena de la discriminación y la violencia contra las mujeres y las niñas han sido reconocidas en la Declaración y el Programa de Acción de Viena, el Programa de Acción de la Conferencia Internacional sobre la Población y el Desarrollo, la Declaración y  Plataforma de Acción de Beijing y los documentos finales de sus conferencias de examen, la Declaración y el Programa de Acción de Durban y el documento final de la Conferencia de Examen de Durban. </w:t>
      </w:r>
    </w:p>
    <w:p w:rsidR="00521CA3" w:rsidRPr="009E038F" w:rsidRDefault="00521CA3" w:rsidP="00521CA3">
      <w:pPr>
        <w:pStyle w:val="ListParagraph"/>
        <w:tabs>
          <w:tab w:val="left" w:pos="709"/>
        </w:tabs>
        <w:spacing w:after="0" w:line="240" w:lineRule="auto"/>
        <w:ind w:left="0"/>
        <w:jc w:val="both"/>
        <w:rPr>
          <w:rFonts w:ascii="Arial" w:eastAsia="Arial" w:hAnsi="Arial" w:cs="Arial"/>
          <w:sz w:val="20"/>
          <w:szCs w:val="20"/>
        </w:rPr>
      </w:pPr>
    </w:p>
    <w:p w:rsidR="005F1481" w:rsidRPr="009E038F" w:rsidRDefault="001900AD"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E</w:t>
      </w:r>
      <w:r w:rsidR="006C0E68" w:rsidRPr="009E038F">
        <w:rPr>
          <w:rFonts w:ascii="Arial" w:eastAsia="Arial" w:hAnsi="Arial" w:cs="Arial"/>
          <w:sz w:val="20"/>
          <w:szCs w:val="20"/>
        </w:rPr>
        <w:t>n ese sentido</w:t>
      </w:r>
      <w:r w:rsidR="00CB7A80" w:rsidRPr="009E038F">
        <w:rPr>
          <w:rFonts w:ascii="Arial" w:eastAsia="Arial" w:hAnsi="Arial" w:cs="Arial"/>
          <w:sz w:val="20"/>
          <w:szCs w:val="20"/>
        </w:rPr>
        <w:t>,</w:t>
      </w:r>
      <w:r w:rsidR="006C0E68" w:rsidRPr="009E038F">
        <w:rPr>
          <w:rFonts w:ascii="Arial" w:eastAsia="Arial" w:hAnsi="Arial" w:cs="Arial"/>
          <w:sz w:val="20"/>
          <w:szCs w:val="20"/>
        </w:rPr>
        <w:t xml:space="preserve"> e</w:t>
      </w:r>
      <w:r w:rsidR="006F3B8A" w:rsidRPr="009E038F">
        <w:rPr>
          <w:rFonts w:ascii="Arial" w:eastAsia="Arial" w:hAnsi="Arial" w:cs="Arial"/>
          <w:sz w:val="20"/>
          <w:szCs w:val="20"/>
        </w:rPr>
        <w:t>l c</w:t>
      </w:r>
      <w:r w:rsidRPr="009E038F">
        <w:rPr>
          <w:rFonts w:ascii="Arial" w:eastAsia="Arial" w:hAnsi="Arial" w:cs="Arial"/>
          <w:sz w:val="20"/>
          <w:szCs w:val="20"/>
        </w:rPr>
        <w:t xml:space="preserve">uestionario </w:t>
      </w:r>
      <w:r w:rsidR="006C0E68" w:rsidRPr="009E038F">
        <w:rPr>
          <w:rFonts w:ascii="Arial" w:eastAsia="Arial" w:hAnsi="Arial" w:cs="Arial"/>
          <w:sz w:val="20"/>
          <w:szCs w:val="20"/>
        </w:rPr>
        <w:t>de consulta sobre los niveles actuales de representación de la mujer en los órganos y mecanismos de derechos humanos, tiene como objetivo identificar la representación de las mujeres en los puestos directivos, en varios órganos y mecanismos de las Naciones Unidas encargados de elaborar normas y reglas de derechos humanos y de supervisar su aplicación, a fin de garantizar un representación equilibrada de los géneros, en consonancia con la estrategia para todo el sistema sobre la paridad de género</w:t>
      </w:r>
      <w:r w:rsidR="00521CA3" w:rsidRPr="009E038F">
        <w:rPr>
          <w:rFonts w:ascii="Arial" w:eastAsia="Arial" w:hAnsi="Arial" w:cs="Arial"/>
          <w:sz w:val="20"/>
          <w:szCs w:val="20"/>
        </w:rPr>
        <w:t>.</w:t>
      </w:r>
    </w:p>
    <w:p w:rsidR="009C5A17" w:rsidRPr="009E038F" w:rsidRDefault="009C5A17" w:rsidP="00521CA3">
      <w:pPr>
        <w:pStyle w:val="ListParagraph"/>
        <w:tabs>
          <w:tab w:val="left" w:pos="709"/>
        </w:tabs>
        <w:spacing w:after="0" w:line="240" w:lineRule="auto"/>
        <w:ind w:left="0"/>
        <w:jc w:val="both"/>
        <w:rPr>
          <w:rFonts w:ascii="Arial" w:eastAsia="Arial" w:hAnsi="Arial" w:cs="Arial"/>
          <w:sz w:val="20"/>
          <w:szCs w:val="2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8"/>
      </w:tblGrid>
      <w:tr w:rsidR="00627FF8" w:rsidRPr="009E038F" w:rsidTr="009773EA">
        <w:trPr>
          <w:trHeight w:val="231"/>
        </w:trPr>
        <w:tc>
          <w:tcPr>
            <w:tcW w:w="8880" w:type="dxa"/>
          </w:tcPr>
          <w:p w:rsidR="00627FF8" w:rsidRPr="009E038F" w:rsidRDefault="00627FF8" w:rsidP="00521CA3">
            <w:pPr>
              <w:pStyle w:val="ListParagraph"/>
              <w:tabs>
                <w:tab w:val="left" w:pos="709"/>
              </w:tabs>
              <w:spacing w:after="0" w:line="240" w:lineRule="auto"/>
              <w:ind w:left="0"/>
              <w:jc w:val="both"/>
              <w:rPr>
                <w:rFonts w:ascii="Arial" w:eastAsia="Arial" w:hAnsi="Arial" w:cs="Arial"/>
                <w:b/>
                <w:sz w:val="20"/>
                <w:szCs w:val="20"/>
              </w:rPr>
            </w:pPr>
            <w:bookmarkStart w:id="4" w:name="_Hlk30155854"/>
            <w:r w:rsidRPr="009E038F">
              <w:rPr>
                <w:rFonts w:ascii="Arial" w:eastAsia="Arial" w:hAnsi="Arial" w:cs="Arial"/>
                <w:b/>
                <w:sz w:val="20"/>
                <w:szCs w:val="20"/>
              </w:rPr>
              <w:t>Bloque II</w:t>
            </w:r>
            <w:r w:rsidR="00220A8E" w:rsidRPr="009E038F">
              <w:rPr>
                <w:rFonts w:ascii="Arial" w:eastAsia="Arial" w:hAnsi="Arial" w:cs="Arial"/>
                <w:b/>
                <w:sz w:val="20"/>
                <w:szCs w:val="20"/>
              </w:rPr>
              <w:t>I</w:t>
            </w:r>
            <w:r w:rsidRPr="009E038F">
              <w:rPr>
                <w:rFonts w:ascii="Arial" w:eastAsia="Arial" w:hAnsi="Arial" w:cs="Arial"/>
                <w:b/>
                <w:sz w:val="20"/>
                <w:szCs w:val="20"/>
              </w:rPr>
              <w:t xml:space="preserve">: Avances respecto de la </w:t>
            </w:r>
            <w:r w:rsidR="009C5A17" w:rsidRPr="009E038F">
              <w:rPr>
                <w:rFonts w:ascii="Arial" w:eastAsia="Arial" w:hAnsi="Arial" w:cs="Arial"/>
                <w:b/>
                <w:sz w:val="20"/>
                <w:szCs w:val="20"/>
              </w:rPr>
              <w:t>participación</w:t>
            </w:r>
            <w:r w:rsidRPr="009E038F">
              <w:rPr>
                <w:rFonts w:ascii="Arial" w:eastAsia="Arial" w:hAnsi="Arial" w:cs="Arial"/>
                <w:b/>
                <w:sz w:val="20"/>
                <w:szCs w:val="20"/>
              </w:rPr>
              <w:t xml:space="preserve"> de la </w:t>
            </w:r>
            <w:r w:rsidR="00CB7A80" w:rsidRPr="009E038F">
              <w:rPr>
                <w:rFonts w:ascii="Arial" w:eastAsia="Arial" w:hAnsi="Arial" w:cs="Arial"/>
                <w:b/>
                <w:sz w:val="20"/>
                <w:szCs w:val="20"/>
              </w:rPr>
              <w:t>m</w:t>
            </w:r>
            <w:r w:rsidRPr="009E038F">
              <w:rPr>
                <w:rFonts w:ascii="Arial" w:eastAsia="Arial" w:hAnsi="Arial" w:cs="Arial"/>
                <w:b/>
                <w:sz w:val="20"/>
                <w:szCs w:val="20"/>
              </w:rPr>
              <w:t>ujer peruana</w:t>
            </w:r>
            <w:r w:rsidR="009C5A17" w:rsidRPr="009E038F">
              <w:rPr>
                <w:rFonts w:ascii="Arial" w:eastAsia="Arial" w:hAnsi="Arial" w:cs="Arial"/>
                <w:b/>
                <w:sz w:val="20"/>
                <w:szCs w:val="20"/>
              </w:rPr>
              <w:t xml:space="preserve"> </w:t>
            </w:r>
            <w:bookmarkStart w:id="5" w:name="_Toc25134468"/>
            <w:bookmarkStart w:id="6" w:name="_Toc25571549"/>
            <w:r w:rsidR="009C5A17" w:rsidRPr="009E038F">
              <w:rPr>
                <w:rFonts w:ascii="Arial" w:eastAsia="Arial" w:hAnsi="Arial" w:cs="Arial"/>
                <w:b/>
                <w:sz w:val="20"/>
                <w:szCs w:val="20"/>
              </w:rPr>
              <w:t>en los puestos de adopción de decisiones</w:t>
            </w:r>
            <w:bookmarkEnd w:id="5"/>
            <w:bookmarkEnd w:id="6"/>
          </w:p>
        </w:tc>
      </w:tr>
      <w:bookmarkEnd w:id="4"/>
    </w:tbl>
    <w:p w:rsidR="009C5A17" w:rsidRPr="009E038F" w:rsidRDefault="009C5A17" w:rsidP="00521CA3">
      <w:pPr>
        <w:pStyle w:val="ListParagraph"/>
        <w:tabs>
          <w:tab w:val="left" w:pos="709"/>
        </w:tabs>
        <w:spacing w:after="0" w:line="240" w:lineRule="auto"/>
        <w:ind w:left="0"/>
        <w:jc w:val="both"/>
        <w:rPr>
          <w:rFonts w:ascii="Arial" w:eastAsia="Arial" w:hAnsi="Arial" w:cs="Arial"/>
          <w:sz w:val="20"/>
          <w:szCs w:val="20"/>
        </w:rPr>
      </w:pPr>
    </w:p>
    <w:p w:rsidR="00521CA3" w:rsidRPr="009E038F" w:rsidRDefault="009C5A17"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A</w:t>
      </w:r>
      <w:r w:rsidR="00286AC7" w:rsidRPr="009E038F">
        <w:rPr>
          <w:rFonts w:ascii="Arial" w:eastAsia="Arial" w:hAnsi="Arial" w:cs="Arial"/>
          <w:sz w:val="20"/>
          <w:szCs w:val="20"/>
        </w:rPr>
        <w:t xml:space="preserve">l respecto, el Estado peruano con la finalidad </w:t>
      </w:r>
      <w:r w:rsidRPr="009E038F">
        <w:rPr>
          <w:rFonts w:ascii="Arial" w:eastAsia="Arial" w:hAnsi="Arial" w:cs="Arial"/>
          <w:sz w:val="20"/>
          <w:szCs w:val="20"/>
        </w:rPr>
        <w:t>de abordar la discriminación estructural contra las mujeres y promover la igualdad y no discriminación entre hombres y mujeres, así como garantizar la protección d</w:t>
      </w:r>
      <w:r w:rsidR="00220A8E" w:rsidRPr="009E038F">
        <w:rPr>
          <w:rFonts w:ascii="Arial" w:eastAsia="Arial" w:hAnsi="Arial" w:cs="Arial"/>
          <w:sz w:val="20"/>
          <w:szCs w:val="20"/>
        </w:rPr>
        <w:t xml:space="preserve">e Niños, Niñas y Adolescentes </w:t>
      </w:r>
      <w:r w:rsidRPr="009E038F">
        <w:rPr>
          <w:rFonts w:ascii="Arial" w:eastAsia="Arial" w:hAnsi="Arial" w:cs="Arial"/>
          <w:sz w:val="20"/>
          <w:szCs w:val="20"/>
        </w:rPr>
        <w:t>y las mujeres frente a todo tipo de violencia, aprobó la Política Nacional de Igualdad de Género</w:t>
      </w:r>
      <w:r w:rsidRPr="009E038F">
        <w:rPr>
          <w:rFonts w:ascii="Arial" w:eastAsia="Arial" w:hAnsi="Arial" w:cs="Arial"/>
          <w:sz w:val="20"/>
          <w:szCs w:val="20"/>
          <w:vertAlign w:val="superscript"/>
        </w:rPr>
        <w:footnoteReference w:id="3"/>
      </w:r>
      <w:r w:rsidRPr="009E038F">
        <w:rPr>
          <w:rFonts w:ascii="Arial" w:eastAsia="Arial" w:hAnsi="Arial" w:cs="Arial"/>
          <w:sz w:val="20"/>
          <w:szCs w:val="20"/>
        </w:rPr>
        <w:t>.</w:t>
      </w:r>
    </w:p>
    <w:p w:rsidR="00521CA3" w:rsidRPr="009E038F" w:rsidRDefault="00521CA3" w:rsidP="00521CA3">
      <w:pPr>
        <w:pStyle w:val="ListParagraph"/>
        <w:tabs>
          <w:tab w:val="left" w:pos="709"/>
        </w:tabs>
        <w:spacing w:after="0" w:line="240" w:lineRule="auto"/>
        <w:ind w:left="0"/>
        <w:jc w:val="both"/>
        <w:rPr>
          <w:rFonts w:ascii="Arial" w:eastAsia="Arial" w:hAnsi="Arial" w:cs="Arial"/>
          <w:sz w:val="20"/>
          <w:szCs w:val="20"/>
        </w:rPr>
      </w:pPr>
    </w:p>
    <w:p w:rsidR="00727018" w:rsidRPr="009E038F" w:rsidRDefault="00CB7A80"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De igual manera</w:t>
      </w:r>
      <w:r w:rsidR="009C5A17" w:rsidRPr="009E038F">
        <w:rPr>
          <w:rFonts w:ascii="Arial" w:eastAsia="Arial" w:hAnsi="Arial" w:cs="Arial"/>
          <w:sz w:val="20"/>
          <w:szCs w:val="20"/>
        </w:rPr>
        <w:t xml:space="preserve">, considerando que uno de los factores de desigualdad de participación entre hombres y mujeres en puestos de adopción </w:t>
      </w:r>
      <w:r w:rsidR="00220A8E" w:rsidRPr="009E038F">
        <w:rPr>
          <w:rFonts w:ascii="Arial" w:eastAsia="Arial" w:hAnsi="Arial" w:cs="Arial"/>
          <w:sz w:val="20"/>
          <w:szCs w:val="20"/>
        </w:rPr>
        <w:t xml:space="preserve">de decisiones </w:t>
      </w:r>
      <w:r w:rsidR="009C5A17" w:rsidRPr="009E038F">
        <w:rPr>
          <w:rFonts w:ascii="Arial" w:eastAsia="Arial" w:hAnsi="Arial" w:cs="Arial"/>
          <w:sz w:val="20"/>
          <w:szCs w:val="20"/>
        </w:rPr>
        <w:t xml:space="preserve">en el sector público y privado es </w:t>
      </w:r>
      <w:r w:rsidR="009C5A17" w:rsidRPr="009E038F">
        <w:rPr>
          <w:rFonts w:ascii="Arial" w:eastAsia="Arial" w:hAnsi="Arial" w:cs="Arial"/>
          <w:sz w:val="20"/>
          <w:szCs w:val="20"/>
        </w:rPr>
        <w:lastRenderedPageBreak/>
        <w:t>la desigualdad de la remuneración, se promulgó la Ley núm. 30709</w:t>
      </w:r>
      <w:r w:rsidR="009C5A17" w:rsidRPr="009E038F">
        <w:rPr>
          <w:rFonts w:ascii="Arial" w:eastAsia="Arial" w:hAnsi="Arial" w:cs="Arial"/>
          <w:sz w:val="20"/>
          <w:szCs w:val="20"/>
          <w:vertAlign w:val="superscript"/>
        </w:rPr>
        <w:footnoteReference w:id="4"/>
      </w:r>
      <w:r w:rsidR="009C5A17" w:rsidRPr="009E038F">
        <w:rPr>
          <w:rFonts w:ascii="Arial" w:eastAsia="Arial" w:hAnsi="Arial" w:cs="Arial"/>
          <w:sz w:val="20"/>
          <w:szCs w:val="20"/>
          <w:vertAlign w:val="superscript"/>
        </w:rPr>
        <w:t>,</w:t>
      </w:r>
      <w:r w:rsidR="009C5A17" w:rsidRPr="009E038F">
        <w:rPr>
          <w:rFonts w:ascii="Arial" w:eastAsia="Arial" w:hAnsi="Arial" w:cs="Arial"/>
          <w:sz w:val="20"/>
          <w:szCs w:val="20"/>
        </w:rPr>
        <w:t xml:space="preserve"> y su reglamento</w:t>
      </w:r>
      <w:r w:rsidR="009C5A17" w:rsidRPr="009E038F">
        <w:rPr>
          <w:rFonts w:ascii="Arial" w:eastAsia="Arial" w:hAnsi="Arial" w:cs="Arial"/>
          <w:sz w:val="20"/>
          <w:szCs w:val="20"/>
          <w:vertAlign w:val="superscript"/>
        </w:rPr>
        <w:footnoteReference w:id="5"/>
      </w:r>
      <w:r w:rsidR="009C5A17" w:rsidRPr="009E038F">
        <w:rPr>
          <w:rFonts w:ascii="Arial" w:eastAsia="Arial" w:hAnsi="Arial" w:cs="Arial"/>
          <w:sz w:val="20"/>
          <w:szCs w:val="20"/>
        </w:rPr>
        <w:t>, que busca reducir las brechas salariales prohibiendo la discriminación remunerativa por motivos de sexo. Posteriormente, se aprobó la “Guía que contiene las pautas referenciales que pueden ser utilizadas por la organización empleadora para evaluar puestos de trabajo y definir el cuadro de categorías y funciones”</w:t>
      </w:r>
      <w:r w:rsidR="009C5A17" w:rsidRPr="009E038F">
        <w:rPr>
          <w:rFonts w:ascii="Arial" w:eastAsia="Arial" w:hAnsi="Arial" w:cs="Arial"/>
          <w:sz w:val="20"/>
          <w:szCs w:val="20"/>
          <w:vertAlign w:val="superscript"/>
        </w:rPr>
        <w:footnoteReference w:id="6"/>
      </w:r>
      <w:r w:rsidR="009C5A17" w:rsidRPr="009E038F">
        <w:rPr>
          <w:rFonts w:ascii="Arial" w:eastAsia="Arial" w:hAnsi="Arial" w:cs="Arial"/>
          <w:sz w:val="20"/>
          <w:szCs w:val="20"/>
          <w:vertAlign w:val="superscript"/>
        </w:rPr>
        <w:t>,</w:t>
      </w:r>
      <w:r w:rsidR="009C5A17" w:rsidRPr="009E038F">
        <w:rPr>
          <w:rFonts w:ascii="Arial" w:eastAsia="Arial" w:hAnsi="Arial" w:cs="Arial"/>
          <w:sz w:val="20"/>
          <w:szCs w:val="20"/>
        </w:rPr>
        <w:t xml:space="preserve"> lo que promueve la asignación objetiva de remuneraciones.</w:t>
      </w:r>
    </w:p>
    <w:p w:rsidR="00727018" w:rsidRPr="009E038F" w:rsidRDefault="00727018" w:rsidP="00727018">
      <w:pPr>
        <w:pStyle w:val="ListParagraph"/>
        <w:rPr>
          <w:rFonts w:ascii="Arial" w:eastAsia="Arial" w:hAnsi="Arial" w:cs="Arial"/>
          <w:sz w:val="20"/>
          <w:szCs w:val="20"/>
        </w:rPr>
      </w:pPr>
    </w:p>
    <w:p w:rsidR="00727018" w:rsidRPr="009E038F" w:rsidRDefault="009C5A17"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Además, a través del Decreto Supremo núm. 005-2017-MIMP, se dispuso la creación de un mecanismo para la igualdad de género en las entidades del Gobierno Nacional y los Gobiernos Regionales</w:t>
      </w:r>
      <w:r w:rsidRPr="009E038F">
        <w:rPr>
          <w:rFonts w:ascii="Arial" w:eastAsia="Arial" w:hAnsi="Arial" w:cs="Arial"/>
          <w:sz w:val="20"/>
          <w:szCs w:val="20"/>
          <w:vertAlign w:val="superscript"/>
        </w:rPr>
        <w:footnoteReference w:id="7"/>
      </w:r>
      <w:r w:rsidRPr="009E038F">
        <w:rPr>
          <w:rFonts w:ascii="Arial" w:eastAsia="Arial" w:hAnsi="Arial" w:cs="Arial"/>
          <w:sz w:val="20"/>
          <w:szCs w:val="20"/>
          <w:vertAlign w:val="superscript"/>
        </w:rPr>
        <w:t>.</w:t>
      </w:r>
    </w:p>
    <w:p w:rsidR="00727018" w:rsidRPr="009E038F" w:rsidRDefault="00727018" w:rsidP="00727018">
      <w:pPr>
        <w:pStyle w:val="ListParagraph"/>
        <w:rPr>
          <w:rFonts w:ascii="Arial" w:eastAsia="Arial" w:hAnsi="Arial" w:cs="Arial"/>
          <w:sz w:val="20"/>
          <w:szCs w:val="20"/>
        </w:rPr>
      </w:pPr>
    </w:p>
    <w:p w:rsidR="00727018" w:rsidRPr="009E038F" w:rsidRDefault="009C5A17"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Adicionalmente, en el 2018 se aprobaron los lineamientos técnicos para la transversalización del enfoque de género en la gestión institucional del P</w:t>
      </w:r>
      <w:r w:rsidR="00220A8E" w:rsidRPr="009E038F">
        <w:rPr>
          <w:rFonts w:ascii="Arial" w:eastAsia="Arial" w:hAnsi="Arial" w:cs="Arial"/>
          <w:sz w:val="20"/>
          <w:szCs w:val="20"/>
        </w:rPr>
        <w:t xml:space="preserve">oder </w:t>
      </w:r>
      <w:r w:rsidRPr="009E038F">
        <w:rPr>
          <w:rFonts w:ascii="Arial" w:eastAsia="Arial" w:hAnsi="Arial" w:cs="Arial"/>
          <w:sz w:val="20"/>
          <w:szCs w:val="20"/>
        </w:rPr>
        <w:t>J</w:t>
      </w:r>
      <w:r w:rsidR="00220A8E" w:rsidRPr="009E038F">
        <w:rPr>
          <w:rFonts w:ascii="Arial" w:eastAsia="Arial" w:hAnsi="Arial" w:cs="Arial"/>
          <w:sz w:val="20"/>
          <w:szCs w:val="20"/>
        </w:rPr>
        <w:t>udicial</w:t>
      </w:r>
      <w:r w:rsidRPr="009E038F">
        <w:rPr>
          <w:rFonts w:ascii="Arial" w:eastAsia="Arial" w:hAnsi="Arial" w:cs="Arial"/>
          <w:sz w:val="20"/>
          <w:szCs w:val="20"/>
          <w:vertAlign w:val="superscript"/>
        </w:rPr>
        <w:footnoteReference w:id="8"/>
      </w:r>
      <w:r w:rsidRPr="009E038F">
        <w:rPr>
          <w:rFonts w:ascii="Arial" w:eastAsia="Arial" w:hAnsi="Arial" w:cs="Arial"/>
          <w:sz w:val="20"/>
          <w:szCs w:val="20"/>
        </w:rPr>
        <w:t>.</w:t>
      </w:r>
    </w:p>
    <w:p w:rsidR="00727018" w:rsidRPr="009E038F" w:rsidRDefault="00727018" w:rsidP="00727018">
      <w:pPr>
        <w:pStyle w:val="ListParagraph"/>
        <w:rPr>
          <w:rFonts w:ascii="Arial" w:eastAsia="Arial" w:hAnsi="Arial" w:cs="Arial"/>
          <w:sz w:val="20"/>
          <w:szCs w:val="20"/>
        </w:rPr>
      </w:pPr>
    </w:p>
    <w:p w:rsidR="006C2977" w:rsidRDefault="009C5A17" w:rsidP="006C2977">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Reconociendo que la actividad agropecuaria es una de las actividades productivas más importantes del país, el Censo Nacional Agropecuario 2012 reporta que en el Perú existen 692 mil unidades agropecuarias (el 31% del total) que son conducidas por mujeres, y se observa un incremento de 11% en la participación de estas como conductoras de unidades agropecuarias entre 1994 y 2012</w:t>
      </w:r>
      <w:r w:rsidRPr="009E038F">
        <w:rPr>
          <w:rFonts w:ascii="Arial" w:eastAsia="Arial" w:hAnsi="Arial" w:cs="Arial"/>
          <w:sz w:val="20"/>
          <w:szCs w:val="20"/>
          <w:vertAlign w:val="superscript"/>
        </w:rPr>
        <w:footnoteReference w:id="9"/>
      </w:r>
      <w:r w:rsidRPr="009E038F">
        <w:rPr>
          <w:rFonts w:ascii="Arial" w:eastAsia="Arial" w:hAnsi="Arial" w:cs="Arial"/>
          <w:sz w:val="20"/>
          <w:szCs w:val="20"/>
          <w:vertAlign w:val="superscript"/>
        </w:rPr>
        <w:t>.</w:t>
      </w:r>
    </w:p>
    <w:p w:rsidR="006C2977" w:rsidRPr="006C2977" w:rsidRDefault="006C2977" w:rsidP="006C2977">
      <w:pPr>
        <w:pStyle w:val="ListParagraph"/>
        <w:rPr>
          <w:rFonts w:ascii="Arial" w:eastAsia="Arial" w:hAnsi="Arial" w:cs="Arial"/>
          <w:sz w:val="20"/>
          <w:szCs w:val="20"/>
        </w:rPr>
      </w:pPr>
    </w:p>
    <w:p w:rsidR="00727018" w:rsidRPr="006C2977" w:rsidRDefault="009C5A17" w:rsidP="006C2977">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6C2977">
        <w:rPr>
          <w:rFonts w:ascii="Arial" w:eastAsia="Arial" w:hAnsi="Arial" w:cs="Arial"/>
          <w:sz w:val="20"/>
          <w:szCs w:val="20"/>
        </w:rPr>
        <w:t>Por otro lado, se aprobó la Ley núm. 30982, Ley que modifica el artículo 19 de la Ley 24656, Ley General de Comunidades Campesinas, la cual establece que la directiva comunal debe incluir un número no menor del 30% de mujeres o de varones en su conformación</w:t>
      </w:r>
      <w:r w:rsidR="00727018" w:rsidRPr="009E038F">
        <w:rPr>
          <w:rFonts w:ascii="Arial" w:eastAsia="Arial" w:hAnsi="Arial" w:cs="Arial"/>
          <w:sz w:val="20"/>
          <w:szCs w:val="20"/>
          <w:vertAlign w:val="superscript"/>
        </w:rPr>
        <w:footnoteReference w:id="10"/>
      </w:r>
      <w:r w:rsidRPr="006C2977">
        <w:rPr>
          <w:rFonts w:ascii="Arial" w:eastAsia="Arial" w:hAnsi="Arial" w:cs="Arial"/>
          <w:sz w:val="20"/>
          <w:szCs w:val="20"/>
        </w:rPr>
        <w:t xml:space="preserve">. </w:t>
      </w:r>
    </w:p>
    <w:p w:rsidR="00727018" w:rsidRPr="009E038F" w:rsidRDefault="00727018" w:rsidP="00727018">
      <w:pPr>
        <w:pStyle w:val="ListParagraph"/>
        <w:rPr>
          <w:rFonts w:ascii="Arial" w:eastAsia="Arial" w:hAnsi="Arial" w:cs="Arial"/>
          <w:sz w:val="20"/>
          <w:szCs w:val="20"/>
        </w:rPr>
      </w:pPr>
    </w:p>
    <w:p w:rsidR="00727018" w:rsidRPr="009E038F" w:rsidRDefault="00CB7A80"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Igualmente</w:t>
      </w:r>
      <w:r w:rsidR="009C5A17" w:rsidRPr="009E038F">
        <w:rPr>
          <w:rFonts w:ascii="Arial" w:eastAsia="Arial" w:hAnsi="Arial" w:cs="Arial"/>
          <w:sz w:val="20"/>
          <w:szCs w:val="20"/>
        </w:rPr>
        <w:t>, cabe mencionar que el 02 de diciembre de</w:t>
      </w:r>
      <w:r w:rsidR="00220A8E" w:rsidRPr="009E038F">
        <w:rPr>
          <w:rFonts w:ascii="Arial" w:eastAsia="Arial" w:hAnsi="Arial" w:cs="Arial"/>
          <w:sz w:val="20"/>
          <w:szCs w:val="20"/>
        </w:rPr>
        <w:t xml:space="preserve"> </w:t>
      </w:r>
      <w:r w:rsidR="009C5A17" w:rsidRPr="009E038F">
        <w:rPr>
          <w:rFonts w:ascii="Arial" w:eastAsia="Arial" w:hAnsi="Arial" w:cs="Arial"/>
          <w:sz w:val="20"/>
          <w:szCs w:val="20"/>
        </w:rPr>
        <w:t>2019 el pleno del T</w:t>
      </w:r>
      <w:r w:rsidR="00220A8E" w:rsidRPr="009E038F">
        <w:rPr>
          <w:rFonts w:ascii="Arial" w:eastAsia="Arial" w:hAnsi="Arial" w:cs="Arial"/>
          <w:sz w:val="20"/>
          <w:szCs w:val="20"/>
        </w:rPr>
        <w:t xml:space="preserve">ribunal </w:t>
      </w:r>
      <w:r w:rsidR="009C5A17" w:rsidRPr="009E038F">
        <w:rPr>
          <w:rFonts w:ascii="Arial" w:eastAsia="Arial" w:hAnsi="Arial" w:cs="Arial"/>
          <w:sz w:val="20"/>
          <w:szCs w:val="20"/>
        </w:rPr>
        <w:t>C</w:t>
      </w:r>
      <w:r w:rsidR="00220A8E" w:rsidRPr="009E038F">
        <w:rPr>
          <w:rFonts w:ascii="Arial" w:eastAsia="Arial" w:hAnsi="Arial" w:cs="Arial"/>
          <w:sz w:val="20"/>
          <w:szCs w:val="20"/>
        </w:rPr>
        <w:t>onstitucional</w:t>
      </w:r>
      <w:r w:rsidR="009C5A17" w:rsidRPr="009E038F">
        <w:rPr>
          <w:rFonts w:ascii="Arial" w:eastAsia="Arial" w:hAnsi="Arial" w:cs="Arial"/>
          <w:sz w:val="20"/>
          <w:szCs w:val="20"/>
        </w:rPr>
        <w:t>, mediante el voto de 04 magistrados, eligió por primera vez a una mujer como presidente de dicho Tribunal, la jueza Marianella Ledesma Narváez</w:t>
      </w:r>
      <w:r w:rsidR="009C5A17" w:rsidRPr="009E038F">
        <w:rPr>
          <w:rFonts w:ascii="Arial" w:eastAsia="Arial" w:hAnsi="Arial" w:cs="Arial"/>
          <w:sz w:val="20"/>
          <w:szCs w:val="20"/>
          <w:vertAlign w:val="superscript"/>
        </w:rPr>
        <w:footnoteReference w:id="11"/>
      </w:r>
      <w:r w:rsidR="00727018" w:rsidRPr="009E038F">
        <w:rPr>
          <w:rFonts w:ascii="Arial" w:eastAsia="Arial" w:hAnsi="Arial" w:cs="Arial"/>
          <w:sz w:val="20"/>
          <w:szCs w:val="20"/>
        </w:rPr>
        <w:t>.</w:t>
      </w:r>
    </w:p>
    <w:p w:rsidR="00727018" w:rsidRPr="009E038F" w:rsidRDefault="00727018" w:rsidP="00727018">
      <w:pPr>
        <w:pStyle w:val="ListParagraph"/>
        <w:rPr>
          <w:rFonts w:ascii="Arial" w:eastAsia="Arial" w:hAnsi="Arial" w:cs="Arial"/>
          <w:sz w:val="20"/>
          <w:szCs w:val="20"/>
        </w:rPr>
      </w:pPr>
    </w:p>
    <w:p w:rsidR="00727018" w:rsidRPr="009E038F" w:rsidRDefault="009C5A17"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El Perú aprobó la Ley núm. 30996, que modifica la Ley Orgánica de Elecciones y establece la paridad y alternancia de forma progresiva, 40% en el 2021, 45% en el 2026 y 50% en el 2031.</w:t>
      </w:r>
    </w:p>
    <w:p w:rsidR="00727018" w:rsidRPr="009E038F" w:rsidRDefault="00727018" w:rsidP="00727018">
      <w:pPr>
        <w:pStyle w:val="ListParagraph"/>
        <w:rPr>
          <w:rFonts w:ascii="Arial" w:eastAsia="Arial" w:hAnsi="Arial" w:cs="Arial"/>
          <w:sz w:val="20"/>
          <w:szCs w:val="20"/>
        </w:rPr>
      </w:pPr>
    </w:p>
    <w:p w:rsidR="00727018" w:rsidRPr="009E038F" w:rsidRDefault="009C5A17"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Asimismo, afirma la obligación del Estado de establecer mecanismos y políticas públicas para promover la formación, capacitación y participación política de la mujer en igualdad de oportunidades. Además, la Política Nacional de Igualdad de Género, entre sus prioridades busca garantizar el acceso y participación de las mujeres en espacios de toma de decisiones</w:t>
      </w:r>
      <w:r w:rsidRPr="009E038F">
        <w:rPr>
          <w:rFonts w:ascii="Arial" w:eastAsia="Arial" w:hAnsi="Arial" w:cs="Arial"/>
          <w:sz w:val="20"/>
          <w:szCs w:val="20"/>
          <w:vertAlign w:val="superscript"/>
        </w:rPr>
        <w:footnoteReference w:id="12"/>
      </w:r>
      <w:r w:rsidR="00727018" w:rsidRPr="009E038F">
        <w:rPr>
          <w:rFonts w:ascii="Arial" w:eastAsia="Arial" w:hAnsi="Arial" w:cs="Arial"/>
          <w:sz w:val="20"/>
          <w:szCs w:val="20"/>
        </w:rPr>
        <w:t>.</w:t>
      </w:r>
    </w:p>
    <w:p w:rsidR="00727018" w:rsidRPr="009E038F" w:rsidRDefault="00727018" w:rsidP="00727018">
      <w:pPr>
        <w:pStyle w:val="ListParagraph"/>
        <w:rPr>
          <w:rFonts w:ascii="Arial" w:eastAsia="Arial" w:hAnsi="Arial" w:cs="Arial"/>
          <w:sz w:val="20"/>
          <w:szCs w:val="20"/>
        </w:rPr>
      </w:pPr>
    </w:p>
    <w:p w:rsidR="00727018" w:rsidRPr="009E038F" w:rsidRDefault="009C5A17" w:rsidP="00727018">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 xml:space="preserve">Desde el 2014 al 2018 se dictaron talleres y cursos de formación electoral, dirigidos a integrantes de organizaciones políticas y sociales, se ha capacitado a los jefes departamentales del JNE </w:t>
      </w:r>
      <w:r w:rsidRPr="009E038F">
        <w:rPr>
          <w:rFonts w:ascii="Arial" w:eastAsia="Arial" w:hAnsi="Arial" w:cs="Arial"/>
          <w:sz w:val="20"/>
          <w:szCs w:val="20"/>
        </w:rPr>
        <w:footnoteReference w:id="13"/>
      </w:r>
      <w:r w:rsidRPr="009E038F">
        <w:rPr>
          <w:rFonts w:ascii="Arial" w:eastAsia="Arial" w:hAnsi="Arial" w:cs="Arial"/>
          <w:sz w:val="20"/>
          <w:szCs w:val="20"/>
        </w:rPr>
        <w:t xml:space="preserve"> y en el 2018 dicha entidad organizó el curso virtual “Participa en igualdad: Herramientas para una mejor política”, donde participaron 275 personas de todas las regiones del país, de las cuales 61% provenía de organizaciones sociales y 29% de organizaciones políticas. De entre los participantes, el 45% de los participantes declaró pertenecer a alguna población vulnerable. En las elecciones regionales y municipales de 2018, 35 de las personas capacitadas presentaron sus candidaturas: 17 mujeres, 14 jóvenes, 11 indígenas/campesinos, 1 afroperuana y 1 persona LGTBI</w:t>
      </w:r>
      <w:r w:rsidRPr="009E038F">
        <w:rPr>
          <w:rFonts w:ascii="Arial" w:eastAsia="Arial" w:hAnsi="Arial" w:cs="Arial"/>
          <w:sz w:val="20"/>
          <w:szCs w:val="20"/>
          <w:vertAlign w:val="superscript"/>
        </w:rPr>
        <w:footnoteReference w:id="14"/>
      </w:r>
      <w:r w:rsidR="00727018" w:rsidRPr="009E038F">
        <w:rPr>
          <w:rFonts w:ascii="Arial" w:eastAsia="Arial" w:hAnsi="Arial" w:cs="Arial"/>
          <w:sz w:val="20"/>
          <w:szCs w:val="20"/>
        </w:rPr>
        <w:t>.</w:t>
      </w:r>
    </w:p>
    <w:p w:rsidR="00220A8E" w:rsidRPr="009E038F" w:rsidRDefault="00220A8E" w:rsidP="00220A8E">
      <w:pPr>
        <w:pStyle w:val="ListParagraph"/>
        <w:tabs>
          <w:tab w:val="left" w:pos="709"/>
        </w:tabs>
        <w:spacing w:after="0" w:line="240" w:lineRule="auto"/>
        <w:ind w:left="0"/>
        <w:jc w:val="both"/>
        <w:rPr>
          <w:rFonts w:ascii="Arial" w:eastAsia="Arial" w:hAnsi="Arial" w:cs="Arial"/>
          <w:sz w:val="20"/>
          <w:szCs w:val="20"/>
          <w:vertAlign w:val="superscript"/>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8"/>
      </w:tblGrid>
      <w:tr w:rsidR="00220A8E" w:rsidRPr="009E038F" w:rsidTr="009773EA">
        <w:trPr>
          <w:trHeight w:val="231"/>
        </w:trPr>
        <w:tc>
          <w:tcPr>
            <w:tcW w:w="8880" w:type="dxa"/>
          </w:tcPr>
          <w:p w:rsidR="00220A8E" w:rsidRPr="009E038F" w:rsidRDefault="00220A8E" w:rsidP="00220A8E">
            <w:pPr>
              <w:pStyle w:val="ListParagraph"/>
              <w:tabs>
                <w:tab w:val="left" w:pos="709"/>
              </w:tabs>
              <w:spacing w:after="0" w:line="240" w:lineRule="auto"/>
              <w:ind w:left="0"/>
              <w:jc w:val="both"/>
              <w:rPr>
                <w:rFonts w:ascii="Arial" w:eastAsia="Arial" w:hAnsi="Arial" w:cs="Arial"/>
                <w:b/>
                <w:sz w:val="20"/>
                <w:szCs w:val="20"/>
              </w:rPr>
            </w:pPr>
            <w:r w:rsidRPr="009E038F">
              <w:rPr>
                <w:rFonts w:ascii="Arial" w:eastAsia="Arial" w:hAnsi="Arial" w:cs="Arial"/>
                <w:b/>
                <w:sz w:val="20"/>
                <w:szCs w:val="20"/>
              </w:rPr>
              <w:t>Bloque IV: Representación de la mujer peruana ante órganos y mecanismos de derechos humanos</w:t>
            </w:r>
          </w:p>
        </w:tc>
      </w:tr>
    </w:tbl>
    <w:p w:rsidR="00727018" w:rsidRPr="009E038F" w:rsidRDefault="00727018" w:rsidP="00220A8E">
      <w:pPr>
        <w:spacing w:line="240" w:lineRule="auto"/>
        <w:rPr>
          <w:rFonts w:ascii="Arial" w:eastAsia="Arial" w:hAnsi="Arial" w:cs="Arial"/>
          <w:sz w:val="20"/>
          <w:szCs w:val="20"/>
        </w:rPr>
      </w:pPr>
    </w:p>
    <w:p w:rsidR="00EB2066" w:rsidRPr="009E038F" w:rsidRDefault="001348AF" w:rsidP="00220A8E">
      <w:pPr>
        <w:pStyle w:val="ListParagraph"/>
        <w:numPr>
          <w:ilvl w:val="3"/>
          <w:numId w:val="1"/>
        </w:numPr>
        <w:tabs>
          <w:tab w:val="left" w:pos="709"/>
        </w:tabs>
        <w:spacing w:after="0" w:line="240" w:lineRule="auto"/>
        <w:ind w:left="0" w:firstLine="0"/>
        <w:jc w:val="both"/>
        <w:rPr>
          <w:rFonts w:ascii="Arial" w:eastAsia="Arial" w:hAnsi="Arial" w:cs="Arial"/>
          <w:sz w:val="20"/>
          <w:szCs w:val="20"/>
          <w:vertAlign w:val="superscript"/>
        </w:rPr>
      </w:pPr>
      <w:r w:rsidRPr="009E038F">
        <w:rPr>
          <w:rFonts w:ascii="Arial" w:eastAsia="Arial" w:hAnsi="Arial" w:cs="Arial"/>
          <w:sz w:val="20"/>
          <w:szCs w:val="20"/>
        </w:rPr>
        <w:t xml:space="preserve">Sobre el particular, </w:t>
      </w:r>
      <w:r w:rsidR="00521CA3" w:rsidRPr="009E038F">
        <w:rPr>
          <w:rFonts w:ascii="Arial" w:eastAsia="Arial" w:hAnsi="Arial" w:cs="Arial"/>
          <w:sz w:val="20"/>
          <w:szCs w:val="20"/>
        </w:rPr>
        <w:t xml:space="preserve">el </w:t>
      </w:r>
      <w:r w:rsidR="006C0E68" w:rsidRPr="009E038F">
        <w:rPr>
          <w:rFonts w:ascii="Arial" w:eastAsia="Arial" w:hAnsi="Arial" w:cs="Arial"/>
          <w:sz w:val="20"/>
          <w:szCs w:val="20"/>
        </w:rPr>
        <w:t xml:space="preserve">Estado peruano en el año </w:t>
      </w:r>
      <w:r w:rsidRPr="009E038F">
        <w:rPr>
          <w:rFonts w:ascii="Arial" w:eastAsia="Arial" w:hAnsi="Arial" w:cs="Arial"/>
          <w:sz w:val="20"/>
          <w:szCs w:val="20"/>
        </w:rPr>
        <w:t>2019, ha</w:t>
      </w:r>
      <w:r w:rsidR="006C0E68" w:rsidRPr="009E038F">
        <w:rPr>
          <w:rFonts w:ascii="Arial" w:eastAsia="Arial" w:hAnsi="Arial" w:cs="Arial"/>
          <w:sz w:val="20"/>
          <w:szCs w:val="20"/>
        </w:rPr>
        <w:t xml:space="preserve"> intensificado su</w:t>
      </w:r>
      <w:r w:rsidR="00EB2066" w:rsidRPr="009E038F">
        <w:rPr>
          <w:rFonts w:ascii="Arial" w:eastAsia="Arial" w:hAnsi="Arial" w:cs="Arial"/>
          <w:sz w:val="20"/>
          <w:szCs w:val="20"/>
        </w:rPr>
        <w:t>s</w:t>
      </w:r>
      <w:r w:rsidR="006C0E68" w:rsidRPr="009E038F">
        <w:rPr>
          <w:rFonts w:ascii="Arial" w:eastAsia="Arial" w:hAnsi="Arial" w:cs="Arial"/>
          <w:sz w:val="20"/>
          <w:szCs w:val="20"/>
        </w:rPr>
        <w:t xml:space="preserve"> esfuerzo</w:t>
      </w:r>
      <w:r w:rsidR="00EB2066" w:rsidRPr="009E038F">
        <w:rPr>
          <w:rFonts w:ascii="Arial" w:eastAsia="Arial" w:hAnsi="Arial" w:cs="Arial"/>
          <w:sz w:val="20"/>
          <w:szCs w:val="20"/>
        </w:rPr>
        <w:t>s para proponer la candidatura de</w:t>
      </w:r>
      <w:r w:rsidRPr="009E038F">
        <w:rPr>
          <w:rFonts w:ascii="Arial" w:eastAsia="Arial" w:hAnsi="Arial" w:cs="Arial"/>
          <w:sz w:val="20"/>
          <w:szCs w:val="20"/>
        </w:rPr>
        <w:t xml:space="preserve"> representación de </w:t>
      </w:r>
      <w:r w:rsidR="00EB2066" w:rsidRPr="009E038F">
        <w:rPr>
          <w:rFonts w:ascii="Arial" w:eastAsia="Arial" w:hAnsi="Arial" w:cs="Arial"/>
          <w:sz w:val="20"/>
          <w:szCs w:val="20"/>
        </w:rPr>
        <w:t>mujeres ante los órganos y mecanismos de derechos humanos</w:t>
      </w:r>
      <w:r w:rsidR="006F3B8A" w:rsidRPr="009E038F">
        <w:rPr>
          <w:rFonts w:ascii="Arial" w:eastAsia="Arial" w:hAnsi="Arial" w:cs="Arial"/>
          <w:sz w:val="20"/>
          <w:szCs w:val="20"/>
        </w:rPr>
        <w:t>,</w:t>
      </w:r>
      <w:r w:rsidR="00EB2066" w:rsidRPr="009E038F">
        <w:rPr>
          <w:rFonts w:ascii="Arial" w:eastAsia="Arial" w:hAnsi="Arial" w:cs="Arial"/>
          <w:sz w:val="20"/>
          <w:szCs w:val="20"/>
        </w:rPr>
        <w:t xml:space="preserve"> siendo elegidas las siguientes juristas:</w:t>
      </w:r>
    </w:p>
    <w:p w:rsidR="00521CA3" w:rsidRPr="009E038F" w:rsidRDefault="00521CA3" w:rsidP="00220A8E">
      <w:pPr>
        <w:pStyle w:val="ListParagraph"/>
        <w:tabs>
          <w:tab w:val="left" w:pos="709"/>
        </w:tabs>
        <w:spacing w:after="0" w:line="240" w:lineRule="auto"/>
        <w:ind w:left="0"/>
        <w:jc w:val="both"/>
        <w:rPr>
          <w:rFonts w:ascii="Arial" w:eastAsia="Arial" w:hAnsi="Arial" w:cs="Arial"/>
          <w:b/>
          <w:sz w:val="20"/>
          <w:szCs w:val="20"/>
        </w:rPr>
      </w:pPr>
    </w:p>
    <w:p w:rsidR="00727018" w:rsidRPr="009E038F" w:rsidRDefault="00D9405B" w:rsidP="00727018">
      <w:pPr>
        <w:pStyle w:val="ListParagraph"/>
        <w:numPr>
          <w:ilvl w:val="0"/>
          <w:numId w:val="25"/>
        </w:numPr>
        <w:tabs>
          <w:tab w:val="left" w:pos="709"/>
        </w:tabs>
        <w:spacing w:after="0" w:line="240" w:lineRule="auto"/>
        <w:jc w:val="both"/>
        <w:rPr>
          <w:rFonts w:ascii="Arial" w:eastAsia="Arial" w:hAnsi="Arial" w:cs="Arial"/>
          <w:sz w:val="20"/>
          <w:szCs w:val="20"/>
        </w:rPr>
      </w:pPr>
      <w:r w:rsidRPr="009E038F">
        <w:rPr>
          <w:rFonts w:ascii="Arial" w:eastAsia="Arial" w:hAnsi="Arial" w:cs="Arial"/>
          <w:b/>
          <w:sz w:val="20"/>
          <w:szCs w:val="20"/>
        </w:rPr>
        <w:t>Julissa</w:t>
      </w:r>
      <w:r w:rsidR="00C478E1" w:rsidRPr="009E038F">
        <w:rPr>
          <w:rFonts w:ascii="Arial" w:eastAsia="Arial" w:hAnsi="Arial" w:cs="Arial"/>
          <w:b/>
          <w:sz w:val="20"/>
          <w:szCs w:val="20"/>
        </w:rPr>
        <w:t xml:space="preserve"> </w:t>
      </w:r>
      <w:r w:rsidRPr="009E038F">
        <w:rPr>
          <w:rFonts w:ascii="Arial" w:eastAsia="Arial" w:hAnsi="Arial" w:cs="Arial"/>
          <w:b/>
          <w:sz w:val="20"/>
          <w:szCs w:val="20"/>
        </w:rPr>
        <w:t>Mantilla Falcón,</w:t>
      </w:r>
      <w:r w:rsidRPr="009E038F">
        <w:rPr>
          <w:rFonts w:ascii="Arial" w:eastAsia="Arial" w:hAnsi="Arial" w:cs="Arial"/>
          <w:sz w:val="20"/>
          <w:szCs w:val="20"/>
        </w:rPr>
        <w:t xml:space="preserve"> </w:t>
      </w:r>
      <w:r w:rsidR="00521CA3" w:rsidRPr="009E038F">
        <w:rPr>
          <w:rFonts w:ascii="Arial" w:eastAsia="Arial" w:hAnsi="Arial" w:cs="Arial"/>
          <w:sz w:val="20"/>
          <w:szCs w:val="20"/>
        </w:rPr>
        <w:t xml:space="preserve">ha sido </w:t>
      </w:r>
      <w:r w:rsidRPr="009E038F">
        <w:rPr>
          <w:rFonts w:ascii="Arial" w:eastAsia="Arial" w:hAnsi="Arial" w:cs="Arial"/>
          <w:sz w:val="20"/>
          <w:szCs w:val="20"/>
        </w:rPr>
        <w:t xml:space="preserve">elegida en junio de 2019, con ocasión de la 49° Asamblea General de la Organización de Estados Americanos, como nueva integrante de la </w:t>
      </w:r>
      <w:r w:rsidRPr="009E038F">
        <w:rPr>
          <w:rFonts w:ascii="Arial" w:eastAsia="Arial" w:hAnsi="Arial" w:cs="Arial"/>
          <w:sz w:val="20"/>
          <w:szCs w:val="20"/>
        </w:rPr>
        <w:lastRenderedPageBreak/>
        <w:t>Comisión Interamericana de Derechos Humanos (CIDH), para el periodo 2020-2023, ejercerá la relatoría para Argentina, Barbados, Belice, Costa Rica, Granada, San Vicente y las Granadinas y Uruguay de la CIDH, la relatoría sobre los Derechos de las Personas Migrantes y sobre los Derechos de las Personas Mayore</w:t>
      </w:r>
      <w:r w:rsidR="00521CA3" w:rsidRPr="009E038F">
        <w:rPr>
          <w:rFonts w:ascii="Arial" w:eastAsia="Arial" w:hAnsi="Arial" w:cs="Arial"/>
          <w:sz w:val="20"/>
          <w:szCs w:val="20"/>
        </w:rPr>
        <w:t>s</w:t>
      </w:r>
      <w:r w:rsidR="00727018" w:rsidRPr="009E038F">
        <w:rPr>
          <w:rStyle w:val="FootnoteReference"/>
          <w:rFonts w:ascii="Arial" w:eastAsia="Arial" w:hAnsi="Arial" w:cs="Arial"/>
          <w:sz w:val="20"/>
          <w:szCs w:val="20"/>
        </w:rPr>
        <w:footnoteReference w:id="15"/>
      </w:r>
      <w:r w:rsidR="00521CA3" w:rsidRPr="009E038F">
        <w:rPr>
          <w:rFonts w:ascii="Arial" w:eastAsia="Arial" w:hAnsi="Arial" w:cs="Arial"/>
          <w:sz w:val="20"/>
          <w:szCs w:val="20"/>
        </w:rPr>
        <w:t>.</w:t>
      </w:r>
    </w:p>
    <w:p w:rsidR="00727018" w:rsidRPr="009E038F" w:rsidRDefault="00727018" w:rsidP="00727018">
      <w:pPr>
        <w:pStyle w:val="ListParagraph"/>
        <w:tabs>
          <w:tab w:val="left" w:pos="709"/>
        </w:tabs>
        <w:spacing w:after="0" w:line="240" w:lineRule="auto"/>
        <w:jc w:val="both"/>
        <w:rPr>
          <w:rFonts w:ascii="Arial" w:eastAsia="Arial" w:hAnsi="Arial" w:cs="Arial"/>
          <w:sz w:val="20"/>
          <w:szCs w:val="20"/>
        </w:rPr>
      </w:pPr>
    </w:p>
    <w:p w:rsidR="00727018" w:rsidRPr="009E038F" w:rsidRDefault="00627FF8" w:rsidP="00727018">
      <w:pPr>
        <w:pStyle w:val="ListParagraph"/>
        <w:numPr>
          <w:ilvl w:val="0"/>
          <w:numId w:val="25"/>
        </w:numPr>
        <w:tabs>
          <w:tab w:val="left" w:pos="709"/>
        </w:tabs>
        <w:spacing w:after="0" w:line="240" w:lineRule="auto"/>
        <w:jc w:val="both"/>
        <w:rPr>
          <w:rFonts w:ascii="Arial" w:eastAsia="Arial" w:hAnsi="Arial" w:cs="Arial"/>
          <w:sz w:val="20"/>
          <w:szCs w:val="20"/>
        </w:rPr>
      </w:pPr>
      <w:r w:rsidRPr="009E038F">
        <w:rPr>
          <w:rFonts w:ascii="Arial" w:eastAsia="Arial" w:hAnsi="Arial" w:cs="Arial"/>
          <w:b/>
          <w:sz w:val="20"/>
          <w:szCs w:val="20"/>
        </w:rPr>
        <w:t>Carmen</w:t>
      </w:r>
      <w:r w:rsidR="00C15AF1" w:rsidRPr="009E038F">
        <w:rPr>
          <w:rFonts w:ascii="Arial" w:eastAsia="Arial" w:hAnsi="Arial" w:cs="Arial"/>
          <w:b/>
          <w:sz w:val="20"/>
          <w:szCs w:val="20"/>
        </w:rPr>
        <w:t xml:space="preserve"> Rosa</w:t>
      </w:r>
      <w:r w:rsidR="00C478E1" w:rsidRPr="009E038F">
        <w:rPr>
          <w:rFonts w:ascii="Arial" w:eastAsia="Arial" w:hAnsi="Arial" w:cs="Arial"/>
          <w:b/>
          <w:sz w:val="20"/>
          <w:szCs w:val="20"/>
        </w:rPr>
        <w:t xml:space="preserve"> </w:t>
      </w:r>
      <w:r w:rsidR="00C15AF1" w:rsidRPr="009E038F">
        <w:rPr>
          <w:rFonts w:ascii="Arial" w:eastAsia="Arial" w:hAnsi="Arial" w:cs="Arial"/>
          <w:b/>
          <w:sz w:val="20"/>
          <w:szCs w:val="20"/>
        </w:rPr>
        <w:t xml:space="preserve">Villa </w:t>
      </w:r>
      <w:r w:rsidR="00521CA3" w:rsidRPr="009E038F">
        <w:rPr>
          <w:rFonts w:ascii="Arial" w:eastAsia="Arial" w:hAnsi="Arial" w:cs="Arial"/>
          <w:b/>
          <w:sz w:val="20"/>
          <w:szCs w:val="20"/>
        </w:rPr>
        <w:t>Quintana,</w:t>
      </w:r>
      <w:r w:rsidR="00521CA3" w:rsidRPr="009E038F">
        <w:rPr>
          <w:rFonts w:ascii="Arial" w:eastAsia="Arial" w:hAnsi="Arial" w:cs="Arial"/>
          <w:sz w:val="20"/>
          <w:szCs w:val="20"/>
        </w:rPr>
        <w:t xml:space="preserve"> ha sido e</w:t>
      </w:r>
      <w:r w:rsidR="00C15AF1" w:rsidRPr="009E038F">
        <w:rPr>
          <w:rFonts w:ascii="Arial" w:eastAsia="Arial" w:hAnsi="Arial" w:cs="Arial"/>
          <w:sz w:val="20"/>
          <w:szCs w:val="20"/>
        </w:rPr>
        <w:t>legida en junio de 2019, como miembro del Comité Contra Desapariciones Forzadas de la ONU, para el periodo 2019-2023</w:t>
      </w:r>
      <w:r w:rsidR="00727018" w:rsidRPr="009E038F">
        <w:rPr>
          <w:rStyle w:val="FootnoteReference"/>
          <w:rFonts w:ascii="Arial" w:eastAsia="Arial" w:hAnsi="Arial" w:cs="Arial"/>
          <w:sz w:val="20"/>
          <w:szCs w:val="20"/>
        </w:rPr>
        <w:footnoteReference w:id="16"/>
      </w:r>
      <w:r w:rsidR="00C15AF1" w:rsidRPr="009E038F">
        <w:rPr>
          <w:rFonts w:ascii="Arial" w:eastAsia="Arial" w:hAnsi="Arial" w:cs="Arial"/>
          <w:sz w:val="20"/>
          <w:szCs w:val="20"/>
        </w:rPr>
        <w:t>.</w:t>
      </w:r>
    </w:p>
    <w:p w:rsidR="00727018" w:rsidRPr="009E038F" w:rsidRDefault="00727018" w:rsidP="00727018">
      <w:pPr>
        <w:pStyle w:val="ListParagraph"/>
        <w:rPr>
          <w:rFonts w:ascii="Arial" w:eastAsia="Arial" w:hAnsi="Arial" w:cs="Arial"/>
          <w:b/>
          <w:sz w:val="20"/>
          <w:szCs w:val="20"/>
        </w:rPr>
      </w:pPr>
    </w:p>
    <w:p w:rsidR="00C15AF1" w:rsidRPr="009E038F" w:rsidRDefault="00C478E1" w:rsidP="00727018">
      <w:pPr>
        <w:pStyle w:val="ListParagraph"/>
        <w:numPr>
          <w:ilvl w:val="0"/>
          <w:numId w:val="25"/>
        </w:numPr>
        <w:tabs>
          <w:tab w:val="left" w:pos="709"/>
        </w:tabs>
        <w:spacing w:after="0" w:line="240" w:lineRule="auto"/>
        <w:jc w:val="both"/>
        <w:rPr>
          <w:rFonts w:ascii="Arial" w:eastAsia="Arial" w:hAnsi="Arial" w:cs="Arial"/>
          <w:sz w:val="20"/>
          <w:szCs w:val="20"/>
        </w:rPr>
      </w:pPr>
      <w:r w:rsidRPr="009E038F">
        <w:rPr>
          <w:rFonts w:ascii="Arial" w:eastAsia="Arial" w:hAnsi="Arial" w:cs="Arial"/>
          <w:b/>
          <w:sz w:val="20"/>
          <w:szCs w:val="20"/>
        </w:rPr>
        <w:t xml:space="preserve">Gladys </w:t>
      </w:r>
      <w:r w:rsidR="00C15AF1" w:rsidRPr="009E038F">
        <w:rPr>
          <w:rFonts w:ascii="Arial" w:eastAsia="Arial" w:hAnsi="Arial" w:cs="Arial"/>
          <w:b/>
          <w:sz w:val="20"/>
          <w:szCs w:val="20"/>
        </w:rPr>
        <w:t>Acosta Vargas,</w:t>
      </w:r>
      <w:r w:rsidR="00C15AF1" w:rsidRPr="009E038F">
        <w:rPr>
          <w:rFonts w:ascii="Arial" w:eastAsia="Arial" w:hAnsi="Arial" w:cs="Arial"/>
          <w:sz w:val="20"/>
          <w:szCs w:val="20"/>
        </w:rPr>
        <w:t xml:space="preserve"> </w:t>
      </w:r>
      <w:r w:rsidR="00521CA3" w:rsidRPr="009E038F">
        <w:rPr>
          <w:rFonts w:ascii="Arial" w:eastAsia="Arial" w:hAnsi="Arial" w:cs="Arial"/>
          <w:sz w:val="20"/>
          <w:szCs w:val="20"/>
        </w:rPr>
        <w:t xml:space="preserve">ha sido </w:t>
      </w:r>
      <w:r w:rsidR="00345C5C" w:rsidRPr="009E038F">
        <w:rPr>
          <w:rFonts w:ascii="Arial" w:eastAsia="Arial" w:hAnsi="Arial" w:cs="Arial"/>
          <w:sz w:val="20"/>
          <w:szCs w:val="20"/>
        </w:rPr>
        <w:t>nombrada en septiembre de 2019, como vicepresidenta del Comité para la Eliminación de la Discriminación contra la Mujer (CEDAW) de Naciones Unidas, para el periodo 2019-2022</w:t>
      </w:r>
      <w:r w:rsidR="00727018" w:rsidRPr="009E038F">
        <w:rPr>
          <w:rStyle w:val="FootnoteReference"/>
          <w:rFonts w:ascii="Arial" w:eastAsia="Arial" w:hAnsi="Arial" w:cs="Arial"/>
          <w:sz w:val="20"/>
          <w:szCs w:val="20"/>
        </w:rPr>
        <w:footnoteReference w:id="17"/>
      </w:r>
      <w:r w:rsidR="00345C5C" w:rsidRPr="009E038F">
        <w:rPr>
          <w:rFonts w:ascii="Arial" w:eastAsia="Arial" w:hAnsi="Arial" w:cs="Arial"/>
          <w:sz w:val="20"/>
          <w:szCs w:val="20"/>
        </w:rPr>
        <w:t>.</w:t>
      </w:r>
    </w:p>
    <w:p w:rsidR="00345C5C" w:rsidRPr="009E038F" w:rsidRDefault="00345C5C" w:rsidP="00727018">
      <w:pPr>
        <w:pStyle w:val="ListParagraph"/>
        <w:tabs>
          <w:tab w:val="left" w:pos="709"/>
        </w:tabs>
        <w:spacing w:after="0" w:line="240" w:lineRule="auto"/>
        <w:ind w:left="0"/>
        <w:jc w:val="both"/>
        <w:rPr>
          <w:rFonts w:ascii="Arial" w:eastAsia="Arial" w:hAnsi="Arial" w:cs="Arial"/>
          <w:sz w:val="20"/>
          <w:szCs w:val="20"/>
        </w:rPr>
      </w:pPr>
    </w:p>
    <w:p w:rsidR="00345C5C" w:rsidRPr="009E038F" w:rsidRDefault="00727018" w:rsidP="00521CA3">
      <w:pPr>
        <w:pStyle w:val="ListParagraph"/>
        <w:numPr>
          <w:ilvl w:val="3"/>
          <w:numId w:val="1"/>
        </w:numPr>
        <w:tabs>
          <w:tab w:val="left" w:pos="709"/>
        </w:tabs>
        <w:spacing w:after="0" w:line="240" w:lineRule="auto"/>
        <w:ind w:left="0" w:firstLine="0"/>
        <w:jc w:val="both"/>
        <w:rPr>
          <w:rFonts w:ascii="Arial" w:eastAsia="Arial" w:hAnsi="Arial" w:cs="Arial"/>
          <w:sz w:val="20"/>
          <w:szCs w:val="20"/>
        </w:rPr>
      </w:pPr>
      <w:r w:rsidRPr="009E038F">
        <w:rPr>
          <w:rFonts w:ascii="Arial" w:eastAsia="Arial" w:hAnsi="Arial" w:cs="Arial"/>
          <w:sz w:val="20"/>
          <w:szCs w:val="20"/>
        </w:rPr>
        <w:t>Finalmente</w:t>
      </w:r>
      <w:r w:rsidR="00345C5C" w:rsidRPr="009E038F">
        <w:rPr>
          <w:rFonts w:ascii="Arial" w:eastAsia="Arial" w:hAnsi="Arial" w:cs="Arial"/>
          <w:sz w:val="20"/>
          <w:szCs w:val="20"/>
        </w:rPr>
        <w:t xml:space="preserve">, </w:t>
      </w:r>
      <w:r w:rsidR="00521CA3" w:rsidRPr="009E038F">
        <w:rPr>
          <w:rFonts w:ascii="Arial" w:eastAsia="Arial" w:hAnsi="Arial" w:cs="Arial"/>
          <w:sz w:val="20"/>
          <w:szCs w:val="20"/>
        </w:rPr>
        <w:t>se adjunta</w:t>
      </w:r>
      <w:r w:rsidR="00345C5C" w:rsidRPr="009E038F">
        <w:rPr>
          <w:rFonts w:ascii="Arial" w:eastAsia="Arial" w:hAnsi="Arial" w:cs="Arial"/>
          <w:sz w:val="20"/>
          <w:szCs w:val="20"/>
        </w:rPr>
        <w:t xml:space="preserve"> la hoja de vida de cada una de las juristas peruanas que representan al Gobierno de Perú ante los órganos y mecanismos de derechos humanos.</w:t>
      </w:r>
    </w:p>
    <w:p w:rsidR="008B3B17" w:rsidRPr="009E038F" w:rsidRDefault="008B3B17" w:rsidP="00727018">
      <w:pPr>
        <w:pStyle w:val="ListParagraph"/>
        <w:tabs>
          <w:tab w:val="left" w:pos="709"/>
        </w:tabs>
        <w:spacing w:after="0" w:line="240" w:lineRule="auto"/>
        <w:ind w:left="0"/>
        <w:jc w:val="both"/>
        <w:rPr>
          <w:rFonts w:ascii="Arial" w:eastAsia="Arial" w:hAnsi="Arial" w:cs="Arial"/>
          <w:sz w:val="20"/>
          <w:szCs w:val="20"/>
        </w:rPr>
      </w:pPr>
    </w:p>
    <w:sectPr w:rsidR="008B3B17" w:rsidRPr="009E038F" w:rsidSect="00A351AE">
      <w:headerReference w:type="default" r:id="rId11"/>
      <w:footerReference w:type="default" r:id="rId12"/>
      <w:pgSz w:w="11906" w:h="16838"/>
      <w:pgMar w:top="1418" w:right="1418" w:bottom="1418" w:left="170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66B" w:rsidRDefault="0042666B">
      <w:pPr>
        <w:spacing w:after="0" w:line="240" w:lineRule="auto"/>
      </w:pPr>
      <w:r>
        <w:separator/>
      </w:r>
    </w:p>
  </w:endnote>
  <w:endnote w:type="continuationSeparator" w:id="0">
    <w:p w:rsidR="0042666B" w:rsidRDefault="0042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516421"/>
      <w:docPartObj>
        <w:docPartGallery w:val="Page Numbers (Bottom of Page)"/>
        <w:docPartUnique/>
      </w:docPartObj>
    </w:sdtPr>
    <w:sdtEndPr/>
    <w:sdtContent>
      <w:p w:rsidR="0091387F" w:rsidRDefault="0091387F">
        <w:pPr>
          <w:pStyle w:val="Footer"/>
          <w:jc w:val="right"/>
        </w:pPr>
        <w:r>
          <w:fldChar w:fldCharType="begin"/>
        </w:r>
        <w:r>
          <w:instrText>PAGE   \* MERGEFORMAT</w:instrText>
        </w:r>
        <w:r>
          <w:fldChar w:fldCharType="separate"/>
        </w:r>
        <w:r w:rsidR="00D0103F" w:rsidRPr="00D0103F">
          <w:rPr>
            <w:noProof/>
            <w:lang w:val="es-ES"/>
          </w:rPr>
          <w:t>1</w:t>
        </w:r>
        <w:r>
          <w:fldChar w:fldCharType="end"/>
        </w:r>
      </w:p>
    </w:sdtContent>
  </w:sdt>
  <w:p w:rsidR="0091387F" w:rsidRDefault="0091387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66B" w:rsidRDefault="0042666B">
      <w:pPr>
        <w:spacing w:after="0" w:line="240" w:lineRule="auto"/>
      </w:pPr>
      <w:bookmarkStart w:id="0" w:name="_Hlk30152575"/>
      <w:bookmarkEnd w:id="0"/>
      <w:r>
        <w:separator/>
      </w:r>
    </w:p>
  </w:footnote>
  <w:footnote w:type="continuationSeparator" w:id="0">
    <w:p w:rsidR="0042666B" w:rsidRDefault="0042666B">
      <w:pPr>
        <w:spacing w:after="0" w:line="240" w:lineRule="auto"/>
      </w:pPr>
      <w:r>
        <w:continuationSeparator/>
      </w:r>
    </w:p>
  </w:footnote>
  <w:footnote w:id="1">
    <w:p w:rsidR="0041747D" w:rsidRPr="00521CA3" w:rsidRDefault="0041747D" w:rsidP="0041747D">
      <w:pPr>
        <w:pStyle w:val="FootnoteText"/>
        <w:jc w:val="both"/>
        <w:rPr>
          <w:rFonts w:ascii="Times New Roman" w:hAnsi="Times New Roman" w:cs="Times New Roman"/>
          <w:sz w:val="18"/>
          <w:szCs w:val="18"/>
          <w:lang w:val="es-PE"/>
        </w:rPr>
      </w:pPr>
      <w:r w:rsidRPr="00521CA3">
        <w:rPr>
          <w:rStyle w:val="FootnoteReference"/>
          <w:rFonts w:ascii="Times New Roman" w:hAnsi="Times New Roman" w:cs="Times New Roman"/>
          <w:sz w:val="18"/>
          <w:szCs w:val="18"/>
        </w:rPr>
        <w:footnoteRef/>
      </w:r>
      <w:r w:rsidRPr="00521CA3">
        <w:rPr>
          <w:rFonts w:ascii="Times New Roman" w:hAnsi="Times New Roman" w:cs="Times New Roman"/>
          <w:sz w:val="18"/>
          <w:szCs w:val="18"/>
          <w:lang w:val="es-PE"/>
        </w:rPr>
        <w:t xml:space="preserve">Naciones Unidas. A/HRC/41/L.6/Rev.1. Consejo de Derechos Humanos “Eliminación de todas las formas de discriminación contra las mujeres y las niñas”. Disponible en: </w:t>
      </w:r>
      <w:hyperlink r:id="rId1" w:history="1">
        <w:r w:rsidRPr="00521CA3">
          <w:rPr>
            <w:rStyle w:val="Hyperlink"/>
            <w:rFonts w:ascii="Times New Roman" w:hAnsi="Times New Roman" w:cs="Times New Roman"/>
            <w:sz w:val="18"/>
            <w:szCs w:val="18"/>
          </w:rPr>
          <w:t>https://undocs.org/es/A/HRC/41/L.6/REV.1</w:t>
        </w:r>
      </w:hyperlink>
      <w:r w:rsidRPr="00521CA3">
        <w:rPr>
          <w:rFonts w:ascii="Times New Roman" w:hAnsi="Times New Roman" w:cs="Times New Roman"/>
          <w:sz w:val="18"/>
          <w:szCs w:val="18"/>
        </w:rPr>
        <w:t xml:space="preserve"> (Revisado 17.01.2019)</w:t>
      </w:r>
    </w:p>
  </w:footnote>
  <w:footnote w:id="2">
    <w:p w:rsidR="009C5A17" w:rsidRPr="00CB7A80" w:rsidRDefault="009C5A17" w:rsidP="00CB7A80">
      <w:pPr>
        <w:pStyle w:val="FootnoteText"/>
        <w:ind w:left="720" w:hanging="720"/>
        <w:rPr>
          <w:rFonts w:ascii="Times New Roman" w:hAnsi="Times New Roman" w:cs="Times New Roman"/>
          <w:lang w:val="es-PE"/>
        </w:rPr>
      </w:pPr>
      <w:r w:rsidRPr="00521CA3">
        <w:rPr>
          <w:rStyle w:val="FootnoteReference"/>
          <w:rFonts w:ascii="Times New Roman" w:hAnsi="Times New Roman" w:cs="Times New Roman"/>
          <w:sz w:val="18"/>
          <w:szCs w:val="18"/>
        </w:rPr>
        <w:footnoteRef/>
      </w:r>
      <w:r w:rsidRPr="00521CA3">
        <w:rPr>
          <w:rFonts w:ascii="Times New Roman" w:hAnsi="Times New Roman" w:cs="Times New Roman"/>
          <w:sz w:val="18"/>
          <w:szCs w:val="18"/>
        </w:rPr>
        <w:t xml:space="preserve"> </w:t>
      </w:r>
      <w:r w:rsidR="0041747D" w:rsidRPr="00521CA3">
        <w:rPr>
          <w:rFonts w:ascii="Times New Roman" w:hAnsi="Times New Roman" w:cs="Times New Roman"/>
          <w:sz w:val="18"/>
          <w:szCs w:val="18"/>
        </w:rPr>
        <w:t>Ibidem. Pág.</w:t>
      </w:r>
      <w:r w:rsidR="00CB7A80" w:rsidRPr="00521CA3">
        <w:rPr>
          <w:rFonts w:ascii="Times New Roman" w:hAnsi="Times New Roman" w:cs="Times New Roman"/>
          <w:sz w:val="18"/>
          <w:szCs w:val="18"/>
        </w:rPr>
        <w:t>2.</w:t>
      </w:r>
    </w:p>
  </w:footnote>
  <w:footnote w:id="3">
    <w:p w:rsidR="009C5A17" w:rsidRPr="00CB7A80" w:rsidRDefault="009C5A17" w:rsidP="00CB7A80">
      <w:pPr>
        <w:tabs>
          <w:tab w:val="left" w:pos="7797"/>
          <w:tab w:val="left" w:pos="8504"/>
        </w:tabs>
        <w:spacing w:after="0" w:line="240" w:lineRule="auto"/>
        <w:ind w:left="142" w:right="-1" w:hanging="142"/>
        <w:jc w:val="both"/>
        <w:rPr>
          <w:rFonts w:ascii="Times New Roman" w:hAnsi="Times New Roman" w:cs="Times New Roman"/>
          <w:sz w:val="18"/>
          <w:szCs w:val="18"/>
        </w:rPr>
      </w:pPr>
      <w:r w:rsidRPr="00CB7A80">
        <w:rPr>
          <w:rStyle w:val="FootnoteReference"/>
          <w:rFonts w:ascii="Times New Roman" w:hAnsi="Times New Roman" w:cs="Times New Roman"/>
          <w:sz w:val="18"/>
          <w:szCs w:val="18"/>
        </w:rPr>
        <w:footnoteRef/>
      </w:r>
      <w:r w:rsidRPr="00CB7A80">
        <w:rPr>
          <w:rFonts w:ascii="Times New Roman" w:hAnsi="Times New Roman" w:cs="Times New Roman"/>
          <w:sz w:val="18"/>
          <w:szCs w:val="18"/>
        </w:rPr>
        <w:t xml:space="preserve"> MIMP. D.S. núm. 008-2019-MIMP. Aprobado el 04.04.2019.</w:t>
      </w:r>
    </w:p>
  </w:footnote>
  <w:footnote w:id="4">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CONGRESO. Ley núm. 30709. 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 30.11.2017.</w:t>
      </w:r>
    </w:p>
  </w:footnote>
  <w:footnote w:id="5">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MTPE. D.S. núm. 002-2018-MTPE. 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 07.03.2018.</w:t>
      </w:r>
    </w:p>
  </w:footnote>
  <w:footnote w:id="6">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n-US"/>
        </w:rPr>
        <w:t xml:space="preserve"> MTPE. R.M. núm. 243-2018-TR. </w:t>
      </w:r>
      <w:r w:rsidRPr="00CB7A80">
        <w:rPr>
          <w:rFonts w:ascii="Times New Roman" w:hAnsi="Times New Roman" w:cs="Times New Roman"/>
          <w:sz w:val="18"/>
          <w:szCs w:val="18"/>
          <w:lang w:val="es-PE"/>
        </w:rPr>
        <w:t xml:space="preserve">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:24.09.2018.</w:t>
      </w:r>
    </w:p>
  </w:footnote>
  <w:footnote w:id="7">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MIMP. D.S. núm. 005-2017-MIMP. 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 20.07.2017.</w:t>
      </w:r>
    </w:p>
  </w:footnote>
  <w:footnote w:id="8">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PJ. R.A. núm.007-2018-CE-PJ. 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 19.01.2018.</w:t>
      </w:r>
    </w:p>
  </w:footnote>
  <w:footnote w:id="9">
    <w:p w:rsidR="009C5A17" w:rsidRPr="00CB7A80" w:rsidRDefault="009C5A17" w:rsidP="00CB7A80">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MINAGRI. Informe S/N-2018-MINAGRI-DVPA/DGESEP-DSEP. Fecha: 22.08.2018. Pág. 02.</w:t>
      </w:r>
    </w:p>
  </w:footnote>
  <w:footnote w:id="10">
    <w:p w:rsidR="00727018" w:rsidRPr="00CB7A80" w:rsidRDefault="00727018" w:rsidP="00727018">
      <w:pPr>
        <w:pStyle w:val="FootnoteText"/>
        <w:ind w:left="142" w:right="-1" w:hanging="142"/>
        <w:jc w:val="both"/>
        <w:rPr>
          <w:rFonts w:ascii="Times New Roman" w:hAnsi="Times New Roman" w:cs="Times New Roman"/>
          <w:sz w:val="18"/>
          <w:szCs w:val="18"/>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MINJUSDH. D.S. núm. 009-2019-JUS. Publicado en el Diario Oficial </w:t>
      </w:r>
      <w:r w:rsidRPr="00CB7A80">
        <w:rPr>
          <w:rFonts w:ascii="Times New Roman" w:hAnsi="Times New Roman" w:cs="Times New Roman"/>
          <w:i/>
          <w:sz w:val="18"/>
          <w:szCs w:val="18"/>
          <w:lang w:val="es-PE"/>
        </w:rPr>
        <w:t>El Peruano</w:t>
      </w:r>
      <w:r w:rsidRPr="00CB7A80">
        <w:rPr>
          <w:rFonts w:ascii="Times New Roman" w:hAnsi="Times New Roman" w:cs="Times New Roman"/>
          <w:sz w:val="18"/>
          <w:szCs w:val="18"/>
          <w:lang w:val="es-PE"/>
        </w:rPr>
        <w:t>: 11.03.2019.</w:t>
      </w:r>
    </w:p>
  </w:footnote>
  <w:footnote w:id="11">
    <w:p w:rsidR="009C5A17" w:rsidRPr="00CE3912" w:rsidRDefault="009C5A17" w:rsidP="00CB7A80">
      <w:pPr>
        <w:pStyle w:val="FootnoteText"/>
        <w:ind w:left="142" w:right="-1" w:hanging="142"/>
        <w:jc w:val="both"/>
        <w:rPr>
          <w:rFonts w:ascii="Times New Roman" w:hAnsi="Times New Roman"/>
          <w:sz w:val="16"/>
          <w:szCs w:val="16"/>
          <w:lang w:val="es-PE"/>
        </w:rPr>
      </w:pPr>
      <w:r w:rsidRPr="00CB7A80">
        <w:rPr>
          <w:rStyle w:val="FootnoteReference"/>
          <w:rFonts w:ascii="Times New Roman" w:hAnsi="Times New Roman" w:cs="Times New Roman"/>
          <w:sz w:val="18"/>
          <w:szCs w:val="18"/>
          <w:lang w:val="es-PE"/>
        </w:rPr>
        <w:footnoteRef/>
      </w:r>
      <w:r w:rsidRPr="00CB7A80">
        <w:rPr>
          <w:rFonts w:ascii="Times New Roman" w:hAnsi="Times New Roman" w:cs="Times New Roman"/>
          <w:sz w:val="18"/>
          <w:szCs w:val="18"/>
          <w:lang w:val="es-PE"/>
        </w:rPr>
        <w:t xml:space="preserve"> TC. Pleno. Consultado el 02.12.2019.</w:t>
      </w:r>
    </w:p>
  </w:footnote>
  <w:footnote w:id="12">
    <w:p w:rsidR="009C5A17" w:rsidRPr="00727018" w:rsidRDefault="009C5A17" w:rsidP="00521CA3">
      <w:pPr>
        <w:spacing w:after="0" w:line="240" w:lineRule="auto"/>
        <w:ind w:left="142" w:right="-1" w:hanging="142"/>
        <w:jc w:val="both"/>
        <w:rPr>
          <w:rFonts w:ascii="Times New Roman" w:hAnsi="Times New Roman" w:cs="Times New Roman"/>
          <w:sz w:val="18"/>
          <w:szCs w:val="18"/>
        </w:rPr>
      </w:pPr>
      <w:r w:rsidRPr="00727018">
        <w:rPr>
          <w:rStyle w:val="FootnoteReference"/>
          <w:rFonts w:ascii="Times New Roman" w:hAnsi="Times New Roman" w:cs="Times New Roman"/>
          <w:sz w:val="18"/>
          <w:szCs w:val="18"/>
        </w:rPr>
        <w:footnoteRef/>
      </w:r>
      <w:r w:rsidRPr="00727018">
        <w:rPr>
          <w:rFonts w:ascii="Times New Roman" w:hAnsi="Times New Roman" w:cs="Times New Roman"/>
          <w:sz w:val="18"/>
          <w:szCs w:val="18"/>
        </w:rPr>
        <w:t xml:space="preserve"> CONGRESO. Ley núm. 30996. Publicado en el Diario Oficial </w:t>
      </w:r>
      <w:r w:rsidRPr="00727018">
        <w:rPr>
          <w:rFonts w:ascii="Times New Roman" w:hAnsi="Times New Roman" w:cs="Times New Roman"/>
          <w:i/>
          <w:sz w:val="18"/>
          <w:szCs w:val="18"/>
        </w:rPr>
        <w:t xml:space="preserve">El Peruano: </w:t>
      </w:r>
      <w:r w:rsidRPr="00727018">
        <w:rPr>
          <w:rFonts w:ascii="Times New Roman" w:hAnsi="Times New Roman" w:cs="Times New Roman"/>
          <w:sz w:val="18"/>
          <w:szCs w:val="18"/>
        </w:rPr>
        <w:t>27.08.2019.</w:t>
      </w:r>
    </w:p>
  </w:footnote>
  <w:footnote w:id="13">
    <w:p w:rsidR="009C5A17" w:rsidRPr="00727018" w:rsidRDefault="009C5A17" w:rsidP="00521CA3">
      <w:pPr>
        <w:pStyle w:val="FootnoteText"/>
        <w:ind w:left="142" w:right="-1" w:hanging="142"/>
        <w:jc w:val="both"/>
        <w:rPr>
          <w:rFonts w:ascii="Times New Roman" w:hAnsi="Times New Roman" w:cs="Times New Roman"/>
          <w:sz w:val="18"/>
          <w:szCs w:val="18"/>
          <w:lang w:val="es-PE"/>
        </w:rPr>
      </w:pPr>
      <w:r w:rsidRPr="00727018">
        <w:rPr>
          <w:rStyle w:val="FootnoteReference"/>
          <w:rFonts w:ascii="Times New Roman" w:hAnsi="Times New Roman" w:cs="Times New Roman"/>
          <w:sz w:val="18"/>
          <w:szCs w:val="18"/>
          <w:lang w:val="es-PE"/>
        </w:rPr>
        <w:footnoteRef/>
      </w:r>
      <w:r w:rsidRPr="00727018">
        <w:rPr>
          <w:rFonts w:ascii="Times New Roman" w:hAnsi="Times New Roman" w:cs="Times New Roman"/>
          <w:sz w:val="18"/>
          <w:szCs w:val="18"/>
          <w:lang w:val="es-PE"/>
        </w:rPr>
        <w:t xml:space="preserve"> Ídem.</w:t>
      </w:r>
    </w:p>
  </w:footnote>
  <w:footnote w:id="14">
    <w:p w:rsidR="009C5A17" w:rsidRPr="00727018" w:rsidRDefault="009C5A17" w:rsidP="00521CA3">
      <w:pPr>
        <w:pStyle w:val="FootnoteText"/>
        <w:ind w:left="142" w:right="-1" w:hanging="142"/>
        <w:jc w:val="both"/>
        <w:rPr>
          <w:rFonts w:ascii="Times New Roman" w:hAnsi="Times New Roman"/>
          <w:sz w:val="18"/>
          <w:szCs w:val="18"/>
          <w:lang w:val="es-PE"/>
        </w:rPr>
      </w:pPr>
      <w:r w:rsidRPr="00727018">
        <w:rPr>
          <w:rStyle w:val="FootnoteReference"/>
          <w:rFonts w:ascii="Times New Roman" w:hAnsi="Times New Roman" w:cs="Times New Roman"/>
          <w:sz w:val="18"/>
          <w:szCs w:val="18"/>
          <w:lang w:val="es-PE"/>
        </w:rPr>
        <w:footnoteRef/>
      </w:r>
      <w:r w:rsidRPr="00727018">
        <w:rPr>
          <w:rFonts w:ascii="Times New Roman" w:hAnsi="Times New Roman" w:cs="Times New Roman"/>
          <w:sz w:val="18"/>
          <w:szCs w:val="18"/>
          <w:lang w:val="es-PE"/>
        </w:rPr>
        <w:t xml:space="preserve"> Oficio núm. 2203-2018-DNEF/JNE. Pág. 05.</w:t>
      </w:r>
    </w:p>
  </w:footnote>
  <w:footnote w:id="15">
    <w:p w:rsidR="00727018" w:rsidRPr="00727018" w:rsidRDefault="00727018">
      <w:pPr>
        <w:pStyle w:val="FootnoteText"/>
        <w:rPr>
          <w:rFonts w:ascii="Times New Roman" w:hAnsi="Times New Roman" w:cs="Times New Roman"/>
          <w:sz w:val="18"/>
          <w:szCs w:val="18"/>
          <w:lang w:val="es-PE"/>
        </w:rPr>
      </w:pPr>
      <w:r w:rsidRPr="00727018">
        <w:rPr>
          <w:rStyle w:val="FootnoteReference"/>
          <w:rFonts w:ascii="Times New Roman" w:hAnsi="Times New Roman" w:cs="Times New Roman"/>
          <w:sz w:val="18"/>
          <w:szCs w:val="18"/>
        </w:rPr>
        <w:footnoteRef/>
      </w:r>
      <w:r w:rsidRPr="00727018">
        <w:rPr>
          <w:rFonts w:ascii="Times New Roman" w:hAnsi="Times New Roman" w:cs="Times New Roman"/>
          <w:sz w:val="18"/>
          <w:szCs w:val="18"/>
        </w:rPr>
        <w:t xml:space="preserve"> </w:t>
      </w:r>
      <w:r w:rsidRPr="00727018">
        <w:rPr>
          <w:rFonts w:ascii="Times New Roman" w:hAnsi="Times New Roman" w:cs="Times New Roman"/>
          <w:sz w:val="18"/>
          <w:szCs w:val="18"/>
          <w:lang w:val="es-PE"/>
        </w:rPr>
        <w:t>Anexo 01</w:t>
      </w:r>
    </w:p>
  </w:footnote>
  <w:footnote w:id="16">
    <w:p w:rsidR="00727018" w:rsidRPr="00727018" w:rsidRDefault="00727018">
      <w:pPr>
        <w:pStyle w:val="FootnoteText"/>
        <w:rPr>
          <w:rFonts w:ascii="Times New Roman" w:hAnsi="Times New Roman" w:cs="Times New Roman"/>
          <w:sz w:val="18"/>
          <w:szCs w:val="18"/>
          <w:lang w:val="es-PE"/>
        </w:rPr>
      </w:pPr>
      <w:r w:rsidRPr="00727018">
        <w:rPr>
          <w:rStyle w:val="FootnoteReference"/>
          <w:rFonts w:ascii="Times New Roman" w:hAnsi="Times New Roman" w:cs="Times New Roman"/>
          <w:sz w:val="18"/>
          <w:szCs w:val="18"/>
        </w:rPr>
        <w:footnoteRef/>
      </w:r>
      <w:r w:rsidRPr="00727018">
        <w:rPr>
          <w:rFonts w:ascii="Times New Roman" w:hAnsi="Times New Roman" w:cs="Times New Roman"/>
          <w:sz w:val="18"/>
          <w:szCs w:val="18"/>
        </w:rPr>
        <w:t xml:space="preserve"> </w:t>
      </w:r>
      <w:r w:rsidRPr="00727018">
        <w:rPr>
          <w:rFonts w:ascii="Times New Roman" w:hAnsi="Times New Roman" w:cs="Times New Roman"/>
          <w:sz w:val="18"/>
          <w:szCs w:val="18"/>
          <w:lang w:val="es-PE"/>
        </w:rPr>
        <w:t>Anexo 02</w:t>
      </w:r>
    </w:p>
  </w:footnote>
  <w:footnote w:id="17">
    <w:p w:rsidR="00727018" w:rsidRPr="00727018" w:rsidRDefault="00727018">
      <w:pPr>
        <w:pStyle w:val="FootnoteText"/>
        <w:rPr>
          <w:lang w:val="es-PE"/>
        </w:rPr>
      </w:pPr>
      <w:r w:rsidRPr="00727018">
        <w:rPr>
          <w:rStyle w:val="FootnoteReference"/>
          <w:rFonts w:ascii="Times New Roman" w:hAnsi="Times New Roman" w:cs="Times New Roman"/>
          <w:sz w:val="18"/>
          <w:szCs w:val="18"/>
        </w:rPr>
        <w:footnoteRef/>
      </w:r>
      <w:r w:rsidRPr="00727018">
        <w:rPr>
          <w:rFonts w:ascii="Times New Roman" w:hAnsi="Times New Roman" w:cs="Times New Roman"/>
          <w:sz w:val="18"/>
          <w:szCs w:val="18"/>
        </w:rPr>
        <w:t xml:space="preserve"> Anexo 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7F" w:rsidRDefault="0091387F">
    <w:pPr>
      <w:spacing w:after="0" w:line="240" w:lineRule="auto"/>
      <w:jc w:val="center"/>
      <w:rPr>
        <w:rFonts w:ascii="Arial" w:eastAsia="Arial" w:hAnsi="Arial" w:cs="Arial"/>
      </w:rPr>
    </w:pPr>
  </w:p>
  <w:p w:rsidR="009C5A17" w:rsidRDefault="009C5A17">
    <w:pPr>
      <w:spacing w:after="0" w:line="240" w:lineRule="auto"/>
      <w:jc w:val="center"/>
      <w:rPr>
        <w:rFonts w:ascii="Arial" w:eastAsia="Arial" w:hAnsi="Arial" w:cs="Arial"/>
      </w:rPr>
    </w:pPr>
  </w:p>
  <w:p w:rsidR="009C5A17" w:rsidRDefault="009C5A17">
    <w:pPr>
      <w:spacing w:after="0" w:line="240" w:lineRule="auto"/>
      <w:jc w:val="center"/>
      <w:rPr>
        <w:rFonts w:ascii="Arial" w:eastAsia="Arial" w:hAnsi="Arial" w:cs="Arial"/>
      </w:rPr>
    </w:pPr>
    <w:r>
      <w:rPr>
        <w:noProof/>
        <w:lang w:val="en-GB" w:eastAsia="en-GB"/>
      </w:rPr>
      <w:drawing>
        <wp:inline distT="0" distB="0" distL="114300" distR="114300" wp14:anchorId="3CD7A397" wp14:editId="37ABAE53">
          <wp:extent cx="5579745" cy="443865"/>
          <wp:effectExtent l="0" t="0" r="1905"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79745" cy="443865"/>
                  </a:xfrm>
                  <a:prstGeom prst="rect">
                    <a:avLst/>
                  </a:prstGeom>
                  <a:ln/>
                </pic:spPr>
              </pic:pic>
            </a:graphicData>
          </a:graphic>
        </wp:inline>
      </w:drawing>
    </w:r>
  </w:p>
  <w:p w:rsidR="009C5A17" w:rsidRPr="00CA5FFB" w:rsidRDefault="009C5A17" w:rsidP="009C5A17">
    <w:pPr>
      <w:tabs>
        <w:tab w:val="center" w:pos="4252"/>
        <w:tab w:val="right" w:pos="8504"/>
      </w:tabs>
      <w:spacing w:after="0" w:line="240" w:lineRule="auto"/>
      <w:rPr>
        <w:rFonts w:ascii="Arial Narrow" w:eastAsia="Cambria" w:hAnsi="Arial Narrow" w:cs="Cambria"/>
        <w:i/>
        <w:sz w:val="18"/>
        <w:szCs w:val="18"/>
      </w:rPr>
    </w:pPr>
  </w:p>
  <w:p w:rsidR="0091387F" w:rsidRPr="00CA5FFB" w:rsidRDefault="0091387F" w:rsidP="00C52E41">
    <w:pPr>
      <w:pStyle w:val="BodyTextIndent"/>
      <w:spacing w:after="0"/>
      <w:ind w:left="0"/>
      <w:jc w:val="center"/>
      <w:rPr>
        <w:rFonts w:ascii="Arial Narrow" w:hAnsi="Arial Narrow"/>
        <w:noProof/>
        <w:sz w:val="18"/>
        <w:szCs w:val="18"/>
        <w:lang w:val="es-PE" w:eastAsia="es-PE"/>
      </w:rPr>
    </w:pPr>
    <w:r w:rsidRPr="00CA5FFB">
      <w:rPr>
        <w:rFonts w:ascii="Arial Narrow" w:hAnsi="Arial Narrow"/>
        <w:noProof/>
        <w:sz w:val="18"/>
        <w:szCs w:val="18"/>
        <w:lang w:val="es-PE" w:eastAsia="es-PE"/>
      </w:rPr>
      <w:t>“Decenio de la Igualdad de Oportunidades para mujeres y hombre”</w:t>
    </w:r>
  </w:p>
  <w:p w:rsidR="009C5A17" w:rsidRPr="00CA5FFB" w:rsidRDefault="0091387F" w:rsidP="009C5A17">
    <w:pPr>
      <w:jc w:val="center"/>
      <w:rPr>
        <w:rFonts w:ascii="Arial Narrow" w:eastAsiaTheme="majorEastAsia" w:hAnsi="Arial Narrow" w:cs="Arial"/>
        <w:color w:val="000000"/>
        <w:sz w:val="18"/>
        <w:szCs w:val="18"/>
      </w:rPr>
    </w:pPr>
    <w:bookmarkStart w:id="7" w:name="_Hlk29482429"/>
    <w:bookmarkStart w:id="8" w:name="_Hlk29482430"/>
    <w:r w:rsidRPr="00CA5FFB">
      <w:rPr>
        <w:rFonts w:ascii="Arial Narrow" w:hAnsi="Arial Narrow"/>
        <w:noProof/>
        <w:sz w:val="18"/>
        <w:szCs w:val="18"/>
      </w:rPr>
      <w:t>“</w:t>
    </w:r>
    <w:r w:rsidR="00CA5FFB" w:rsidRPr="00CA5FFB">
      <w:rPr>
        <w:rFonts w:ascii="Arial Narrow" w:eastAsiaTheme="majorEastAsia" w:hAnsi="Arial Narrow" w:cs="Arial"/>
        <w:color w:val="000000"/>
        <w:sz w:val="18"/>
        <w:szCs w:val="18"/>
      </w:rPr>
      <w:t>Año de la Universalización de la Salud”</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685"/>
    <w:multiLevelType w:val="hybridMultilevel"/>
    <w:tmpl w:val="94E828FE"/>
    <w:lvl w:ilvl="0" w:tplc="02526AC6">
      <w:start w:val="1"/>
      <w:numFmt w:val="decimal"/>
      <w:lvlText w:val="%1."/>
      <w:lvlJc w:val="left"/>
      <w:pPr>
        <w:ind w:left="720" w:hanging="360"/>
      </w:pPr>
      <w:rPr>
        <w:rFonts w:hint="default"/>
        <w:sz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6216127"/>
    <w:multiLevelType w:val="hybridMultilevel"/>
    <w:tmpl w:val="4706063E"/>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550C44"/>
    <w:multiLevelType w:val="hybridMultilevel"/>
    <w:tmpl w:val="F21A560A"/>
    <w:lvl w:ilvl="0" w:tplc="2446F1A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42D430DE">
      <w:start w:val="1"/>
      <w:numFmt w:val="decimal"/>
      <w:lvlText w:val="%4."/>
      <w:lvlJc w:val="left"/>
      <w:pPr>
        <w:ind w:left="360" w:hanging="360"/>
      </w:pPr>
      <w:rPr>
        <w:rFonts w:ascii="Times New Roman" w:hAnsi="Times New Roman" w:cs="Times New Roman" w:hint="default"/>
        <w:b w:val="0"/>
        <w:sz w:val="21"/>
        <w:szCs w:val="21"/>
        <w:vertAlign w:val="baseline"/>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90B4E"/>
    <w:multiLevelType w:val="hybridMultilevel"/>
    <w:tmpl w:val="AC8ADD04"/>
    <w:lvl w:ilvl="0" w:tplc="DF3E0810">
      <w:start w:val="1"/>
      <w:numFmt w:val="lowerLetter"/>
      <w:lvlText w:val="%1)"/>
      <w:lvlJc w:val="left"/>
      <w:pPr>
        <w:ind w:left="786" w:hanging="360"/>
      </w:pPr>
      <w:rPr>
        <w:rFonts w:ascii="Garamond" w:eastAsia="Arial" w:hAnsi="Garamond" w:cs="Arial" w:hint="default"/>
        <w:sz w:val="24"/>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22BE7B36"/>
    <w:multiLevelType w:val="hybridMultilevel"/>
    <w:tmpl w:val="27F2C694"/>
    <w:lvl w:ilvl="0" w:tplc="AB50D1D4">
      <w:start w:val="1"/>
      <w:numFmt w:val="bullet"/>
      <w:lvlText w:val="-"/>
      <w:lvlJc w:val="left"/>
      <w:pPr>
        <w:ind w:left="720" w:hanging="360"/>
      </w:pPr>
      <w:rPr>
        <w:rFonts w:ascii="Arial Narrow" w:eastAsia="Arial"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491153F"/>
    <w:multiLevelType w:val="hybridMultilevel"/>
    <w:tmpl w:val="783631C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CAA2DD9"/>
    <w:multiLevelType w:val="hybridMultilevel"/>
    <w:tmpl w:val="23C47790"/>
    <w:lvl w:ilvl="0" w:tplc="280A000D">
      <w:start w:val="1"/>
      <w:numFmt w:val="bullet"/>
      <w:lvlText w:val=""/>
      <w:lvlJc w:val="left"/>
      <w:pPr>
        <w:ind w:left="1095" w:hanging="360"/>
      </w:pPr>
      <w:rPr>
        <w:rFonts w:ascii="Wingdings" w:hAnsi="Wingdings" w:hint="default"/>
      </w:rPr>
    </w:lvl>
    <w:lvl w:ilvl="1" w:tplc="280A0003" w:tentative="1">
      <w:start w:val="1"/>
      <w:numFmt w:val="bullet"/>
      <w:lvlText w:val="o"/>
      <w:lvlJc w:val="left"/>
      <w:pPr>
        <w:ind w:left="1815" w:hanging="360"/>
      </w:pPr>
      <w:rPr>
        <w:rFonts w:ascii="Courier New" w:hAnsi="Courier New" w:cs="Courier New" w:hint="default"/>
      </w:rPr>
    </w:lvl>
    <w:lvl w:ilvl="2" w:tplc="280A0005" w:tentative="1">
      <w:start w:val="1"/>
      <w:numFmt w:val="bullet"/>
      <w:lvlText w:val=""/>
      <w:lvlJc w:val="left"/>
      <w:pPr>
        <w:ind w:left="2535" w:hanging="360"/>
      </w:pPr>
      <w:rPr>
        <w:rFonts w:ascii="Wingdings" w:hAnsi="Wingdings" w:hint="default"/>
      </w:rPr>
    </w:lvl>
    <w:lvl w:ilvl="3" w:tplc="280A0001" w:tentative="1">
      <w:start w:val="1"/>
      <w:numFmt w:val="bullet"/>
      <w:lvlText w:val=""/>
      <w:lvlJc w:val="left"/>
      <w:pPr>
        <w:ind w:left="3255" w:hanging="360"/>
      </w:pPr>
      <w:rPr>
        <w:rFonts w:ascii="Symbol" w:hAnsi="Symbol" w:hint="default"/>
      </w:rPr>
    </w:lvl>
    <w:lvl w:ilvl="4" w:tplc="280A0003" w:tentative="1">
      <w:start w:val="1"/>
      <w:numFmt w:val="bullet"/>
      <w:lvlText w:val="o"/>
      <w:lvlJc w:val="left"/>
      <w:pPr>
        <w:ind w:left="3975" w:hanging="360"/>
      </w:pPr>
      <w:rPr>
        <w:rFonts w:ascii="Courier New" w:hAnsi="Courier New" w:cs="Courier New" w:hint="default"/>
      </w:rPr>
    </w:lvl>
    <w:lvl w:ilvl="5" w:tplc="280A0005" w:tentative="1">
      <w:start w:val="1"/>
      <w:numFmt w:val="bullet"/>
      <w:lvlText w:val=""/>
      <w:lvlJc w:val="left"/>
      <w:pPr>
        <w:ind w:left="4695" w:hanging="360"/>
      </w:pPr>
      <w:rPr>
        <w:rFonts w:ascii="Wingdings" w:hAnsi="Wingdings" w:hint="default"/>
      </w:rPr>
    </w:lvl>
    <w:lvl w:ilvl="6" w:tplc="280A0001" w:tentative="1">
      <w:start w:val="1"/>
      <w:numFmt w:val="bullet"/>
      <w:lvlText w:val=""/>
      <w:lvlJc w:val="left"/>
      <w:pPr>
        <w:ind w:left="5415" w:hanging="360"/>
      </w:pPr>
      <w:rPr>
        <w:rFonts w:ascii="Symbol" w:hAnsi="Symbol" w:hint="default"/>
      </w:rPr>
    </w:lvl>
    <w:lvl w:ilvl="7" w:tplc="280A0003" w:tentative="1">
      <w:start w:val="1"/>
      <w:numFmt w:val="bullet"/>
      <w:lvlText w:val="o"/>
      <w:lvlJc w:val="left"/>
      <w:pPr>
        <w:ind w:left="6135" w:hanging="360"/>
      </w:pPr>
      <w:rPr>
        <w:rFonts w:ascii="Courier New" w:hAnsi="Courier New" w:cs="Courier New" w:hint="default"/>
      </w:rPr>
    </w:lvl>
    <w:lvl w:ilvl="8" w:tplc="280A0005" w:tentative="1">
      <w:start w:val="1"/>
      <w:numFmt w:val="bullet"/>
      <w:lvlText w:val=""/>
      <w:lvlJc w:val="left"/>
      <w:pPr>
        <w:ind w:left="6855" w:hanging="360"/>
      </w:pPr>
      <w:rPr>
        <w:rFonts w:ascii="Wingdings" w:hAnsi="Wingdings" w:hint="default"/>
      </w:rPr>
    </w:lvl>
  </w:abstractNum>
  <w:abstractNum w:abstractNumId="7" w15:restartNumberingAfterBreak="0">
    <w:nsid w:val="2F8E0B92"/>
    <w:multiLevelType w:val="hybridMultilevel"/>
    <w:tmpl w:val="753611E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F875466"/>
    <w:multiLevelType w:val="hybridMultilevel"/>
    <w:tmpl w:val="94E828FE"/>
    <w:lvl w:ilvl="0" w:tplc="02526AC6">
      <w:start w:val="1"/>
      <w:numFmt w:val="decimal"/>
      <w:lvlText w:val="%1."/>
      <w:lvlJc w:val="left"/>
      <w:pPr>
        <w:ind w:left="720" w:hanging="360"/>
      </w:pPr>
      <w:rPr>
        <w:rFonts w:hint="default"/>
        <w:sz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0605A52"/>
    <w:multiLevelType w:val="hybridMultilevel"/>
    <w:tmpl w:val="8432E97E"/>
    <w:lvl w:ilvl="0" w:tplc="280A000F">
      <w:start w:val="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12154ED"/>
    <w:multiLevelType w:val="multilevel"/>
    <w:tmpl w:val="8270937E"/>
    <w:lvl w:ilvl="0">
      <w:start w:val="1"/>
      <w:numFmt w:val="upperRoman"/>
      <w:lvlText w:val="%1."/>
      <w:lvlJc w:val="righ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5202E4"/>
    <w:multiLevelType w:val="multilevel"/>
    <w:tmpl w:val="DAE62A90"/>
    <w:lvl w:ilvl="0">
      <w:start w:val="1"/>
      <w:numFmt w:val="upperRoman"/>
      <w:lvlText w:val="%1."/>
      <w:lvlJc w:val="right"/>
      <w:pPr>
        <w:ind w:left="720" w:hanging="360"/>
      </w:pPr>
    </w:lvl>
    <w:lvl w:ilvl="1">
      <w:start w:val="1"/>
      <w:numFmt w:val="decimal"/>
      <w:isLgl/>
      <w:lvlText w:val="%1.%2"/>
      <w:lvlJc w:val="left"/>
      <w:pPr>
        <w:ind w:left="927" w:hanging="360"/>
      </w:pPr>
      <w:rPr>
        <w:rFonts w:hint="default"/>
        <w:b/>
        <w:bCs/>
        <w:i w:val="0"/>
        <w:i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544541A"/>
    <w:multiLevelType w:val="hybridMultilevel"/>
    <w:tmpl w:val="8A9865B4"/>
    <w:lvl w:ilvl="0" w:tplc="FA2607E0">
      <w:start w:val="1"/>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5EE5513"/>
    <w:multiLevelType w:val="hybridMultilevel"/>
    <w:tmpl w:val="5866B600"/>
    <w:lvl w:ilvl="0" w:tplc="280A000F">
      <w:start w:val="9"/>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6C92CCC"/>
    <w:multiLevelType w:val="hybridMultilevel"/>
    <w:tmpl w:val="5A5CDBE8"/>
    <w:lvl w:ilvl="0" w:tplc="6B4A4E32">
      <w:start w:val="4"/>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9D69AC"/>
    <w:multiLevelType w:val="hybridMultilevel"/>
    <w:tmpl w:val="D2D6D45A"/>
    <w:lvl w:ilvl="0" w:tplc="06540D54">
      <w:start w:val="42"/>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BB453E8"/>
    <w:multiLevelType w:val="multilevel"/>
    <w:tmpl w:val="491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173FA"/>
    <w:multiLevelType w:val="hybridMultilevel"/>
    <w:tmpl w:val="14B4BBA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FD06891"/>
    <w:multiLevelType w:val="multilevel"/>
    <w:tmpl w:val="AAA4BF9A"/>
    <w:lvl w:ilvl="0">
      <w:start w:val="17"/>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04D29C4"/>
    <w:multiLevelType w:val="hybridMultilevel"/>
    <w:tmpl w:val="2FD8D9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A9F1424"/>
    <w:multiLevelType w:val="multilevel"/>
    <w:tmpl w:val="94BC9DBA"/>
    <w:lvl w:ilvl="0">
      <w:start w:val="1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76196EDA"/>
    <w:multiLevelType w:val="hybridMultilevel"/>
    <w:tmpl w:val="BE9E398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843071F"/>
    <w:multiLevelType w:val="hybridMultilevel"/>
    <w:tmpl w:val="1BB68204"/>
    <w:lvl w:ilvl="0" w:tplc="678AA99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8647715"/>
    <w:multiLevelType w:val="multilevel"/>
    <w:tmpl w:val="4E3600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D01B41"/>
    <w:multiLevelType w:val="hybridMultilevel"/>
    <w:tmpl w:val="52944FB2"/>
    <w:lvl w:ilvl="0" w:tplc="89A4D68C">
      <w:start w:val="42"/>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24"/>
  </w:num>
  <w:num w:numId="6">
    <w:abstractNumId w:val="15"/>
  </w:num>
  <w:num w:numId="7">
    <w:abstractNumId w:val="17"/>
  </w:num>
  <w:num w:numId="8">
    <w:abstractNumId w:val="4"/>
  </w:num>
  <w:num w:numId="9">
    <w:abstractNumId w:val="12"/>
  </w:num>
  <w:num w:numId="10">
    <w:abstractNumId w:val="19"/>
  </w:num>
  <w:num w:numId="11">
    <w:abstractNumId w:val="16"/>
  </w:num>
  <w:num w:numId="12">
    <w:abstractNumId w:val="14"/>
  </w:num>
  <w:num w:numId="13">
    <w:abstractNumId w:val="10"/>
  </w:num>
  <w:num w:numId="14">
    <w:abstractNumId w:val="3"/>
  </w:num>
  <w:num w:numId="15">
    <w:abstractNumId w:val="1"/>
  </w:num>
  <w:num w:numId="16">
    <w:abstractNumId w:val="9"/>
  </w:num>
  <w:num w:numId="17">
    <w:abstractNumId w:val="13"/>
  </w:num>
  <w:num w:numId="18">
    <w:abstractNumId w:val="23"/>
  </w:num>
  <w:num w:numId="19">
    <w:abstractNumId w:val="11"/>
  </w:num>
  <w:num w:numId="20">
    <w:abstractNumId w:val="20"/>
  </w:num>
  <w:num w:numId="21">
    <w:abstractNumId w:val="5"/>
  </w:num>
  <w:num w:numId="22">
    <w:abstractNumId w:val="22"/>
  </w:num>
  <w:num w:numId="23">
    <w:abstractNumId w:val="18"/>
  </w:num>
  <w:num w:numId="24">
    <w:abstractNumId w:val="6"/>
  </w:num>
  <w:num w:numId="2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82"/>
    <w:rsid w:val="00005C05"/>
    <w:rsid w:val="000317AD"/>
    <w:rsid w:val="00032F6C"/>
    <w:rsid w:val="00033163"/>
    <w:rsid w:val="00034631"/>
    <w:rsid w:val="00036675"/>
    <w:rsid w:val="0004392D"/>
    <w:rsid w:val="00055871"/>
    <w:rsid w:val="00062841"/>
    <w:rsid w:val="000658ED"/>
    <w:rsid w:val="00073BBA"/>
    <w:rsid w:val="000825F5"/>
    <w:rsid w:val="00095F09"/>
    <w:rsid w:val="000A1BD8"/>
    <w:rsid w:val="000A2280"/>
    <w:rsid w:val="000A465D"/>
    <w:rsid w:val="000A490D"/>
    <w:rsid w:val="000B06BE"/>
    <w:rsid w:val="000B0B33"/>
    <w:rsid w:val="000B647A"/>
    <w:rsid w:val="000C58C7"/>
    <w:rsid w:val="000C6259"/>
    <w:rsid w:val="000C649C"/>
    <w:rsid w:val="000C66A1"/>
    <w:rsid w:val="000D3B88"/>
    <w:rsid w:val="000E06A3"/>
    <w:rsid w:val="000E4F80"/>
    <w:rsid w:val="000F53FF"/>
    <w:rsid w:val="000F7885"/>
    <w:rsid w:val="00100B41"/>
    <w:rsid w:val="001023E3"/>
    <w:rsid w:val="0010251D"/>
    <w:rsid w:val="00114D2B"/>
    <w:rsid w:val="00132E1F"/>
    <w:rsid w:val="001348AF"/>
    <w:rsid w:val="00137293"/>
    <w:rsid w:val="00140DDD"/>
    <w:rsid w:val="001444F5"/>
    <w:rsid w:val="0014664E"/>
    <w:rsid w:val="00146771"/>
    <w:rsid w:val="0015339B"/>
    <w:rsid w:val="001569BA"/>
    <w:rsid w:val="00162C16"/>
    <w:rsid w:val="00172896"/>
    <w:rsid w:val="00176D90"/>
    <w:rsid w:val="001771A6"/>
    <w:rsid w:val="001900AD"/>
    <w:rsid w:val="00196A1F"/>
    <w:rsid w:val="001A5AA7"/>
    <w:rsid w:val="001B15C5"/>
    <w:rsid w:val="001B2B69"/>
    <w:rsid w:val="001B5F46"/>
    <w:rsid w:val="001C1D62"/>
    <w:rsid w:val="001D6E01"/>
    <w:rsid w:val="001E2684"/>
    <w:rsid w:val="001E6D20"/>
    <w:rsid w:val="0020224E"/>
    <w:rsid w:val="00210B34"/>
    <w:rsid w:val="00210C12"/>
    <w:rsid w:val="002119AD"/>
    <w:rsid w:val="00212ED2"/>
    <w:rsid w:val="00214CDD"/>
    <w:rsid w:val="00220A8E"/>
    <w:rsid w:val="00233C28"/>
    <w:rsid w:val="00240D9D"/>
    <w:rsid w:val="00251B10"/>
    <w:rsid w:val="002569DC"/>
    <w:rsid w:val="00257B63"/>
    <w:rsid w:val="00281D44"/>
    <w:rsid w:val="00286AC7"/>
    <w:rsid w:val="00290367"/>
    <w:rsid w:val="002A1EB8"/>
    <w:rsid w:val="002A3614"/>
    <w:rsid w:val="002A5F64"/>
    <w:rsid w:val="002B4D7F"/>
    <w:rsid w:val="002B5C3C"/>
    <w:rsid w:val="002C4595"/>
    <w:rsid w:val="002C67A1"/>
    <w:rsid w:val="002D20F1"/>
    <w:rsid w:val="002E0811"/>
    <w:rsid w:val="002E3D51"/>
    <w:rsid w:val="002E480F"/>
    <w:rsid w:val="002F55B3"/>
    <w:rsid w:val="00300F33"/>
    <w:rsid w:val="0030121E"/>
    <w:rsid w:val="003023FA"/>
    <w:rsid w:val="0030569E"/>
    <w:rsid w:val="00316613"/>
    <w:rsid w:val="00317212"/>
    <w:rsid w:val="00323175"/>
    <w:rsid w:val="00330DDC"/>
    <w:rsid w:val="00336327"/>
    <w:rsid w:val="003429FD"/>
    <w:rsid w:val="00345C5C"/>
    <w:rsid w:val="003622F8"/>
    <w:rsid w:val="00376C2F"/>
    <w:rsid w:val="00384495"/>
    <w:rsid w:val="00390A93"/>
    <w:rsid w:val="00394DF9"/>
    <w:rsid w:val="003A2E78"/>
    <w:rsid w:val="003C2801"/>
    <w:rsid w:val="003D17E9"/>
    <w:rsid w:val="003D6957"/>
    <w:rsid w:val="003F022B"/>
    <w:rsid w:val="003F4FA6"/>
    <w:rsid w:val="0040387C"/>
    <w:rsid w:val="004053DF"/>
    <w:rsid w:val="004107E2"/>
    <w:rsid w:val="00410E85"/>
    <w:rsid w:val="00412268"/>
    <w:rsid w:val="00414D12"/>
    <w:rsid w:val="0041747D"/>
    <w:rsid w:val="0042666B"/>
    <w:rsid w:val="0042721D"/>
    <w:rsid w:val="004317F8"/>
    <w:rsid w:val="00440E13"/>
    <w:rsid w:val="00442F28"/>
    <w:rsid w:val="00457358"/>
    <w:rsid w:val="00477F9C"/>
    <w:rsid w:val="00481482"/>
    <w:rsid w:val="00487337"/>
    <w:rsid w:val="00487CF5"/>
    <w:rsid w:val="00495804"/>
    <w:rsid w:val="004A672E"/>
    <w:rsid w:val="004B36EF"/>
    <w:rsid w:val="004C1BB9"/>
    <w:rsid w:val="004F20CE"/>
    <w:rsid w:val="0050035B"/>
    <w:rsid w:val="0050546F"/>
    <w:rsid w:val="00506574"/>
    <w:rsid w:val="005169EC"/>
    <w:rsid w:val="00521CA3"/>
    <w:rsid w:val="0053291C"/>
    <w:rsid w:val="00541E83"/>
    <w:rsid w:val="00557B43"/>
    <w:rsid w:val="00570475"/>
    <w:rsid w:val="00580C0F"/>
    <w:rsid w:val="00580CAF"/>
    <w:rsid w:val="00587256"/>
    <w:rsid w:val="005B07FE"/>
    <w:rsid w:val="005B356D"/>
    <w:rsid w:val="005C01E3"/>
    <w:rsid w:val="005C22BA"/>
    <w:rsid w:val="005C5925"/>
    <w:rsid w:val="005C77AF"/>
    <w:rsid w:val="005D1928"/>
    <w:rsid w:val="005E351C"/>
    <w:rsid w:val="005E41B9"/>
    <w:rsid w:val="005F0B9F"/>
    <w:rsid w:val="005F1481"/>
    <w:rsid w:val="005F3F68"/>
    <w:rsid w:val="005F5CA6"/>
    <w:rsid w:val="00606C1C"/>
    <w:rsid w:val="00611A49"/>
    <w:rsid w:val="00611B17"/>
    <w:rsid w:val="00611F19"/>
    <w:rsid w:val="006174BD"/>
    <w:rsid w:val="006273EF"/>
    <w:rsid w:val="00627FF8"/>
    <w:rsid w:val="006300D8"/>
    <w:rsid w:val="00635D8A"/>
    <w:rsid w:val="00641690"/>
    <w:rsid w:val="00642D22"/>
    <w:rsid w:val="006440BB"/>
    <w:rsid w:val="00646AE9"/>
    <w:rsid w:val="00650021"/>
    <w:rsid w:val="00671EF0"/>
    <w:rsid w:val="00682CBC"/>
    <w:rsid w:val="00683B66"/>
    <w:rsid w:val="00686D21"/>
    <w:rsid w:val="00692B70"/>
    <w:rsid w:val="0069504B"/>
    <w:rsid w:val="006A4163"/>
    <w:rsid w:val="006A7BB1"/>
    <w:rsid w:val="006B0013"/>
    <w:rsid w:val="006C0E68"/>
    <w:rsid w:val="006C2977"/>
    <w:rsid w:val="006C4092"/>
    <w:rsid w:val="006D51B1"/>
    <w:rsid w:val="006D51EA"/>
    <w:rsid w:val="006E37AB"/>
    <w:rsid w:val="006F1330"/>
    <w:rsid w:val="006F3B8A"/>
    <w:rsid w:val="00716910"/>
    <w:rsid w:val="007235CA"/>
    <w:rsid w:val="00727018"/>
    <w:rsid w:val="00733025"/>
    <w:rsid w:val="00733BBC"/>
    <w:rsid w:val="00743859"/>
    <w:rsid w:val="007443EA"/>
    <w:rsid w:val="00751FC8"/>
    <w:rsid w:val="00754F9D"/>
    <w:rsid w:val="007606DA"/>
    <w:rsid w:val="007607CB"/>
    <w:rsid w:val="00770A12"/>
    <w:rsid w:val="0077394A"/>
    <w:rsid w:val="007902C8"/>
    <w:rsid w:val="00794231"/>
    <w:rsid w:val="007A06F5"/>
    <w:rsid w:val="007B0B5B"/>
    <w:rsid w:val="007B6E04"/>
    <w:rsid w:val="007C60CB"/>
    <w:rsid w:val="007D493F"/>
    <w:rsid w:val="007E0F22"/>
    <w:rsid w:val="007E263A"/>
    <w:rsid w:val="007E3845"/>
    <w:rsid w:val="007F2183"/>
    <w:rsid w:val="007F23B0"/>
    <w:rsid w:val="007F387F"/>
    <w:rsid w:val="00800BA4"/>
    <w:rsid w:val="008039F8"/>
    <w:rsid w:val="00804A17"/>
    <w:rsid w:val="00807763"/>
    <w:rsid w:val="00823F6D"/>
    <w:rsid w:val="008242F3"/>
    <w:rsid w:val="008242FC"/>
    <w:rsid w:val="00826802"/>
    <w:rsid w:val="00835036"/>
    <w:rsid w:val="008359C2"/>
    <w:rsid w:val="00836630"/>
    <w:rsid w:val="00837907"/>
    <w:rsid w:val="00843517"/>
    <w:rsid w:val="00863693"/>
    <w:rsid w:val="00872677"/>
    <w:rsid w:val="0087677A"/>
    <w:rsid w:val="0089688C"/>
    <w:rsid w:val="008B2ABE"/>
    <w:rsid w:val="008B3B17"/>
    <w:rsid w:val="008B43FC"/>
    <w:rsid w:val="008B5076"/>
    <w:rsid w:val="008B5C12"/>
    <w:rsid w:val="008C2A8E"/>
    <w:rsid w:val="008D0203"/>
    <w:rsid w:val="008D7838"/>
    <w:rsid w:val="008E136E"/>
    <w:rsid w:val="008E3917"/>
    <w:rsid w:val="008F0F1D"/>
    <w:rsid w:val="00900B4E"/>
    <w:rsid w:val="009025AD"/>
    <w:rsid w:val="00903B75"/>
    <w:rsid w:val="009066FF"/>
    <w:rsid w:val="00911539"/>
    <w:rsid w:val="0091387F"/>
    <w:rsid w:val="00916074"/>
    <w:rsid w:val="00917EF4"/>
    <w:rsid w:val="0092701C"/>
    <w:rsid w:val="00934E92"/>
    <w:rsid w:val="0094024D"/>
    <w:rsid w:val="00941949"/>
    <w:rsid w:val="00941ED6"/>
    <w:rsid w:val="00944F62"/>
    <w:rsid w:val="009458A5"/>
    <w:rsid w:val="0095284E"/>
    <w:rsid w:val="009564BE"/>
    <w:rsid w:val="0096232B"/>
    <w:rsid w:val="009646A2"/>
    <w:rsid w:val="009648B4"/>
    <w:rsid w:val="00965879"/>
    <w:rsid w:val="009668B0"/>
    <w:rsid w:val="00967C15"/>
    <w:rsid w:val="0097542C"/>
    <w:rsid w:val="00976610"/>
    <w:rsid w:val="00982D48"/>
    <w:rsid w:val="0098770F"/>
    <w:rsid w:val="00990C00"/>
    <w:rsid w:val="0099136B"/>
    <w:rsid w:val="009913BA"/>
    <w:rsid w:val="009A33B3"/>
    <w:rsid w:val="009A5EBA"/>
    <w:rsid w:val="009B2234"/>
    <w:rsid w:val="009C1F8A"/>
    <w:rsid w:val="009C3B57"/>
    <w:rsid w:val="009C5A17"/>
    <w:rsid w:val="009D308B"/>
    <w:rsid w:val="009D6D33"/>
    <w:rsid w:val="009E038F"/>
    <w:rsid w:val="009F7B3B"/>
    <w:rsid w:val="00A009AE"/>
    <w:rsid w:val="00A04EF8"/>
    <w:rsid w:val="00A10668"/>
    <w:rsid w:val="00A15A5D"/>
    <w:rsid w:val="00A16C36"/>
    <w:rsid w:val="00A20917"/>
    <w:rsid w:val="00A3285F"/>
    <w:rsid w:val="00A3362E"/>
    <w:rsid w:val="00A351AE"/>
    <w:rsid w:val="00A42B85"/>
    <w:rsid w:val="00A46677"/>
    <w:rsid w:val="00A46CFF"/>
    <w:rsid w:val="00A5636D"/>
    <w:rsid w:val="00A651A2"/>
    <w:rsid w:val="00A85473"/>
    <w:rsid w:val="00A909E6"/>
    <w:rsid w:val="00A91F37"/>
    <w:rsid w:val="00A958ED"/>
    <w:rsid w:val="00AA1790"/>
    <w:rsid w:val="00AA52FF"/>
    <w:rsid w:val="00AC4600"/>
    <w:rsid w:val="00AC6113"/>
    <w:rsid w:val="00AD0AFF"/>
    <w:rsid w:val="00AD17C7"/>
    <w:rsid w:val="00AD3AE6"/>
    <w:rsid w:val="00AD54B9"/>
    <w:rsid w:val="00AD721A"/>
    <w:rsid w:val="00AE1A97"/>
    <w:rsid w:val="00AF1CEE"/>
    <w:rsid w:val="00B0157F"/>
    <w:rsid w:val="00B034F0"/>
    <w:rsid w:val="00B10516"/>
    <w:rsid w:val="00B10FF6"/>
    <w:rsid w:val="00B128D8"/>
    <w:rsid w:val="00B224E1"/>
    <w:rsid w:val="00B30954"/>
    <w:rsid w:val="00B4186E"/>
    <w:rsid w:val="00B42841"/>
    <w:rsid w:val="00B47B7C"/>
    <w:rsid w:val="00B566F4"/>
    <w:rsid w:val="00B76B34"/>
    <w:rsid w:val="00B84280"/>
    <w:rsid w:val="00B85F04"/>
    <w:rsid w:val="00B87F9C"/>
    <w:rsid w:val="00B91098"/>
    <w:rsid w:val="00B914B0"/>
    <w:rsid w:val="00B915E8"/>
    <w:rsid w:val="00B9365D"/>
    <w:rsid w:val="00BB06F1"/>
    <w:rsid w:val="00C1070B"/>
    <w:rsid w:val="00C15564"/>
    <w:rsid w:val="00C15AF1"/>
    <w:rsid w:val="00C34066"/>
    <w:rsid w:val="00C40DAD"/>
    <w:rsid w:val="00C42D21"/>
    <w:rsid w:val="00C431D8"/>
    <w:rsid w:val="00C452DC"/>
    <w:rsid w:val="00C478E1"/>
    <w:rsid w:val="00C5042B"/>
    <w:rsid w:val="00C505F6"/>
    <w:rsid w:val="00C52E41"/>
    <w:rsid w:val="00C5498D"/>
    <w:rsid w:val="00C55291"/>
    <w:rsid w:val="00C614B5"/>
    <w:rsid w:val="00C643C5"/>
    <w:rsid w:val="00C74FA4"/>
    <w:rsid w:val="00C75FAD"/>
    <w:rsid w:val="00C81418"/>
    <w:rsid w:val="00C86FB1"/>
    <w:rsid w:val="00C92A30"/>
    <w:rsid w:val="00C95D35"/>
    <w:rsid w:val="00CA457E"/>
    <w:rsid w:val="00CA5FFB"/>
    <w:rsid w:val="00CA6E3F"/>
    <w:rsid w:val="00CB1AA7"/>
    <w:rsid w:val="00CB225A"/>
    <w:rsid w:val="00CB6639"/>
    <w:rsid w:val="00CB7A80"/>
    <w:rsid w:val="00CC2240"/>
    <w:rsid w:val="00CC70D3"/>
    <w:rsid w:val="00CD09C7"/>
    <w:rsid w:val="00CD691D"/>
    <w:rsid w:val="00CE0552"/>
    <w:rsid w:val="00CE74A8"/>
    <w:rsid w:val="00D00187"/>
    <w:rsid w:val="00D0103F"/>
    <w:rsid w:val="00D01328"/>
    <w:rsid w:val="00D023EA"/>
    <w:rsid w:val="00D030F8"/>
    <w:rsid w:val="00D06122"/>
    <w:rsid w:val="00D17BC2"/>
    <w:rsid w:val="00D25943"/>
    <w:rsid w:val="00D41DE5"/>
    <w:rsid w:val="00D44019"/>
    <w:rsid w:val="00D46B7B"/>
    <w:rsid w:val="00D47992"/>
    <w:rsid w:val="00D53499"/>
    <w:rsid w:val="00D53F89"/>
    <w:rsid w:val="00D555D6"/>
    <w:rsid w:val="00D558A2"/>
    <w:rsid w:val="00D60483"/>
    <w:rsid w:val="00D62061"/>
    <w:rsid w:val="00D91632"/>
    <w:rsid w:val="00D9405B"/>
    <w:rsid w:val="00D9455F"/>
    <w:rsid w:val="00DA2EBF"/>
    <w:rsid w:val="00DB0D3E"/>
    <w:rsid w:val="00DB5FAA"/>
    <w:rsid w:val="00DD5FD5"/>
    <w:rsid w:val="00DD6C54"/>
    <w:rsid w:val="00DE3627"/>
    <w:rsid w:val="00DE6140"/>
    <w:rsid w:val="00DF6543"/>
    <w:rsid w:val="00DF7553"/>
    <w:rsid w:val="00E105D7"/>
    <w:rsid w:val="00E26F04"/>
    <w:rsid w:val="00E32E3C"/>
    <w:rsid w:val="00E354F9"/>
    <w:rsid w:val="00E36592"/>
    <w:rsid w:val="00E42EB3"/>
    <w:rsid w:val="00E46CBF"/>
    <w:rsid w:val="00E47AF7"/>
    <w:rsid w:val="00E554E1"/>
    <w:rsid w:val="00E64164"/>
    <w:rsid w:val="00E67A60"/>
    <w:rsid w:val="00E87FE8"/>
    <w:rsid w:val="00E94B1C"/>
    <w:rsid w:val="00E959FA"/>
    <w:rsid w:val="00EA04AD"/>
    <w:rsid w:val="00EA28A9"/>
    <w:rsid w:val="00EA3C50"/>
    <w:rsid w:val="00EA5C17"/>
    <w:rsid w:val="00EB2066"/>
    <w:rsid w:val="00ED240F"/>
    <w:rsid w:val="00EF0A5D"/>
    <w:rsid w:val="00F30830"/>
    <w:rsid w:val="00F43413"/>
    <w:rsid w:val="00F526EE"/>
    <w:rsid w:val="00F55812"/>
    <w:rsid w:val="00F56ADA"/>
    <w:rsid w:val="00F6067D"/>
    <w:rsid w:val="00F76408"/>
    <w:rsid w:val="00FD0757"/>
    <w:rsid w:val="00FD268E"/>
    <w:rsid w:val="00FE4370"/>
    <w:rsid w:val="00FF2F51"/>
    <w:rsid w:val="00FF56D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6E09C2-14E4-44CF-8766-93F1CAB2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68B0"/>
  </w:style>
  <w:style w:type="paragraph" w:styleId="Heading1">
    <w:name w:val="heading 1"/>
    <w:basedOn w:val="Normal"/>
    <w:next w:val="Normal"/>
    <w:rsid w:val="009668B0"/>
    <w:pPr>
      <w:keepNext/>
      <w:keepLines/>
      <w:spacing w:before="240" w:after="0"/>
      <w:ind w:left="432" w:hanging="432"/>
      <w:outlineLvl w:val="0"/>
    </w:pPr>
    <w:rPr>
      <w:color w:val="2E74B5"/>
      <w:sz w:val="32"/>
      <w:szCs w:val="32"/>
    </w:rPr>
  </w:style>
  <w:style w:type="paragraph" w:styleId="Heading2">
    <w:name w:val="heading 2"/>
    <w:basedOn w:val="Normal"/>
    <w:next w:val="Normal"/>
    <w:rsid w:val="009668B0"/>
    <w:pPr>
      <w:keepNext/>
      <w:keepLines/>
      <w:spacing w:before="40" w:after="0"/>
      <w:ind w:left="576" w:hanging="576"/>
      <w:outlineLvl w:val="1"/>
    </w:pPr>
    <w:rPr>
      <w:color w:val="2E74B5"/>
      <w:sz w:val="26"/>
      <w:szCs w:val="26"/>
    </w:rPr>
  </w:style>
  <w:style w:type="paragraph" w:styleId="Heading3">
    <w:name w:val="heading 3"/>
    <w:basedOn w:val="Normal"/>
    <w:next w:val="Normal"/>
    <w:rsid w:val="009668B0"/>
    <w:pPr>
      <w:keepNext/>
      <w:keepLines/>
      <w:spacing w:before="40" w:after="0"/>
      <w:ind w:left="720" w:hanging="720"/>
      <w:outlineLvl w:val="2"/>
    </w:pPr>
    <w:rPr>
      <w:color w:val="1F4D78"/>
      <w:sz w:val="24"/>
      <w:szCs w:val="24"/>
    </w:rPr>
  </w:style>
  <w:style w:type="paragraph" w:styleId="Heading4">
    <w:name w:val="heading 4"/>
    <w:basedOn w:val="Normal"/>
    <w:next w:val="Normal"/>
    <w:rsid w:val="009668B0"/>
    <w:pPr>
      <w:keepNext/>
      <w:keepLines/>
      <w:spacing w:before="40" w:after="0"/>
      <w:ind w:left="864" w:hanging="864"/>
      <w:outlineLvl w:val="3"/>
    </w:pPr>
    <w:rPr>
      <w:i/>
      <w:color w:val="2E74B5"/>
    </w:rPr>
  </w:style>
  <w:style w:type="paragraph" w:styleId="Heading5">
    <w:name w:val="heading 5"/>
    <w:basedOn w:val="Normal"/>
    <w:next w:val="Normal"/>
    <w:rsid w:val="009668B0"/>
    <w:pPr>
      <w:keepNext/>
      <w:keepLines/>
      <w:spacing w:before="40" w:after="0"/>
      <w:ind w:left="1008" w:hanging="1008"/>
      <w:outlineLvl w:val="4"/>
    </w:pPr>
    <w:rPr>
      <w:color w:val="2E74B5"/>
    </w:rPr>
  </w:style>
  <w:style w:type="paragraph" w:styleId="Heading6">
    <w:name w:val="heading 6"/>
    <w:basedOn w:val="Normal"/>
    <w:next w:val="Normal"/>
    <w:rsid w:val="009668B0"/>
    <w:pPr>
      <w:keepNext/>
      <w:keepLines/>
      <w:spacing w:before="40" w:after="0"/>
      <w:ind w:left="1152" w:hanging="1152"/>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668B0"/>
    <w:tblPr>
      <w:tblCellMar>
        <w:top w:w="0" w:type="dxa"/>
        <w:left w:w="0" w:type="dxa"/>
        <w:bottom w:w="0" w:type="dxa"/>
        <w:right w:w="0" w:type="dxa"/>
      </w:tblCellMar>
    </w:tblPr>
  </w:style>
  <w:style w:type="paragraph" w:styleId="Title">
    <w:name w:val="Title"/>
    <w:basedOn w:val="Normal"/>
    <w:next w:val="Normal"/>
    <w:rsid w:val="009668B0"/>
    <w:pPr>
      <w:keepNext/>
      <w:keepLines/>
      <w:spacing w:before="480" w:after="120"/>
    </w:pPr>
    <w:rPr>
      <w:b/>
      <w:sz w:val="72"/>
      <w:szCs w:val="72"/>
    </w:rPr>
  </w:style>
  <w:style w:type="paragraph" w:styleId="Subtitle">
    <w:name w:val="Subtitle"/>
    <w:basedOn w:val="Normal"/>
    <w:next w:val="Normal"/>
    <w:rsid w:val="009668B0"/>
    <w:pPr>
      <w:keepNext/>
      <w:keepLines/>
      <w:spacing w:before="360" w:after="80"/>
    </w:pPr>
    <w:rPr>
      <w:rFonts w:ascii="Georgia" w:eastAsia="Georgia" w:hAnsi="Georgia" w:cs="Georgia"/>
      <w:i/>
      <w:color w:val="666666"/>
      <w:sz w:val="48"/>
      <w:szCs w:val="48"/>
    </w:rPr>
  </w:style>
  <w:style w:type="table" w:customStyle="1" w:styleId="a">
    <w:basedOn w:val="TableNormal1"/>
    <w:rsid w:val="009668B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B9365D"/>
    <w:rPr>
      <w:color w:val="0000FF" w:themeColor="hyperlink"/>
      <w:u w:val="single"/>
    </w:rPr>
  </w:style>
  <w:style w:type="paragraph" w:customStyle="1" w:styleId="Corpo">
    <w:name w:val="Corpo"/>
    <w:rsid w:val="005C5925"/>
    <w:pPr>
      <w:pBdr>
        <w:top w:val="nil"/>
        <w:left w:val="nil"/>
        <w:bottom w:val="nil"/>
        <w:right w:val="nil"/>
        <w:between w:val="nil"/>
        <w:bar w:val="nil"/>
      </w:pBdr>
      <w:spacing w:after="200" w:line="276" w:lineRule="auto"/>
    </w:pPr>
    <w:rPr>
      <w:color w:val="000000"/>
      <w:u w:color="000000"/>
      <w:bdr w:val="nil"/>
      <w:lang w:val="es-ES_tradnl" w:eastAsia="en-US"/>
    </w:rPr>
  </w:style>
  <w:style w:type="paragraph" w:styleId="ListParagraph">
    <w:name w:val="List Paragraph"/>
    <w:aliases w:val="Titulo 1,Footnote,List Paragraph1,Titulo de Fígura,TITULO A,ASPECTOS GENERALES Car,ASPECTOS GENERALES,Fundamentacion,Cita Pie de Página,titulo,Dot pt,No Spacing1,List Paragraph Char Char Char,Indicator Text,Numbered Para 1,Bullet 1"/>
    <w:basedOn w:val="Normal"/>
    <w:link w:val="ListParagraphChar"/>
    <w:uiPriority w:val="34"/>
    <w:qFormat/>
    <w:rsid w:val="004053DF"/>
    <w:pPr>
      <w:ind w:left="720"/>
      <w:contextualSpacing/>
    </w:pPr>
  </w:style>
  <w:style w:type="character" w:customStyle="1" w:styleId="ListParagraphChar">
    <w:name w:val="List Paragraph Char"/>
    <w:aliases w:val="Titulo 1 Char,Footnote Char,List Paragraph1 Char,Titulo de Fígura Char,TITULO A Char,ASPECTOS GENERALES Car Char,ASPECTOS GENERALES Char,Fundamentacion Char,Cita Pie de Página Char,titulo Char,Dot pt Char,No Spacing1 Char"/>
    <w:link w:val="ListParagraph"/>
    <w:uiPriority w:val="34"/>
    <w:qFormat/>
    <w:locked/>
    <w:rsid w:val="00A85473"/>
  </w:style>
  <w:style w:type="paragraph" w:styleId="FootnoteText">
    <w:name w:val="footnote text"/>
    <w:aliases w:val="5_G,Footnote Text Char Char Char Char Char,Footnote Text Char Char Char Char,Footnote reference,FA Fu,Footnote Text Char Char Char,Texto,nota,pie,Ref.,al,Footnote Text Char,Geneva 9,Font: Geneva 9,Boston 10,Fußnotentextr,ft,single space"/>
    <w:basedOn w:val="Normal"/>
    <w:link w:val="FootnoteTextChar1"/>
    <w:uiPriority w:val="99"/>
    <w:unhideWhenUsed/>
    <w:qFormat/>
    <w:rsid w:val="00487CF5"/>
    <w:pPr>
      <w:spacing w:after="0" w:line="240" w:lineRule="auto"/>
    </w:pPr>
    <w:rPr>
      <w:rFonts w:asciiTheme="minorHAnsi" w:eastAsiaTheme="minorHAnsi" w:hAnsiTheme="minorHAnsi" w:cstheme="minorBidi"/>
      <w:sz w:val="20"/>
      <w:szCs w:val="20"/>
      <w:lang w:val="es-MX" w:eastAsia="en-US"/>
    </w:rPr>
  </w:style>
  <w:style w:type="character" w:customStyle="1" w:styleId="FootnoteTextChar1">
    <w:name w:val="Footnote Text Char1"/>
    <w:aliases w:val="5_G Char,Footnote Text Char Char Char Char Char Char,Footnote Text Char Char Char Char Char1,Footnote reference Char,FA Fu Char,Footnote Text Char Char Char Char1,Texto Char,nota Char,pie Char,Ref. Char,al Char,Geneva 9 Char,ft Char"/>
    <w:basedOn w:val="DefaultParagraphFont"/>
    <w:link w:val="FootnoteText"/>
    <w:uiPriority w:val="99"/>
    <w:rsid w:val="00487CF5"/>
    <w:rPr>
      <w:rFonts w:asciiTheme="minorHAnsi" w:eastAsiaTheme="minorHAnsi" w:hAnsiTheme="minorHAnsi" w:cstheme="minorBidi"/>
      <w:sz w:val="20"/>
      <w:szCs w:val="20"/>
      <w:lang w:val="es-MX" w:eastAsia="en-US"/>
    </w:rPr>
  </w:style>
  <w:style w:type="character" w:styleId="FootnoteReference">
    <w:name w:val="footnote reference"/>
    <w:aliases w:val="4_G,Texto de nota al pie,Footnotes refss,Appel note de bas de page,Footnote number,referencia nota al pie,BVI fnr,f,CVR Ref. de nota al pie,Footnote Reference.SES,16 Point,Superscript 6 Point,ftref,Ref,de nota al pie,Ref Car,normal"/>
    <w:basedOn w:val="DefaultParagraphFont"/>
    <w:link w:val="BVIfnrCar1CarCarCarCarCarCarCarCar"/>
    <w:uiPriority w:val="99"/>
    <w:unhideWhenUsed/>
    <w:qFormat/>
    <w:rsid w:val="00487CF5"/>
    <w:rPr>
      <w:vertAlign w:val="superscript"/>
    </w:rPr>
  </w:style>
  <w:style w:type="paragraph" w:styleId="BalloonText">
    <w:name w:val="Balloon Text"/>
    <w:basedOn w:val="Normal"/>
    <w:link w:val="BalloonTextChar"/>
    <w:uiPriority w:val="99"/>
    <w:semiHidden/>
    <w:unhideWhenUsed/>
    <w:rsid w:val="007F3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87F"/>
    <w:rPr>
      <w:rFonts w:ascii="Tahoma" w:hAnsi="Tahoma" w:cs="Tahoma"/>
      <w:sz w:val="16"/>
      <w:szCs w:val="16"/>
    </w:rPr>
  </w:style>
  <w:style w:type="paragraph" w:styleId="Header">
    <w:name w:val="header"/>
    <w:basedOn w:val="Normal"/>
    <w:link w:val="HeaderChar"/>
    <w:uiPriority w:val="99"/>
    <w:unhideWhenUsed/>
    <w:rsid w:val="00C52E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C52E41"/>
  </w:style>
  <w:style w:type="paragraph" w:styleId="Footer">
    <w:name w:val="footer"/>
    <w:basedOn w:val="Normal"/>
    <w:link w:val="FooterChar"/>
    <w:uiPriority w:val="99"/>
    <w:unhideWhenUsed/>
    <w:rsid w:val="00C52E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C52E41"/>
  </w:style>
  <w:style w:type="paragraph" w:styleId="BodyTextIndent">
    <w:name w:val="Body Text Indent"/>
    <w:basedOn w:val="Normal"/>
    <w:link w:val="BodyTextIndentChar"/>
    <w:rsid w:val="00C52E41"/>
    <w:pPr>
      <w:spacing w:after="120" w:line="240" w:lineRule="auto"/>
      <w:ind w:left="283"/>
    </w:pPr>
    <w:rPr>
      <w:rFonts w:eastAsia="Times New Roman" w:cs="Times New Roman"/>
      <w:lang w:val="es-ES" w:eastAsia="es-ES"/>
    </w:rPr>
  </w:style>
  <w:style w:type="character" w:customStyle="1" w:styleId="BodyTextIndentChar">
    <w:name w:val="Body Text Indent Char"/>
    <w:basedOn w:val="DefaultParagraphFont"/>
    <w:link w:val="BodyTextIndent"/>
    <w:rsid w:val="00C52E41"/>
    <w:rPr>
      <w:rFonts w:eastAsia="Times New Roman" w:cs="Times New Roman"/>
      <w:lang w:val="es-ES" w:eastAsia="es-ES"/>
    </w:rPr>
  </w:style>
  <w:style w:type="table" w:styleId="TableGrid">
    <w:name w:val="Table Grid"/>
    <w:basedOn w:val="TableNormal"/>
    <w:uiPriority w:val="39"/>
    <w:rsid w:val="00B9109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0D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636D"/>
    <w:rPr>
      <w:color w:val="800080" w:themeColor="followedHyperlink"/>
      <w:u w:val="single"/>
    </w:rPr>
  </w:style>
  <w:style w:type="character" w:styleId="Strong">
    <w:name w:val="Strong"/>
    <w:basedOn w:val="DefaultParagraphFont"/>
    <w:uiPriority w:val="22"/>
    <w:qFormat/>
    <w:rsid w:val="001444F5"/>
    <w:rPr>
      <w:b/>
      <w:bCs/>
    </w:rPr>
  </w:style>
  <w:style w:type="character" w:styleId="LineNumber">
    <w:name w:val="line number"/>
    <w:uiPriority w:val="99"/>
    <w:rsid w:val="002C67A1"/>
    <w:rPr>
      <w:rFonts w:cs="Times New Roman"/>
    </w:rPr>
  </w:style>
  <w:style w:type="paragraph" w:customStyle="1" w:styleId="SingleTxtG">
    <w:name w:val="_ Single Txt_G"/>
    <w:basedOn w:val="Normal"/>
    <w:link w:val="SingleTxtGChar"/>
    <w:qFormat/>
    <w:rsid w:val="002C67A1"/>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customStyle="1" w:styleId="SingleTxtGChar">
    <w:name w:val="_ Single Txt_G Char"/>
    <w:link w:val="SingleTxtG"/>
    <w:locked/>
    <w:rsid w:val="002C67A1"/>
    <w:rPr>
      <w:rFonts w:ascii="Times New Roman" w:eastAsia="Times New Roman" w:hAnsi="Times New Roman" w:cs="Times New Roman"/>
      <w:sz w:val="20"/>
      <w:szCs w:val="20"/>
      <w:lang w:val="es-ES" w:eastAsia="es-ES"/>
    </w:rPr>
  </w:style>
  <w:style w:type="paragraph" w:customStyle="1" w:styleId="BVIfnrCar1CarCarCarCarCarCarCarCar">
    <w:name w:val="BVI fnr Car1 Car Car Car Car Car Car Car Car"/>
    <w:aliases w:val="ftref Car Car Car Car Car Car Car Car Car Car Car Car Car Car, BVI fnr"/>
    <w:basedOn w:val="Normal"/>
    <w:link w:val="FootnoteReference"/>
    <w:uiPriority w:val="99"/>
    <w:rsid w:val="009C5A17"/>
    <w:pPr>
      <w:spacing w:before="20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40895">
      <w:bodyDiv w:val="1"/>
      <w:marLeft w:val="0"/>
      <w:marRight w:val="0"/>
      <w:marTop w:val="0"/>
      <w:marBottom w:val="0"/>
      <w:divBdr>
        <w:top w:val="none" w:sz="0" w:space="0" w:color="auto"/>
        <w:left w:val="none" w:sz="0" w:space="0" w:color="auto"/>
        <w:bottom w:val="none" w:sz="0" w:space="0" w:color="auto"/>
        <w:right w:val="none" w:sz="0" w:space="0" w:color="auto"/>
      </w:divBdr>
    </w:div>
    <w:div w:id="1009215539">
      <w:bodyDiv w:val="1"/>
      <w:marLeft w:val="0"/>
      <w:marRight w:val="0"/>
      <w:marTop w:val="0"/>
      <w:marBottom w:val="0"/>
      <w:divBdr>
        <w:top w:val="none" w:sz="0" w:space="0" w:color="auto"/>
        <w:left w:val="none" w:sz="0" w:space="0" w:color="auto"/>
        <w:bottom w:val="none" w:sz="0" w:space="0" w:color="auto"/>
        <w:right w:val="none" w:sz="0" w:space="0" w:color="auto"/>
      </w:divBdr>
    </w:div>
    <w:div w:id="1111365108">
      <w:bodyDiv w:val="1"/>
      <w:marLeft w:val="0"/>
      <w:marRight w:val="0"/>
      <w:marTop w:val="0"/>
      <w:marBottom w:val="0"/>
      <w:divBdr>
        <w:top w:val="none" w:sz="0" w:space="0" w:color="auto"/>
        <w:left w:val="none" w:sz="0" w:space="0" w:color="auto"/>
        <w:bottom w:val="none" w:sz="0" w:space="0" w:color="auto"/>
        <w:right w:val="none" w:sz="0" w:space="0" w:color="auto"/>
      </w:divBdr>
    </w:div>
    <w:div w:id="1158570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docs.org/es/A/HRC/41/L.6/RE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FBB1-8BF9-486E-A8FC-C9D3CCD2AF24}"/>
</file>

<file path=customXml/itemProps2.xml><?xml version="1.0" encoding="utf-8"?>
<ds:datastoreItem xmlns:ds="http://schemas.openxmlformats.org/officeDocument/2006/customXml" ds:itemID="{9A3B130C-6860-4B03-ABA7-049C1D0FF81B}">
  <ds:schemaRefs>
    <ds:schemaRef ds:uri="http://schemas.microsoft.com/sharepoint/v3/contenttype/forms"/>
  </ds:schemaRefs>
</ds:datastoreItem>
</file>

<file path=customXml/itemProps3.xml><?xml version="1.0" encoding="utf-8"?>
<ds:datastoreItem xmlns:ds="http://schemas.openxmlformats.org/officeDocument/2006/customXml" ds:itemID="{861A69B3-9357-4ED0-BE88-106292D21E9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44D8A9A-7DA2-427A-A5B1-A5BC58C1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7134</Characters>
  <Application>Microsoft Office Word</Application>
  <DocSecurity>4</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Direccion General Derechos Humanos 31</dc:creator>
  <cp:lastModifiedBy>Danielle KIRBY</cp:lastModifiedBy>
  <cp:revision>2</cp:revision>
  <cp:lastPrinted>2020-01-17T17:21:00Z</cp:lastPrinted>
  <dcterms:created xsi:type="dcterms:W3CDTF">2021-06-11T08:34:00Z</dcterms:created>
  <dcterms:modified xsi:type="dcterms:W3CDTF">2021-06-11T08:34:00Z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