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EE" w:rsidRPr="00DF1F96" w:rsidRDefault="001209EE" w:rsidP="001209EE">
      <w:pPr>
        <w:ind w:firstLine="709"/>
        <w:jc w:val="center"/>
        <w:rPr>
          <w:b/>
          <w:sz w:val="28"/>
          <w:szCs w:val="28"/>
          <w:u w:val="single"/>
        </w:rPr>
      </w:pPr>
      <w:r w:rsidRPr="00A21357">
        <w:rPr>
          <w:b/>
          <w:sz w:val="28"/>
          <w:szCs w:val="28"/>
          <w:u w:val="single"/>
        </w:rPr>
        <w:t xml:space="preserve">Информация </w:t>
      </w:r>
      <w:r w:rsidRPr="0054492A">
        <w:rPr>
          <w:b/>
          <w:sz w:val="28"/>
          <w:szCs w:val="28"/>
          <w:u w:val="single"/>
        </w:rPr>
        <w:t>Российской Федерации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  <w:t>в связи с подготовкой исследования Консультативного комитета</w:t>
      </w:r>
      <w:r w:rsidRPr="00DF1F96">
        <w:rPr>
          <w:b/>
          <w:sz w:val="28"/>
          <w:szCs w:val="28"/>
          <w:u w:val="single"/>
        </w:rPr>
        <w:t xml:space="preserve"> Совета ООН по правам человека </w:t>
      </w:r>
      <w:r w:rsidR="008F0AA8">
        <w:rPr>
          <w:b/>
          <w:sz w:val="28"/>
          <w:szCs w:val="28"/>
          <w:u w:val="single"/>
        </w:rPr>
        <w:t>в соответствии с резолюцией Совета 37/23 «Поощрение взаимовыгодного сотрудничества в области прав человека»</w:t>
      </w:r>
    </w:p>
    <w:p w:rsidR="001209EE" w:rsidRDefault="001209EE" w:rsidP="001209EE">
      <w:pPr>
        <w:widowControl w:val="0"/>
        <w:spacing w:line="240" w:lineRule="auto"/>
        <w:ind w:left="1260"/>
        <w:jc w:val="both"/>
        <w:rPr>
          <w:sz w:val="28"/>
          <w:szCs w:val="28"/>
        </w:rPr>
      </w:pPr>
    </w:p>
    <w:p w:rsidR="00334B6E" w:rsidRPr="001209EE" w:rsidRDefault="00334B6E" w:rsidP="001209EE">
      <w:pPr>
        <w:widowControl w:val="0"/>
        <w:spacing w:line="240" w:lineRule="auto"/>
        <w:ind w:left="1260"/>
        <w:jc w:val="both"/>
        <w:rPr>
          <w:sz w:val="28"/>
          <w:szCs w:val="28"/>
        </w:rPr>
      </w:pPr>
      <w:bookmarkStart w:id="0" w:name="_GoBack"/>
      <w:bookmarkEnd w:id="0"/>
    </w:p>
    <w:p w:rsidR="00334B6E" w:rsidRPr="00334B6E" w:rsidRDefault="00334B6E" w:rsidP="00204290">
      <w:pPr>
        <w:spacing w:line="348" w:lineRule="auto"/>
        <w:ind w:firstLine="720"/>
        <w:jc w:val="both"/>
        <w:rPr>
          <w:i/>
          <w:color w:val="000000"/>
          <w:sz w:val="28"/>
          <w:szCs w:val="28"/>
          <w:lang w:eastAsia="en-US"/>
        </w:rPr>
      </w:pPr>
      <w:r w:rsidRPr="00334B6E">
        <w:rPr>
          <w:i/>
          <w:color w:val="000000"/>
          <w:sz w:val="28"/>
          <w:szCs w:val="28"/>
          <w:lang w:val="en-US" w:eastAsia="en-US"/>
        </w:rPr>
        <w:t>Reference: OCHCR/HRCTMD/AC21//NVTACB</w:t>
      </w:r>
    </w:p>
    <w:p w:rsidR="00DB6A68" w:rsidRPr="00204290" w:rsidRDefault="00DB6A68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 xml:space="preserve">В связи с </w:t>
      </w:r>
      <w:r w:rsidR="00204290" w:rsidRPr="00204290">
        <w:rPr>
          <w:color w:val="000000"/>
          <w:sz w:val="28"/>
          <w:szCs w:val="28"/>
          <w:lang w:eastAsia="en-US"/>
        </w:rPr>
        <w:t>подготовкой</w:t>
      </w:r>
      <w:r w:rsidRPr="00204290">
        <w:rPr>
          <w:color w:val="000000"/>
          <w:sz w:val="28"/>
          <w:szCs w:val="28"/>
          <w:lang w:eastAsia="en-US"/>
        </w:rPr>
        <w:t xml:space="preserve"> Консультативн</w:t>
      </w:r>
      <w:r w:rsidR="00204290" w:rsidRPr="00204290">
        <w:rPr>
          <w:color w:val="000000"/>
          <w:sz w:val="28"/>
          <w:szCs w:val="28"/>
          <w:lang w:eastAsia="en-US"/>
        </w:rPr>
        <w:t>ым</w:t>
      </w:r>
      <w:r w:rsidRPr="00204290">
        <w:rPr>
          <w:color w:val="000000"/>
          <w:sz w:val="28"/>
          <w:szCs w:val="28"/>
          <w:lang w:eastAsia="en-US"/>
        </w:rPr>
        <w:t xml:space="preserve"> комитет</w:t>
      </w:r>
      <w:r w:rsidR="00204290" w:rsidRPr="00204290">
        <w:rPr>
          <w:color w:val="000000"/>
          <w:sz w:val="28"/>
          <w:szCs w:val="28"/>
          <w:lang w:eastAsia="en-US"/>
        </w:rPr>
        <w:t>ом</w:t>
      </w:r>
      <w:r w:rsidRPr="00204290">
        <w:rPr>
          <w:color w:val="000000"/>
          <w:sz w:val="28"/>
          <w:szCs w:val="28"/>
          <w:lang w:eastAsia="en-US"/>
        </w:rPr>
        <w:t xml:space="preserve"> Совета ООН по правам человека исследования в соответствии с резолюцией 37/23 «Поощрение взаимовыгодного сотрудничества в области прав человека» </w:t>
      </w:r>
      <w:r w:rsidR="00204290" w:rsidRPr="00204290">
        <w:rPr>
          <w:color w:val="000000"/>
          <w:sz w:val="28"/>
          <w:szCs w:val="28"/>
          <w:lang w:eastAsia="en-US"/>
        </w:rPr>
        <w:t xml:space="preserve">о роли технической помощи и деятельности по наращиванию потенциала в деле содействия взаимовыгодному сотрудничеству в области прав человека </w:t>
      </w:r>
      <w:r w:rsidRPr="00204290">
        <w:rPr>
          <w:color w:val="000000"/>
          <w:sz w:val="28"/>
          <w:szCs w:val="28"/>
          <w:lang w:eastAsia="en-US"/>
        </w:rPr>
        <w:t xml:space="preserve">Российская Федерация хотела бы сообщить следующее. </w:t>
      </w:r>
    </w:p>
    <w:p w:rsidR="00DB6A68" w:rsidRPr="00204290" w:rsidRDefault="00DB6A68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>Росси</w:t>
      </w:r>
      <w:r w:rsidR="00204290">
        <w:rPr>
          <w:color w:val="000000"/>
          <w:sz w:val="28"/>
          <w:szCs w:val="28"/>
          <w:lang w:eastAsia="en-US"/>
        </w:rPr>
        <w:t>йская Федерация</w:t>
      </w:r>
      <w:r w:rsidRPr="00204290">
        <w:rPr>
          <w:color w:val="000000"/>
          <w:sz w:val="28"/>
          <w:szCs w:val="28"/>
          <w:lang w:eastAsia="en-US"/>
        </w:rPr>
        <w:t xml:space="preserve"> неизменно исходит из того, что международная деятельность по поощрению и защите прав человека должна осуществляться при неукоснительном соблюдении норм и принципов международного права и Устава ООН. </w:t>
      </w:r>
    </w:p>
    <w:p w:rsidR="00DB6A68" w:rsidRPr="00204290" w:rsidRDefault="00DB6A68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 xml:space="preserve">Россия выступает за то, чтобы ООН была максимально эффективным механизмом, способным реагировать на вызовы современности. </w:t>
      </w:r>
      <w:r w:rsidR="008F0AA8">
        <w:rPr>
          <w:color w:val="000000"/>
          <w:sz w:val="28"/>
          <w:szCs w:val="28"/>
          <w:lang w:eastAsia="en-US"/>
        </w:rPr>
        <w:t>Большое значение д</w:t>
      </w:r>
      <w:r w:rsidRPr="00204290">
        <w:rPr>
          <w:color w:val="000000"/>
          <w:sz w:val="28"/>
          <w:szCs w:val="28"/>
          <w:lang w:eastAsia="en-US"/>
        </w:rPr>
        <w:t xml:space="preserve">ля этого </w:t>
      </w:r>
      <w:r w:rsidR="008F0AA8">
        <w:rPr>
          <w:color w:val="000000"/>
          <w:sz w:val="28"/>
          <w:szCs w:val="28"/>
          <w:lang w:eastAsia="en-US"/>
        </w:rPr>
        <w:t>имеет</w:t>
      </w:r>
      <w:r w:rsidRPr="00204290">
        <w:rPr>
          <w:color w:val="000000"/>
          <w:sz w:val="28"/>
          <w:szCs w:val="28"/>
          <w:lang w:eastAsia="en-US"/>
        </w:rPr>
        <w:t xml:space="preserve"> исключ</w:t>
      </w:r>
      <w:r w:rsidR="008F0AA8">
        <w:rPr>
          <w:color w:val="000000"/>
          <w:sz w:val="28"/>
          <w:szCs w:val="28"/>
          <w:lang w:eastAsia="en-US"/>
        </w:rPr>
        <w:t>ение</w:t>
      </w:r>
      <w:r w:rsidRPr="00204290">
        <w:rPr>
          <w:color w:val="000000"/>
          <w:sz w:val="28"/>
          <w:szCs w:val="28"/>
          <w:lang w:eastAsia="en-US"/>
        </w:rPr>
        <w:t xml:space="preserve"> дублировани</w:t>
      </w:r>
      <w:r w:rsidR="008F0AA8">
        <w:rPr>
          <w:color w:val="000000"/>
          <w:sz w:val="28"/>
          <w:szCs w:val="28"/>
          <w:lang w:eastAsia="en-US"/>
        </w:rPr>
        <w:t>я</w:t>
      </w:r>
      <w:r w:rsidRPr="00204290">
        <w:rPr>
          <w:color w:val="000000"/>
          <w:sz w:val="28"/>
          <w:szCs w:val="28"/>
          <w:lang w:eastAsia="en-US"/>
        </w:rPr>
        <w:t xml:space="preserve"> функций органов ООН. Те их них, которым поручено заниматься правами человека, не должны вторгаться в компетенцию других структур Организации, в том числе по таким вопросам, как международная безопасность, развитие, противодействие терроризму и торговле людьми и так далее. Интеграция правозащитной проблематики в деятельность различных механизмов ООН также должна иметь свои пределы.</w:t>
      </w:r>
    </w:p>
    <w:p w:rsidR="00204290" w:rsidRDefault="00204290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Российская Федерация исходит из того, что помощь развитию – прежде всего инвестиции в глобальную стабильность, эффективный механизм укрепления межгосударственных отношений</w:t>
      </w:r>
      <w:r w:rsidR="008F0AA8">
        <w:rPr>
          <w:color w:val="000000"/>
          <w:sz w:val="28"/>
          <w:szCs w:val="28"/>
          <w:lang w:eastAsia="en-US"/>
        </w:rPr>
        <w:t xml:space="preserve"> и конченом счёте создания благоприятных внешних условий для развития</w:t>
      </w:r>
      <w:r>
        <w:rPr>
          <w:color w:val="000000"/>
          <w:sz w:val="28"/>
          <w:szCs w:val="28"/>
          <w:lang w:eastAsia="en-US"/>
        </w:rPr>
        <w:t xml:space="preserve">. Это является важным фактором формирования более </w:t>
      </w:r>
      <w:proofErr w:type="spellStart"/>
      <w:r>
        <w:rPr>
          <w:color w:val="000000"/>
          <w:sz w:val="28"/>
          <w:szCs w:val="28"/>
          <w:lang w:eastAsia="en-US"/>
        </w:rPr>
        <w:t>кризисоустойчивой</w:t>
      </w:r>
      <w:proofErr w:type="spellEnd"/>
      <w:r>
        <w:rPr>
          <w:color w:val="000000"/>
          <w:sz w:val="28"/>
          <w:szCs w:val="28"/>
          <w:lang w:eastAsia="en-US"/>
        </w:rPr>
        <w:t xml:space="preserve"> международной системы. </w:t>
      </w:r>
    </w:p>
    <w:p w:rsidR="001209EE" w:rsidRDefault="001209EE" w:rsidP="001209EE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В соответствии со своим обязательствами Российская Федерация </w:t>
      </w:r>
      <w:r w:rsidR="00204290" w:rsidRPr="00204290">
        <w:rPr>
          <w:color w:val="000000"/>
          <w:sz w:val="28"/>
          <w:szCs w:val="28"/>
          <w:lang w:eastAsia="en-US"/>
        </w:rPr>
        <w:t>в пределах имеющихся ресурсов</w:t>
      </w:r>
      <w:r w:rsidR="00204290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проводит активную и целенаправленную политику в сфере содействия международному развитию (СМР) в интересах стабилизации социально-экономической и политической ситуации в государствах-партнёрах, формирования отношений добрососедства с сопредельными государствами, устранения имеющихся и предотвращения потенциальных очагов напряжённости и конфликтов </w:t>
      </w:r>
    </w:p>
    <w:p w:rsidR="001209EE" w:rsidRDefault="001209EE" w:rsidP="001209EE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Приоритетом государственной политики Российской Федерации в сфере СМР на глобальном уровне является содействие странам в ликвидации бедности.</w:t>
      </w:r>
      <w:r w:rsidRPr="00A0486A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Фактически российская помощь всегда была направлена на решение самых насущных проблем, с которыми сталкиваются наши партнёры, она имеет прямое положительное влияние на расширение прав и возможностей человека. </w:t>
      </w:r>
    </w:p>
    <w:p w:rsidR="001209EE" w:rsidRPr="00204290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>Цели, задачи, принципы и основные направления российского СМР определены в Концепции государственной политики Российской Федерации в сфере содействия международному развитию, утвержденной Президентом Российской Федерации 20 апреля 2014 года.</w:t>
      </w:r>
    </w:p>
    <w:p w:rsidR="001209EE" w:rsidRPr="00204290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>Руководствуясь принципами солидарности, самостоятельно и во взаимодействии с партнерами из числа международных организаций Российская Федерация с учетом её статуса как донора СМР ведет взаимодействие с оперативными программами и фондам</w:t>
      </w:r>
      <w:r w:rsidR="00204290">
        <w:rPr>
          <w:color w:val="000000"/>
          <w:sz w:val="28"/>
          <w:szCs w:val="28"/>
          <w:lang w:eastAsia="en-US"/>
        </w:rPr>
        <w:t xml:space="preserve">и, а также </w:t>
      </w:r>
      <w:proofErr w:type="spellStart"/>
      <w:r w:rsidR="00204290">
        <w:rPr>
          <w:color w:val="000000"/>
          <w:sz w:val="28"/>
          <w:szCs w:val="28"/>
          <w:lang w:eastAsia="en-US"/>
        </w:rPr>
        <w:t>спецучреждениями</w:t>
      </w:r>
      <w:proofErr w:type="spellEnd"/>
      <w:r w:rsidR="00204290">
        <w:rPr>
          <w:color w:val="000000"/>
          <w:sz w:val="28"/>
          <w:szCs w:val="28"/>
          <w:lang w:eastAsia="en-US"/>
        </w:rPr>
        <w:t xml:space="preserve"> ООН, а также передает</w:t>
      </w:r>
      <w:r w:rsidRPr="00204290">
        <w:rPr>
          <w:color w:val="000000"/>
          <w:sz w:val="28"/>
          <w:szCs w:val="28"/>
          <w:lang w:eastAsia="en-US"/>
        </w:rPr>
        <w:t xml:space="preserve"> </w:t>
      </w:r>
      <w:r w:rsidR="00204290">
        <w:rPr>
          <w:color w:val="000000"/>
          <w:sz w:val="28"/>
          <w:szCs w:val="28"/>
          <w:lang w:eastAsia="en-US"/>
        </w:rPr>
        <w:t>значительный экспертный и практический опыт в области развития государствам-партнерам. Это взаимодействие основывается на подписанном в</w:t>
      </w:r>
      <w:r w:rsidRPr="00204290">
        <w:rPr>
          <w:color w:val="000000"/>
          <w:sz w:val="28"/>
          <w:szCs w:val="28"/>
          <w:lang w:eastAsia="en-US"/>
        </w:rPr>
        <w:t xml:space="preserve"> январе 2015 года Рамочно</w:t>
      </w:r>
      <w:r w:rsidR="00204290">
        <w:rPr>
          <w:color w:val="000000"/>
          <w:sz w:val="28"/>
          <w:szCs w:val="28"/>
          <w:lang w:eastAsia="en-US"/>
        </w:rPr>
        <w:t>м</w:t>
      </w:r>
      <w:r w:rsidRPr="00204290">
        <w:rPr>
          <w:color w:val="000000"/>
          <w:sz w:val="28"/>
          <w:szCs w:val="28"/>
          <w:lang w:eastAsia="en-US"/>
        </w:rPr>
        <w:t xml:space="preserve"> соглашени</w:t>
      </w:r>
      <w:r w:rsidR="00204290">
        <w:rPr>
          <w:color w:val="000000"/>
          <w:sz w:val="28"/>
          <w:szCs w:val="28"/>
          <w:lang w:eastAsia="en-US"/>
        </w:rPr>
        <w:t>и</w:t>
      </w:r>
      <w:r w:rsidRPr="00204290">
        <w:rPr>
          <w:color w:val="000000"/>
          <w:sz w:val="28"/>
          <w:szCs w:val="28"/>
          <w:lang w:eastAsia="en-US"/>
        </w:rPr>
        <w:t xml:space="preserve"> о партнерстве России и </w:t>
      </w:r>
      <w:r w:rsidR="00204290" w:rsidRPr="00204290">
        <w:rPr>
          <w:color w:val="000000"/>
          <w:sz w:val="28"/>
          <w:szCs w:val="28"/>
          <w:lang w:eastAsia="en-US"/>
        </w:rPr>
        <w:t>крупнейш</w:t>
      </w:r>
      <w:r w:rsidR="00204290">
        <w:rPr>
          <w:color w:val="000000"/>
          <w:sz w:val="28"/>
          <w:szCs w:val="28"/>
          <w:lang w:eastAsia="en-US"/>
        </w:rPr>
        <w:t>его</w:t>
      </w:r>
      <w:r w:rsidR="00204290" w:rsidRPr="00204290">
        <w:rPr>
          <w:color w:val="000000"/>
          <w:sz w:val="28"/>
          <w:szCs w:val="28"/>
          <w:lang w:eastAsia="en-US"/>
        </w:rPr>
        <w:t xml:space="preserve"> агентств</w:t>
      </w:r>
      <w:r w:rsidR="00204290">
        <w:rPr>
          <w:color w:val="000000"/>
          <w:sz w:val="28"/>
          <w:szCs w:val="28"/>
          <w:lang w:eastAsia="en-US"/>
        </w:rPr>
        <w:t>а</w:t>
      </w:r>
      <w:r w:rsidR="00204290" w:rsidRPr="00204290">
        <w:rPr>
          <w:color w:val="000000"/>
          <w:sz w:val="28"/>
          <w:szCs w:val="28"/>
          <w:lang w:eastAsia="en-US"/>
        </w:rPr>
        <w:t xml:space="preserve"> ООН в области СМР </w:t>
      </w:r>
      <w:r w:rsidR="00204290">
        <w:rPr>
          <w:color w:val="000000"/>
          <w:sz w:val="28"/>
          <w:szCs w:val="28"/>
          <w:lang w:eastAsia="en-US"/>
        </w:rPr>
        <w:t xml:space="preserve">– </w:t>
      </w:r>
      <w:r w:rsidR="00204290" w:rsidRPr="00204290">
        <w:rPr>
          <w:color w:val="000000"/>
          <w:sz w:val="28"/>
          <w:szCs w:val="28"/>
          <w:lang w:eastAsia="en-US"/>
        </w:rPr>
        <w:t>Программы развития ООН (ПРООН</w:t>
      </w:r>
      <w:r w:rsidR="00204290">
        <w:rPr>
          <w:color w:val="000000"/>
          <w:sz w:val="28"/>
          <w:szCs w:val="28"/>
          <w:lang w:eastAsia="en-US"/>
        </w:rPr>
        <w:t xml:space="preserve">). </w:t>
      </w:r>
    </w:p>
    <w:p w:rsidR="001209EE" w:rsidRPr="00204290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>Россия является ответственным и надежным партнером развивающихся государств в решении наиболее острых для их населения проблем, осуществляя программы и проекты в таких областях, как:</w:t>
      </w:r>
    </w:p>
    <w:p w:rsidR="001209EE" w:rsidRPr="00204290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 xml:space="preserve">- обеспечение продовольственной безопасности; </w:t>
      </w:r>
    </w:p>
    <w:p w:rsidR="001209EE" w:rsidRPr="00204290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lastRenderedPageBreak/>
        <w:t xml:space="preserve">- создание и модернизация торгово-экономической инфраструктуры и промышленности, в том числе её инновационной составляющей; </w:t>
      </w:r>
    </w:p>
    <w:p w:rsidR="001209EE" w:rsidRPr="00204290" w:rsidRDefault="0044404F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1209EE" w:rsidRPr="00204290">
        <w:rPr>
          <w:color w:val="000000"/>
          <w:sz w:val="28"/>
          <w:szCs w:val="28"/>
          <w:lang w:eastAsia="en-US"/>
        </w:rPr>
        <w:t>поддержание экологической стабильности;</w:t>
      </w:r>
    </w:p>
    <w:p w:rsidR="001209EE" w:rsidRPr="00204290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>- укрепление национального потенциала стран-реципиентов в области борьбы с терроризмом и организованной преступностью;</w:t>
      </w:r>
    </w:p>
    <w:p w:rsidR="001209EE" w:rsidRPr="00204290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 xml:space="preserve">- развитие образования и здравоохранения (включая такие важные направления, как борьба с ВИЧ/СПИД, туберкулезом и малярией, профилактика материнской, младенческой и детской смертности, противодействие болезни, вызванной вирусом </w:t>
      </w:r>
      <w:proofErr w:type="spellStart"/>
      <w:r w:rsidRPr="00204290">
        <w:rPr>
          <w:color w:val="000000"/>
          <w:sz w:val="28"/>
          <w:szCs w:val="28"/>
          <w:lang w:eastAsia="en-US"/>
        </w:rPr>
        <w:t>Эбола</w:t>
      </w:r>
      <w:proofErr w:type="spellEnd"/>
      <w:r w:rsidRPr="00204290">
        <w:rPr>
          <w:color w:val="000000"/>
          <w:sz w:val="28"/>
          <w:szCs w:val="28"/>
          <w:lang w:eastAsia="en-US"/>
        </w:rPr>
        <w:t>);</w:t>
      </w:r>
    </w:p>
    <w:p w:rsidR="001209EE" w:rsidRPr="00204290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>- наращивание потенциала в области государственного управления.</w:t>
      </w:r>
    </w:p>
    <w:p w:rsidR="001209EE" w:rsidRPr="00204290" w:rsidRDefault="00334B6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Общий объем выделенных средств в рамках СМР составил 1,19 млрд долл. </w:t>
      </w:r>
      <w:r>
        <w:rPr>
          <w:color w:val="000000"/>
          <w:sz w:val="28"/>
          <w:szCs w:val="28"/>
          <w:lang w:eastAsia="en-US"/>
        </w:rPr>
        <w:t xml:space="preserve">США. </w:t>
      </w:r>
      <w:r w:rsidR="001209EE" w:rsidRPr="00204290">
        <w:rPr>
          <w:color w:val="000000"/>
          <w:sz w:val="28"/>
          <w:szCs w:val="28"/>
          <w:lang w:eastAsia="en-US"/>
        </w:rPr>
        <w:t xml:space="preserve">Значимым направлением российского содействия развивающимся странам остается облегчение долгового бремени. </w:t>
      </w:r>
      <w:r>
        <w:rPr>
          <w:color w:val="000000"/>
          <w:sz w:val="28"/>
          <w:szCs w:val="28"/>
          <w:lang w:eastAsia="en-US"/>
        </w:rPr>
        <w:t>В 2017 г. объем списанных долгов составил 425 млн долл. США. В целом к</w:t>
      </w:r>
      <w:r w:rsidR="001209EE" w:rsidRPr="00204290">
        <w:rPr>
          <w:color w:val="000000"/>
          <w:sz w:val="28"/>
          <w:szCs w:val="28"/>
          <w:lang w:eastAsia="en-US"/>
        </w:rPr>
        <w:t xml:space="preserve"> настоящему времени в рамках Инициативы по беднейшим странам с большой задолженностью Россия списала основн</w:t>
      </w:r>
      <w:r>
        <w:rPr>
          <w:color w:val="000000"/>
          <w:sz w:val="28"/>
          <w:szCs w:val="28"/>
          <w:lang w:eastAsia="en-US"/>
        </w:rPr>
        <w:t>ые</w:t>
      </w:r>
      <w:r w:rsidR="001209EE" w:rsidRPr="00204290">
        <w:rPr>
          <w:color w:val="000000"/>
          <w:sz w:val="28"/>
          <w:szCs w:val="28"/>
          <w:lang w:eastAsia="en-US"/>
        </w:rPr>
        <w:t xml:space="preserve"> долг</w:t>
      </w:r>
      <w:r>
        <w:rPr>
          <w:color w:val="000000"/>
          <w:sz w:val="28"/>
          <w:szCs w:val="28"/>
          <w:lang w:eastAsia="en-US"/>
        </w:rPr>
        <w:t>и стран</w:t>
      </w:r>
      <w:r w:rsidR="001209EE" w:rsidRPr="00204290">
        <w:rPr>
          <w:color w:val="000000"/>
          <w:sz w:val="28"/>
          <w:szCs w:val="28"/>
          <w:lang w:eastAsia="en-US"/>
        </w:rPr>
        <w:t xml:space="preserve"> на сумму более 20 млрд. долл. США.</w:t>
      </w:r>
    </w:p>
    <w:p w:rsidR="0044404F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>Российская Федерация осуществляет финансирование ряда важных п</w:t>
      </w:r>
      <w:r w:rsidR="0044404F">
        <w:rPr>
          <w:color w:val="000000"/>
          <w:sz w:val="28"/>
          <w:szCs w:val="28"/>
          <w:lang w:eastAsia="en-US"/>
        </w:rPr>
        <w:t>роектов в правозащитной области</w:t>
      </w:r>
      <w:r w:rsidR="008F0AA8">
        <w:rPr>
          <w:color w:val="000000"/>
          <w:sz w:val="28"/>
          <w:szCs w:val="28"/>
          <w:lang w:eastAsia="en-US"/>
        </w:rPr>
        <w:t>.</w:t>
      </w:r>
      <w:r w:rsidR="0044404F">
        <w:rPr>
          <w:color w:val="000000"/>
          <w:sz w:val="28"/>
          <w:szCs w:val="28"/>
          <w:lang w:eastAsia="en-US"/>
        </w:rPr>
        <w:t xml:space="preserve"> </w:t>
      </w:r>
      <w:r w:rsidR="008F0AA8">
        <w:rPr>
          <w:color w:val="000000"/>
          <w:sz w:val="28"/>
          <w:szCs w:val="28"/>
          <w:lang w:eastAsia="en-US"/>
        </w:rPr>
        <w:t>С</w:t>
      </w:r>
      <w:r w:rsidR="008F0AA8" w:rsidRPr="0044404F">
        <w:rPr>
          <w:color w:val="000000"/>
          <w:sz w:val="28"/>
          <w:szCs w:val="28"/>
          <w:lang w:eastAsia="en-US"/>
        </w:rPr>
        <w:t xml:space="preserve"> </w:t>
      </w:r>
      <w:r w:rsidR="0044404F" w:rsidRPr="0044404F">
        <w:rPr>
          <w:color w:val="000000"/>
          <w:sz w:val="28"/>
          <w:szCs w:val="28"/>
          <w:lang w:eastAsia="en-US"/>
        </w:rPr>
        <w:t xml:space="preserve">2006 года Россия вносит в бюджет Управления Верховного комиссара ООН по правам человека (УВКПЧ) ежегодно 2 млн. долл. США. </w:t>
      </w:r>
      <w:r w:rsidR="00B70B06">
        <w:rPr>
          <w:color w:val="000000"/>
          <w:sz w:val="28"/>
          <w:szCs w:val="28"/>
          <w:lang w:eastAsia="en-US"/>
        </w:rPr>
        <w:t xml:space="preserve">Эти средства предусматриваются для таких важных направлений деятельности Управления как </w:t>
      </w:r>
      <w:r w:rsidR="00B70B06" w:rsidRPr="00B70B06">
        <w:rPr>
          <w:color w:val="000000"/>
          <w:sz w:val="28"/>
          <w:szCs w:val="28"/>
          <w:lang w:eastAsia="en-US"/>
        </w:rPr>
        <w:t>противодействи</w:t>
      </w:r>
      <w:r w:rsidR="00B70B06">
        <w:rPr>
          <w:color w:val="000000"/>
          <w:sz w:val="28"/>
          <w:szCs w:val="28"/>
          <w:lang w:eastAsia="en-US"/>
        </w:rPr>
        <w:t>е</w:t>
      </w:r>
      <w:r w:rsidR="00B70B06" w:rsidRPr="00B70B06">
        <w:rPr>
          <w:color w:val="000000"/>
          <w:sz w:val="28"/>
          <w:szCs w:val="28"/>
          <w:lang w:eastAsia="en-US"/>
        </w:rPr>
        <w:t xml:space="preserve"> расизму и ксенофобии, включая неонацизм</w:t>
      </w:r>
      <w:r w:rsidR="00B70B06">
        <w:rPr>
          <w:color w:val="000000"/>
          <w:sz w:val="28"/>
          <w:szCs w:val="28"/>
          <w:lang w:eastAsia="en-US"/>
        </w:rPr>
        <w:t xml:space="preserve">, поддержку деятельности </w:t>
      </w:r>
      <w:r w:rsidR="00B70B06" w:rsidRPr="00B70B06">
        <w:rPr>
          <w:color w:val="000000"/>
          <w:sz w:val="28"/>
          <w:szCs w:val="28"/>
          <w:lang w:eastAsia="en-US"/>
        </w:rPr>
        <w:t>Минского учебного центра по противодействию торговле людьми</w:t>
      </w:r>
      <w:r w:rsidR="00B70B06">
        <w:rPr>
          <w:color w:val="000000"/>
          <w:sz w:val="28"/>
          <w:szCs w:val="28"/>
          <w:lang w:eastAsia="en-US"/>
        </w:rPr>
        <w:t xml:space="preserve">, а также ряда </w:t>
      </w:r>
      <w:r w:rsidR="00B70B06" w:rsidRPr="00B70B06">
        <w:rPr>
          <w:color w:val="000000"/>
          <w:sz w:val="28"/>
          <w:szCs w:val="28"/>
          <w:lang w:eastAsia="en-US"/>
        </w:rPr>
        <w:t>специальных процедур Совета ООН по правам человека.</w:t>
      </w:r>
    </w:p>
    <w:p w:rsidR="001209EE" w:rsidRPr="00204290" w:rsidRDefault="001209EE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 w:rsidRPr="00204290">
        <w:rPr>
          <w:color w:val="000000"/>
          <w:sz w:val="28"/>
          <w:szCs w:val="28"/>
          <w:lang w:eastAsia="en-US"/>
        </w:rPr>
        <w:t xml:space="preserve">Россия уделяет </w:t>
      </w:r>
      <w:r w:rsidR="00B70B06">
        <w:rPr>
          <w:color w:val="000000"/>
          <w:sz w:val="28"/>
          <w:szCs w:val="28"/>
          <w:lang w:eastAsia="en-US"/>
        </w:rPr>
        <w:t xml:space="preserve">также </w:t>
      </w:r>
      <w:r w:rsidRPr="00204290">
        <w:rPr>
          <w:color w:val="000000"/>
          <w:sz w:val="28"/>
          <w:szCs w:val="28"/>
          <w:lang w:eastAsia="en-US"/>
        </w:rPr>
        <w:t>большое внимание проблематике вынужденной миграции, включая предоставление помощи беженцам и внутренне перемещенным лицам (ВПЛ). В этой связи Россия на ежегодной основе в рамках своего добровольного донорского взноса в бюджет Управления Верховного к</w:t>
      </w:r>
      <w:r w:rsidR="00B70B06">
        <w:rPr>
          <w:color w:val="000000"/>
          <w:sz w:val="28"/>
          <w:szCs w:val="28"/>
          <w:lang w:eastAsia="en-US"/>
        </w:rPr>
        <w:t xml:space="preserve">омиссара ООН по делам беженцев (общим размером 2 млн. </w:t>
      </w:r>
      <w:r w:rsidR="00B70B06">
        <w:rPr>
          <w:color w:val="000000"/>
          <w:sz w:val="28"/>
          <w:szCs w:val="28"/>
          <w:lang w:eastAsia="en-US"/>
        </w:rPr>
        <w:lastRenderedPageBreak/>
        <w:t>долл.)</w:t>
      </w:r>
      <w:r w:rsidRPr="00204290">
        <w:rPr>
          <w:color w:val="000000"/>
          <w:sz w:val="28"/>
          <w:szCs w:val="28"/>
          <w:lang w:eastAsia="en-US"/>
        </w:rPr>
        <w:t xml:space="preserve"> финансирует ряд проектов по оказанию помощи беженцам и ВПЛ </w:t>
      </w:r>
      <w:r w:rsidRPr="00204290">
        <w:rPr>
          <w:color w:val="000000"/>
          <w:sz w:val="28"/>
          <w:szCs w:val="28"/>
          <w:lang w:eastAsia="en-US"/>
        </w:rPr>
        <w:br/>
        <w:t>(в частности, в Сирии) и гуманитарному содействию (на Украине).</w:t>
      </w:r>
    </w:p>
    <w:p w:rsidR="008F0AA8" w:rsidRDefault="008F0AA8" w:rsidP="008F0AA8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Российская Федерация намерена продолжать вносить существенный вклад в создание и укрепление экономического, интеллектуального, информационного, научно-технического потенциала стран-партнёров, помогая им максимально эффективно использовать возможности мировых рынков товаров и услуг, диверсифицировать экономические связи, активнее участвовать в интеграционных процессах. </w:t>
      </w:r>
    </w:p>
    <w:p w:rsidR="003B42B4" w:rsidRPr="00204290" w:rsidRDefault="003B42B4" w:rsidP="00204290">
      <w:pPr>
        <w:spacing w:line="348" w:lineRule="auto"/>
        <w:ind w:firstLine="720"/>
        <w:jc w:val="both"/>
        <w:rPr>
          <w:color w:val="000000"/>
          <w:sz w:val="28"/>
          <w:szCs w:val="28"/>
          <w:lang w:eastAsia="en-US"/>
        </w:rPr>
      </w:pPr>
    </w:p>
    <w:sectPr w:rsidR="003B42B4" w:rsidRPr="00204290" w:rsidSect="008F0AA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A8" w:rsidRDefault="008F0AA8" w:rsidP="008F0AA8">
      <w:pPr>
        <w:spacing w:line="240" w:lineRule="auto"/>
      </w:pPr>
      <w:r>
        <w:separator/>
      </w:r>
    </w:p>
  </w:endnote>
  <w:endnote w:type="continuationSeparator" w:id="0">
    <w:p w:rsidR="008F0AA8" w:rsidRDefault="008F0AA8" w:rsidP="008F0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A8" w:rsidRDefault="008F0AA8" w:rsidP="008F0AA8">
      <w:pPr>
        <w:spacing w:line="240" w:lineRule="auto"/>
      </w:pPr>
      <w:r>
        <w:separator/>
      </w:r>
    </w:p>
  </w:footnote>
  <w:footnote w:type="continuationSeparator" w:id="0">
    <w:p w:rsidR="008F0AA8" w:rsidRDefault="008F0AA8" w:rsidP="008F0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801602615"/>
      <w:docPartObj>
        <w:docPartGallery w:val="Page Numbers (Top of Page)"/>
        <w:docPartUnique/>
      </w:docPartObj>
    </w:sdtPr>
    <w:sdtContent>
      <w:p w:rsidR="008F0AA8" w:rsidRPr="008F0AA8" w:rsidRDefault="008F0AA8">
        <w:pPr>
          <w:pStyle w:val="a5"/>
          <w:jc w:val="right"/>
          <w:rPr>
            <w:sz w:val="20"/>
          </w:rPr>
        </w:pPr>
        <w:r w:rsidRPr="008F0AA8">
          <w:rPr>
            <w:sz w:val="20"/>
          </w:rPr>
          <w:fldChar w:fldCharType="begin"/>
        </w:r>
        <w:r w:rsidRPr="008F0AA8">
          <w:rPr>
            <w:sz w:val="20"/>
          </w:rPr>
          <w:instrText>PAGE   \* MERGEFORMAT</w:instrText>
        </w:r>
        <w:r w:rsidRPr="008F0AA8">
          <w:rPr>
            <w:sz w:val="20"/>
          </w:rPr>
          <w:fldChar w:fldCharType="separate"/>
        </w:r>
        <w:r w:rsidR="00334B6E">
          <w:rPr>
            <w:noProof/>
            <w:sz w:val="20"/>
          </w:rPr>
          <w:t>3</w:t>
        </w:r>
        <w:r w:rsidRPr="008F0AA8">
          <w:rPr>
            <w:sz w:val="20"/>
          </w:rPr>
          <w:fldChar w:fldCharType="end"/>
        </w:r>
      </w:p>
    </w:sdtContent>
  </w:sdt>
  <w:p w:rsidR="008F0AA8" w:rsidRPr="008F0AA8" w:rsidRDefault="008F0AA8">
    <w:pPr>
      <w:pStyle w:val="a5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463BC"/>
    <w:multiLevelType w:val="hybridMultilevel"/>
    <w:tmpl w:val="3B8CD48C"/>
    <w:lvl w:ilvl="0" w:tplc="AD7E622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bCs/>
        <w:i w:val="0"/>
        <w:iCs/>
        <w:strike w:val="0"/>
        <w:dstrike w:val="0"/>
        <w:kern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EE"/>
    <w:rsid w:val="001209EE"/>
    <w:rsid w:val="00204290"/>
    <w:rsid w:val="00334B6E"/>
    <w:rsid w:val="003B42B4"/>
    <w:rsid w:val="0044404F"/>
    <w:rsid w:val="008F0AA8"/>
    <w:rsid w:val="00B70B06"/>
    <w:rsid w:val="00D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EE"/>
    <w:pPr>
      <w:tabs>
        <w:tab w:val="left" w:pos="567"/>
        <w:tab w:val="left" w:pos="1134"/>
        <w:tab w:val="left" w:pos="1701"/>
        <w:tab w:val="left" w:pos="2268"/>
        <w:tab w:val="left" w:pos="6237"/>
      </w:tabs>
      <w:suppressAutoHyphens/>
      <w:spacing w:after="0" w:line="288" w:lineRule="auto"/>
    </w:pPr>
    <w:rPr>
      <w:rFonts w:ascii="Times New Roman" w:eastAsia="Times New Roman" w:hAnsi="Times New Roman" w:cs="LucidaSans"/>
      <w:kern w:val="2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209E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209EE"/>
    <w:rPr>
      <w:rFonts w:ascii="Times New Roman" w:eastAsia="Times New Roman" w:hAnsi="Times New Roman" w:cs="LucidaSans"/>
      <w:kern w:val="2"/>
      <w:sz w:val="24"/>
      <w:szCs w:val="20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F0AA8"/>
    <w:pPr>
      <w:tabs>
        <w:tab w:val="clear" w:pos="567"/>
        <w:tab w:val="clear" w:pos="1134"/>
        <w:tab w:val="clear" w:pos="1701"/>
        <w:tab w:val="clear" w:pos="2268"/>
        <w:tab w:val="clear" w:pos="6237"/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rsid w:val="008F0AA8"/>
    <w:rPr>
      <w:rFonts w:ascii="Times New Roman" w:eastAsia="Times New Roman" w:hAnsi="Times New Roman" w:cs="Mangal"/>
      <w:kern w:val="2"/>
      <w:sz w:val="24"/>
      <w:szCs w:val="20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F0AA8"/>
    <w:pPr>
      <w:tabs>
        <w:tab w:val="clear" w:pos="567"/>
        <w:tab w:val="clear" w:pos="1134"/>
        <w:tab w:val="clear" w:pos="1701"/>
        <w:tab w:val="clear" w:pos="2268"/>
        <w:tab w:val="clear" w:pos="6237"/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rsid w:val="008F0AA8"/>
    <w:rPr>
      <w:rFonts w:ascii="Times New Roman" w:eastAsia="Times New Roman" w:hAnsi="Times New Roman" w:cs="Mangal"/>
      <w:kern w:val="2"/>
      <w:sz w:val="24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EE"/>
    <w:pPr>
      <w:tabs>
        <w:tab w:val="left" w:pos="567"/>
        <w:tab w:val="left" w:pos="1134"/>
        <w:tab w:val="left" w:pos="1701"/>
        <w:tab w:val="left" w:pos="2268"/>
        <w:tab w:val="left" w:pos="6237"/>
      </w:tabs>
      <w:suppressAutoHyphens/>
      <w:spacing w:after="0" w:line="288" w:lineRule="auto"/>
    </w:pPr>
    <w:rPr>
      <w:rFonts w:ascii="Times New Roman" w:eastAsia="Times New Roman" w:hAnsi="Times New Roman" w:cs="LucidaSans"/>
      <w:kern w:val="2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209E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209EE"/>
    <w:rPr>
      <w:rFonts w:ascii="Times New Roman" w:eastAsia="Times New Roman" w:hAnsi="Times New Roman" w:cs="LucidaSans"/>
      <w:kern w:val="2"/>
      <w:sz w:val="24"/>
      <w:szCs w:val="20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F0AA8"/>
    <w:pPr>
      <w:tabs>
        <w:tab w:val="clear" w:pos="567"/>
        <w:tab w:val="clear" w:pos="1134"/>
        <w:tab w:val="clear" w:pos="1701"/>
        <w:tab w:val="clear" w:pos="2268"/>
        <w:tab w:val="clear" w:pos="6237"/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rsid w:val="008F0AA8"/>
    <w:rPr>
      <w:rFonts w:ascii="Times New Roman" w:eastAsia="Times New Roman" w:hAnsi="Times New Roman" w:cs="Mangal"/>
      <w:kern w:val="2"/>
      <w:sz w:val="24"/>
      <w:szCs w:val="20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F0AA8"/>
    <w:pPr>
      <w:tabs>
        <w:tab w:val="clear" w:pos="567"/>
        <w:tab w:val="clear" w:pos="1134"/>
        <w:tab w:val="clear" w:pos="1701"/>
        <w:tab w:val="clear" w:pos="2268"/>
        <w:tab w:val="clear" w:pos="6237"/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rsid w:val="008F0AA8"/>
    <w:rPr>
      <w:rFonts w:ascii="Times New Roman" w:eastAsia="Times New Roman" w:hAnsi="Times New Roman" w:cs="Mangal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C13F5A-3C47-4DB7-A44B-1F34C2BC5FBC}"/>
</file>

<file path=customXml/itemProps2.xml><?xml version="1.0" encoding="utf-8"?>
<ds:datastoreItem xmlns:ds="http://schemas.openxmlformats.org/officeDocument/2006/customXml" ds:itemID="{9EBA1844-1A6E-4021-935A-DEEA3C935D59}"/>
</file>

<file path=customXml/itemProps3.xml><?xml version="1.0" encoding="utf-8"?>
<ds:datastoreItem xmlns:ds="http://schemas.openxmlformats.org/officeDocument/2006/customXml" ds:itemID="{E7CBAF3C-35BA-4FC9-A251-1A77A38BE630}"/>
</file>

<file path=docProps/app.xml><?xml version="1.0" encoding="utf-8"?>
<Properties xmlns="http://schemas.openxmlformats.org/officeDocument/2006/extended-properties" xmlns:vt="http://schemas.openxmlformats.org/officeDocument/2006/docPropsVTypes">
  <Template>DB925C</Template>
  <TotalTime>83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МИД РФ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2018-12-04T08:10:00Z</dcterms:created>
  <dcterms:modified xsi:type="dcterms:W3CDTF">2018-12-05T13:36:00Z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