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4428"/>
      </w:tblGrid>
      <w:tr w:rsidR="00D55D7B" w:rsidTr="0055074D">
        <w:trPr>
          <w:jc w:val="center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55D7B" w:rsidRDefault="00D55D7B" w:rsidP="005507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03885" cy="681355"/>
                  <wp:effectExtent l="19050" t="0" r="571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8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D7B" w:rsidTr="0055074D">
        <w:trPr>
          <w:jc w:val="center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55D7B" w:rsidRDefault="00D55D7B" w:rsidP="0055074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REPUBLICA DE CUBA</w:t>
            </w:r>
          </w:p>
          <w:p w:rsidR="00D55D7B" w:rsidRDefault="00D55D7B" w:rsidP="005507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Misión Permanente ante la Oficina de las Naciones Unidas en Ginebra y los Organismos Internacionales con sede en Suiza</w:t>
            </w:r>
          </w:p>
          <w:p w:rsidR="00D55D7B" w:rsidRDefault="00D55D7B" w:rsidP="005507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D55D7B" w:rsidRDefault="00D55D7B" w:rsidP="005507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D55D7B" w:rsidRPr="00CF226D" w:rsidRDefault="00D55D7B" w:rsidP="00D55D7B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CF226D">
        <w:rPr>
          <w:rFonts w:ascii="Arial" w:hAnsi="Arial" w:cs="Arial"/>
          <w:b/>
          <w:bCs/>
        </w:rPr>
        <w:t xml:space="preserve">Nota </w:t>
      </w:r>
      <w:r>
        <w:rPr>
          <w:rFonts w:ascii="Arial" w:hAnsi="Arial" w:cs="Arial"/>
          <w:b/>
          <w:bCs/>
        </w:rPr>
        <w:t xml:space="preserve">No.: </w:t>
      </w:r>
      <w:r w:rsidR="00CC1FAE">
        <w:rPr>
          <w:rFonts w:ascii="Arial" w:hAnsi="Arial" w:cs="Arial"/>
          <w:b/>
          <w:bCs/>
        </w:rPr>
        <w:t>394/2015</w:t>
      </w:r>
    </w:p>
    <w:p w:rsidR="00470BF4" w:rsidRPr="007E398C" w:rsidRDefault="00470BF4" w:rsidP="00470BF4">
      <w:pPr>
        <w:jc w:val="both"/>
        <w:rPr>
          <w:rFonts w:ascii="Arial" w:hAnsi="Arial" w:cs="Arial"/>
        </w:rPr>
      </w:pP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t xml:space="preserve">La Misión Permanente de Cuba ante la Oficina de las Naciones Unidas </w:t>
      </w:r>
      <w:r w:rsidR="00365EEB">
        <w:rPr>
          <w:rFonts w:ascii="Arial" w:hAnsi="Arial" w:cs="Arial"/>
          <w:color w:val="000000"/>
          <w:lang w:val="es-ES_tradnl"/>
        </w:rPr>
        <w:t xml:space="preserve">en Ginebra </w:t>
      </w:r>
      <w:r w:rsidRPr="00D55D7B">
        <w:rPr>
          <w:rFonts w:ascii="Arial" w:hAnsi="Arial" w:cs="Arial"/>
          <w:color w:val="000000"/>
          <w:lang w:val="es-ES_tradnl"/>
        </w:rPr>
        <w:t xml:space="preserve">y </w:t>
      </w:r>
      <w:r w:rsidR="00365EEB">
        <w:rPr>
          <w:rFonts w:ascii="Arial" w:hAnsi="Arial" w:cs="Arial"/>
          <w:color w:val="000000"/>
          <w:lang w:val="es-ES_tradnl"/>
        </w:rPr>
        <w:t xml:space="preserve">otras </w:t>
      </w:r>
      <w:r w:rsidRPr="00D55D7B">
        <w:rPr>
          <w:rFonts w:ascii="Arial" w:hAnsi="Arial" w:cs="Arial"/>
          <w:color w:val="000000"/>
          <w:lang w:val="es-ES_tradnl"/>
        </w:rPr>
        <w:t>Organizaciones Internacionales con sede en Suiza, saluda a la Oficina del Alto Comisionado de las Naciones Unidas para los Derechos Humanos y tiene el honor de referirse al cuestionario del Comité Asesor del Consejo de Derechos Humanos sobre las actividades de los fondos buitre y sus repercus</w:t>
      </w:r>
      <w:r w:rsidR="00D55D7B">
        <w:rPr>
          <w:rFonts w:ascii="Arial" w:hAnsi="Arial" w:cs="Arial"/>
          <w:color w:val="000000"/>
          <w:lang w:val="es-ES_tradnl"/>
        </w:rPr>
        <w:t>iones en los derechos humanos.</w:t>
      </w: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t xml:space="preserve">En este sentido, la Misión </w:t>
      </w:r>
      <w:r w:rsidR="00365EEB">
        <w:rPr>
          <w:rFonts w:ascii="Arial" w:hAnsi="Arial" w:cs="Arial"/>
          <w:color w:val="000000"/>
          <w:lang w:val="es-ES_tradnl"/>
        </w:rPr>
        <w:t xml:space="preserve">Permanente </w:t>
      </w:r>
      <w:r w:rsidRPr="00D55D7B">
        <w:rPr>
          <w:rFonts w:ascii="Arial" w:hAnsi="Arial" w:cs="Arial"/>
          <w:color w:val="000000"/>
          <w:lang w:val="es-ES_tradnl"/>
        </w:rPr>
        <w:t>de Cuba tiene a bien trasla</w:t>
      </w:r>
      <w:r w:rsidR="00D55D7B">
        <w:rPr>
          <w:rFonts w:ascii="Arial" w:hAnsi="Arial" w:cs="Arial"/>
          <w:color w:val="000000"/>
          <w:lang w:val="es-ES_tradnl"/>
        </w:rPr>
        <w:t>dar los siguientes comentarios:</w:t>
      </w: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t>Los llamados “fondos buitre” son una nueva forma de agresión contra las naciones y pueblos del Sur, que se sustenta en las condiciones económicas generadas por el endeudamiento externo, el actual e injusto orden económico internacional, los insostenibles patrones de producción y consumo</w:t>
      </w:r>
      <w:r w:rsidR="00D55D7B">
        <w:rPr>
          <w:rFonts w:ascii="Arial" w:hAnsi="Arial" w:cs="Arial"/>
          <w:color w:val="000000"/>
          <w:lang w:val="es-ES_tradnl"/>
        </w:rPr>
        <w:t>, y las crisis del capitalismo.</w:t>
      </w: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t>Estas prácticas suponen graves obstáculos para la plena realización de los derechos humanos de pueblos enteros, en especial los derechos a la libre determinación y al desarrollo; y representan límites inexcusables al ejercicio y disfrute individual de los derechos económicos, sociales y culturales en esas naciones.</w:t>
      </w:r>
    </w:p>
    <w:p w:rsidR="00D55D7B" w:rsidRPr="00D55D7B" w:rsidRDefault="00D55D7B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D55D7B" w:rsidRPr="00701401" w:rsidRDefault="00D55D7B" w:rsidP="00D55D7B">
      <w:pPr>
        <w:rPr>
          <w:rFonts w:ascii="Arial" w:hAnsi="Arial" w:cs="Arial"/>
          <w:b/>
        </w:rPr>
      </w:pPr>
      <w:r w:rsidRPr="00701401">
        <w:rPr>
          <w:rFonts w:ascii="Arial" w:hAnsi="Arial" w:cs="Arial"/>
          <w:b/>
        </w:rPr>
        <w:t>Oficina del Alto Comisionado de las Naciones Unidas</w:t>
      </w:r>
    </w:p>
    <w:p w:rsidR="00D55D7B" w:rsidRDefault="00D55D7B" w:rsidP="00D55D7B">
      <w:pPr>
        <w:rPr>
          <w:rFonts w:ascii="Arial" w:hAnsi="Arial" w:cs="Arial"/>
          <w:b/>
        </w:rPr>
      </w:pPr>
      <w:r w:rsidRPr="00701401">
        <w:rPr>
          <w:rFonts w:ascii="Arial" w:hAnsi="Arial" w:cs="Arial"/>
          <w:b/>
        </w:rPr>
        <w:t>para los Derechos Humanos</w:t>
      </w:r>
    </w:p>
    <w:p w:rsidR="00D55D7B" w:rsidRDefault="00D55D7B" w:rsidP="00D55D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Ginebra</w:t>
      </w:r>
    </w:p>
    <w:p w:rsidR="00470BF4" w:rsidRDefault="00470BF4" w:rsidP="00470BF4">
      <w:pPr>
        <w:jc w:val="both"/>
        <w:rPr>
          <w:rFonts w:ascii="Arial" w:hAnsi="Arial" w:cs="Arial"/>
        </w:rPr>
      </w:pP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lastRenderedPageBreak/>
        <w:t>Los fondos buitre generan situaciones económicas muy difíciles de superar para los países contra los que se esgrimen, obligando a los gobiernos afectados a realizar recortes sustanciales al gasto público, fuente de la que se financian la mayoría de los programas y políticas sociales dirigidas a mejorar las condiciones materiales necesarias para el adecuado ejercicio y disfrute de los derechos eco</w:t>
      </w:r>
      <w:r w:rsidR="00D55D7B">
        <w:rPr>
          <w:rFonts w:ascii="Arial" w:hAnsi="Arial" w:cs="Arial"/>
          <w:color w:val="000000"/>
          <w:lang w:val="es-ES_tradnl"/>
        </w:rPr>
        <w:t>nómicos, sociales y culturales.</w:t>
      </w: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t>Así, las consecuencias de los fondos buitre se manifiestan claramente en el deterioro de sectores como la educación y salud públicas; así como en la reducción sustancial de la cobertura de la asistencia y protección social a las personas de edad, personas con discapacidad, familias vulnerables, pobres e indigentes, entre otros. Igualmente, estas prácticas tienen consecuencias muy negativas en las fuentes e índices de empleo, en las condiciones laborales de los trabajadores, en la protección social a l</w:t>
      </w:r>
      <w:r w:rsidR="00D55D7B">
        <w:rPr>
          <w:rFonts w:ascii="Arial" w:hAnsi="Arial" w:cs="Arial"/>
          <w:color w:val="000000"/>
          <w:lang w:val="es-ES_tradnl"/>
        </w:rPr>
        <w:t>os mismos y en su remuneración.</w:t>
      </w: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t>Siguiendo esta lógica ineludible, los que pagan el precio mayor de las consecuencias de los fondos buitre son los sectores más pobres, los excluidos y marginados de siempre.</w:t>
      </w: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t>Por años</w:t>
      </w:r>
      <w:r w:rsidR="00945BA8" w:rsidRPr="00D55D7B">
        <w:rPr>
          <w:rFonts w:ascii="Arial" w:hAnsi="Arial" w:cs="Arial"/>
          <w:color w:val="000000"/>
          <w:lang w:val="es-ES_tradnl"/>
        </w:rPr>
        <w:t>,</w:t>
      </w:r>
      <w:r w:rsidRPr="00D55D7B">
        <w:rPr>
          <w:rFonts w:ascii="Arial" w:hAnsi="Arial" w:cs="Arial"/>
          <w:color w:val="000000"/>
          <w:lang w:val="es-ES_tradnl"/>
        </w:rPr>
        <w:t xml:space="preserve"> </w:t>
      </w:r>
      <w:r w:rsidR="00945BA8" w:rsidRPr="00D55D7B">
        <w:rPr>
          <w:rFonts w:ascii="Arial" w:hAnsi="Arial" w:cs="Arial"/>
          <w:color w:val="000000"/>
          <w:lang w:val="es-ES_tradnl"/>
        </w:rPr>
        <w:t>los países en desarrollo</w:t>
      </w:r>
      <w:r w:rsidRPr="00D55D7B">
        <w:rPr>
          <w:rFonts w:ascii="Arial" w:hAnsi="Arial" w:cs="Arial"/>
          <w:color w:val="000000"/>
          <w:lang w:val="es-ES_tradnl"/>
        </w:rPr>
        <w:t xml:space="preserve"> han realizado los más graves sacrificios para honrar sus compromisos financieros externos, comprometiendo su derecho al desarrollo y sus propias condiciones de existencia. Por el contrario, usureros y especuladores opulentos han escalado a extremos irracionales sus ambiciones</w:t>
      </w:r>
      <w:r w:rsidR="00945BA8" w:rsidRPr="00D55D7B">
        <w:rPr>
          <w:rFonts w:ascii="Arial" w:hAnsi="Arial" w:cs="Arial"/>
          <w:color w:val="000000"/>
          <w:lang w:val="es-ES_tradnl"/>
        </w:rPr>
        <w:t>,</w:t>
      </w:r>
      <w:r w:rsidRPr="00D55D7B">
        <w:rPr>
          <w:rFonts w:ascii="Arial" w:hAnsi="Arial" w:cs="Arial"/>
          <w:color w:val="000000"/>
          <w:lang w:val="es-ES_tradnl"/>
        </w:rPr>
        <w:t xml:space="preserve"> lucrando con el hambre, el analfabetismo, las enfermedades y la negación del sueño de un futuro mejor para los niños, mujeres y hombres de los países en desarrollo.</w:t>
      </w:r>
    </w:p>
    <w:p w:rsidR="00D55D7B" w:rsidRPr="00D55D7B" w:rsidRDefault="00D55D7B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t xml:space="preserve">El problema de la deuda externa se ha convertido en una herramienta de expolio a los países en desarrollo. Hemos pagado varias veces el monto del dinero recibido y no hemos mejorado significativamente las condiciones de pago futuro. Los servicios de la </w:t>
      </w:r>
      <w:r w:rsidRPr="00D55D7B">
        <w:rPr>
          <w:rFonts w:ascii="Arial" w:hAnsi="Arial" w:cs="Arial"/>
          <w:color w:val="000000"/>
          <w:lang w:val="es-ES_tradnl"/>
        </w:rPr>
        <w:lastRenderedPageBreak/>
        <w:t xml:space="preserve">deuda externa sustraen recursos imprescindibles al desarrollo del Sur. Sus mecanismos han servido en varios casos al despojo de </w:t>
      </w:r>
      <w:r w:rsidR="00945BA8" w:rsidRPr="00D55D7B">
        <w:rPr>
          <w:rFonts w:ascii="Arial" w:hAnsi="Arial" w:cs="Arial"/>
          <w:color w:val="000000"/>
          <w:lang w:val="es-ES_tradnl"/>
        </w:rPr>
        <w:t>los</w:t>
      </w:r>
      <w:r w:rsidRPr="00D55D7B">
        <w:rPr>
          <w:rFonts w:ascii="Arial" w:hAnsi="Arial" w:cs="Arial"/>
          <w:color w:val="000000"/>
          <w:lang w:val="es-ES_tradnl"/>
        </w:rPr>
        <w:t xml:space="preserve"> recursos naturales</w:t>
      </w:r>
      <w:r w:rsidR="00945BA8" w:rsidRPr="00D55D7B">
        <w:rPr>
          <w:rFonts w:ascii="Arial" w:hAnsi="Arial" w:cs="Arial"/>
          <w:color w:val="000000"/>
          <w:lang w:val="es-ES_tradnl"/>
        </w:rPr>
        <w:t xml:space="preserve"> de los países en desarrollo</w:t>
      </w:r>
      <w:r w:rsidRPr="00D55D7B">
        <w:rPr>
          <w:rFonts w:ascii="Arial" w:hAnsi="Arial" w:cs="Arial"/>
          <w:color w:val="000000"/>
          <w:lang w:val="es-ES_tradnl"/>
        </w:rPr>
        <w:t xml:space="preserve"> y han impuesto la desnacionalización de industrias estratégicas en el potencial desarrollo de </w:t>
      </w:r>
      <w:r w:rsidR="00945BA8" w:rsidRPr="00D55D7B">
        <w:rPr>
          <w:rFonts w:ascii="Arial" w:hAnsi="Arial" w:cs="Arial"/>
          <w:color w:val="000000"/>
          <w:lang w:val="es-ES_tradnl"/>
        </w:rPr>
        <w:t>sus</w:t>
      </w:r>
      <w:r w:rsidRPr="00D55D7B">
        <w:rPr>
          <w:rFonts w:ascii="Arial" w:hAnsi="Arial" w:cs="Arial"/>
          <w:color w:val="000000"/>
          <w:lang w:val="es-ES_tradnl"/>
        </w:rPr>
        <w:t xml:space="preserve"> economías. Peor aún, en casos extremos, el pago de estas obligaciones ha servido al financiamiento de guerras de agresión y conquista de los países más desarrollados.</w:t>
      </w: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t>Si los países en desarrollo no hubieran sido privados de los millonarios recursos financieros que tuvieron que destinar a cubrir las injustas condiciones impuestas al pago de la deuda externa y sus servicios, habrían podido avanzar mucho más en el cumplimiento de los Objetivos de Desarrollo del Milenio; millones de seres humanos habrían recuperado la vida digna y de bienestar a la que tienen derecho; millones habrían salido definitivamente de la pobreza; millones de niñas, niños y adolescentes pudieran haber sido salvados de enfermedades curables; millones más habrían asistido a la escuela y realizado plenamente su derecho a la educación</w:t>
      </w:r>
      <w:r w:rsidR="00D55D7B">
        <w:rPr>
          <w:rFonts w:ascii="Arial" w:hAnsi="Arial" w:cs="Arial"/>
          <w:color w:val="000000"/>
          <w:lang w:val="es-ES_tradnl"/>
        </w:rPr>
        <w:t>.</w:t>
      </w: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t>El actual orden económico internacional, del cual los fondos buitre no son sino una expresión, representa una hipoteca para la realización del desarrollo sosteni</w:t>
      </w:r>
      <w:r w:rsidR="00D55D7B">
        <w:rPr>
          <w:rFonts w:ascii="Arial" w:hAnsi="Arial" w:cs="Arial"/>
          <w:color w:val="000000"/>
          <w:lang w:val="es-ES_tradnl"/>
        </w:rPr>
        <w:t>ble de muchas naciones del Sur.</w:t>
      </w: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t>Cuba continuará abogando por un mundo más justo y equitativo; y por la realización y ejercicio pleno del derecho de los pueblos a desarrollarse y regir sus propios destinos. En ese esfuerzo, continuaremos defendiendo la necesidad de suprimir prácticas lesivas a nuestros pueblos, como lo son los fondos buitre y las condiciones impagables de la deuda.</w:t>
      </w:r>
    </w:p>
    <w:p w:rsidR="00D55D7B" w:rsidRDefault="00D55D7B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D55D7B" w:rsidRDefault="00D55D7B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D55D7B" w:rsidRPr="00D55D7B" w:rsidRDefault="00D55D7B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</w:p>
    <w:p w:rsidR="00470BF4" w:rsidRPr="00D55D7B" w:rsidRDefault="00470BF4" w:rsidP="00D55D7B">
      <w:pPr>
        <w:spacing w:line="360" w:lineRule="auto"/>
        <w:ind w:left="709" w:firstLine="709"/>
        <w:jc w:val="both"/>
        <w:rPr>
          <w:rFonts w:ascii="Arial" w:hAnsi="Arial" w:cs="Arial"/>
          <w:color w:val="000000"/>
          <w:lang w:val="es-ES_tradnl"/>
        </w:rPr>
      </w:pPr>
      <w:r w:rsidRPr="00D55D7B">
        <w:rPr>
          <w:rFonts w:ascii="Arial" w:hAnsi="Arial" w:cs="Arial"/>
          <w:color w:val="000000"/>
          <w:lang w:val="es-ES_tradnl"/>
        </w:rPr>
        <w:lastRenderedPageBreak/>
        <w:t xml:space="preserve">La Misión Permanente de Cuba ante la Oficina de las Naciones Unidas </w:t>
      </w:r>
      <w:r w:rsidR="00365EEB">
        <w:rPr>
          <w:rFonts w:ascii="Arial" w:hAnsi="Arial" w:cs="Arial"/>
          <w:color w:val="000000"/>
          <w:lang w:val="es-ES_tradnl"/>
        </w:rPr>
        <w:t xml:space="preserve">en Ginebra </w:t>
      </w:r>
      <w:r w:rsidRPr="00D55D7B">
        <w:rPr>
          <w:rFonts w:ascii="Arial" w:hAnsi="Arial" w:cs="Arial"/>
          <w:color w:val="000000"/>
          <w:lang w:val="es-ES_tradnl"/>
        </w:rPr>
        <w:t>y</w:t>
      </w:r>
      <w:r w:rsidR="00365EEB">
        <w:rPr>
          <w:rFonts w:ascii="Arial" w:hAnsi="Arial" w:cs="Arial"/>
          <w:color w:val="000000"/>
          <w:lang w:val="es-ES_tradnl"/>
        </w:rPr>
        <w:t xml:space="preserve"> otras </w:t>
      </w:r>
      <w:r w:rsidRPr="00D55D7B">
        <w:rPr>
          <w:rFonts w:ascii="Arial" w:hAnsi="Arial" w:cs="Arial"/>
          <w:color w:val="000000"/>
          <w:lang w:val="es-ES_tradnl"/>
        </w:rPr>
        <w:t xml:space="preserve">Organizaciones Internacionales con sede en Suiza, aprovecha la ocasión para reiterar a la Oficina del Alto Comisionado de las Naciones Unidas para los Derechos Humanos el </w:t>
      </w:r>
      <w:r w:rsidR="00F23605">
        <w:rPr>
          <w:rFonts w:ascii="Arial" w:hAnsi="Arial" w:cs="Arial"/>
          <w:color w:val="000000"/>
          <w:lang w:val="es-ES_tradnl"/>
        </w:rPr>
        <w:t>testimonio de su consideración.</w:t>
      </w:r>
    </w:p>
    <w:p w:rsidR="00470BF4" w:rsidRDefault="00470BF4" w:rsidP="00470BF4">
      <w:pPr>
        <w:jc w:val="right"/>
        <w:rPr>
          <w:rFonts w:ascii="Arial" w:hAnsi="Arial" w:cs="Arial"/>
        </w:rPr>
      </w:pPr>
    </w:p>
    <w:p w:rsidR="00CC1FAE" w:rsidRDefault="00CC1FAE" w:rsidP="00470BF4">
      <w:pPr>
        <w:jc w:val="right"/>
        <w:rPr>
          <w:rFonts w:ascii="Arial" w:hAnsi="Arial" w:cs="Arial"/>
        </w:rPr>
      </w:pPr>
    </w:p>
    <w:p w:rsidR="00470BF4" w:rsidRPr="000056EC" w:rsidRDefault="00470BF4" w:rsidP="00470BF4">
      <w:pPr>
        <w:jc w:val="right"/>
        <w:rPr>
          <w:rFonts w:ascii="Arial" w:hAnsi="Arial" w:cs="Arial"/>
        </w:rPr>
      </w:pPr>
      <w:r w:rsidRPr="000056EC">
        <w:rPr>
          <w:rFonts w:ascii="Arial" w:hAnsi="Arial" w:cs="Arial"/>
        </w:rPr>
        <w:t xml:space="preserve">Ginebra, </w:t>
      </w:r>
      <w:r w:rsidR="00D55D7B">
        <w:rPr>
          <w:rFonts w:ascii="Arial" w:hAnsi="Arial" w:cs="Arial"/>
        </w:rPr>
        <w:t>11</w:t>
      </w:r>
      <w:r w:rsidRPr="000056EC">
        <w:rPr>
          <w:rFonts w:ascii="Arial" w:hAnsi="Arial" w:cs="Arial"/>
        </w:rPr>
        <w:t xml:space="preserve"> de </w:t>
      </w:r>
      <w:r w:rsidR="00D55D7B">
        <w:rPr>
          <w:rFonts w:ascii="Arial" w:hAnsi="Arial" w:cs="Arial"/>
        </w:rPr>
        <w:t>junio</w:t>
      </w:r>
      <w:r w:rsidRPr="000056EC">
        <w:rPr>
          <w:rFonts w:ascii="Arial" w:hAnsi="Arial" w:cs="Arial"/>
        </w:rPr>
        <w:t xml:space="preserve"> de 2015</w:t>
      </w:r>
      <w:r w:rsidR="00365EEB">
        <w:rPr>
          <w:rFonts w:ascii="Arial" w:hAnsi="Arial" w:cs="Arial"/>
        </w:rPr>
        <w:t>.</w:t>
      </w:r>
    </w:p>
    <w:p w:rsidR="00081539" w:rsidRDefault="00081539"/>
    <w:sectPr w:rsidR="00081539" w:rsidSect="0008153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400" w:rsidRDefault="00C61400" w:rsidP="00365EEB">
      <w:r>
        <w:separator/>
      </w:r>
    </w:p>
  </w:endnote>
  <w:endnote w:type="continuationSeparator" w:id="1">
    <w:p w:rsidR="00C61400" w:rsidRDefault="00C61400" w:rsidP="00365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05309"/>
      <w:docPartObj>
        <w:docPartGallery w:val="Page Numbers (Bottom of Page)"/>
        <w:docPartUnique/>
      </w:docPartObj>
    </w:sdtPr>
    <w:sdtContent>
      <w:p w:rsidR="00365EEB" w:rsidRDefault="002138BF">
        <w:pPr>
          <w:pStyle w:val="Piedepgina"/>
          <w:jc w:val="center"/>
        </w:pPr>
        <w:fldSimple w:instr=" PAGE   \* MERGEFORMAT ">
          <w:r w:rsidR="00CC1FAE">
            <w:rPr>
              <w:noProof/>
            </w:rPr>
            <w:t>1</w:t>
          </w:r>
        </w:fldSimple>
      </w:p>
    </w:sdtContent>
  </w:sdt>
  <w:p w:rsidR="00365EEB" w:rsidRDefault="00365E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400" w:rsidRDefault="00C61400" w:rsidP="00365EEB">
      <w:r>
        <w:separator/>
      </w:r>
    </w:p>
  </w:footnote>
  <w:footnote w:type="continuationSeparator" w:id="1">
    <w:p w:rsidR="00C61400" w:rsidRDefault="00C61400" w:rsidP="00365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BF4"/>
    <w:rsid w:val="00081539"/>
    <w:rsid w:val="002138BF"/>
    <w:rsid w:val="002A7B36"/>
    <w:rsid w:val="00365EEB"/>
    <w:rsid w:val="003B5877"/>
    <w:rsid w:val="00470BF4"/>
    <w:rsid w:val="00616B28"/>
    <w:rsid w:val="006F5644"/>
    <w:rsid w:val="00746084"/>
    <w:rsid w:val="00945BA8"/>
    <w:rsid w:val="00C61400"/>
    <w:rsid w:val="00CC1FAE"/>
    <w:rsid w:val="00D55D7B"/>
    <w:rsid w:val="00F2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470BF4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D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D7B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65E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5EE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5E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EE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132557-1B74-45F9-AFAC-2EF7EB77DC6C}"/>
</file>

<file path=customXml/itemProps2.xml><?xml version="1.0" encoding="utf-8"?>
<ds:datastoreItem xmlns:ds="http://schemas.openxmlformats.org/officeDocument/2006/customXml" ds:itemID="{C91343A5-00AF-4CE2-85CC-02CAF7379D43}"/>
</file>

<file path=customXml/itemProps3.xml><?xml version="1.0" encoding="utf-8"?>
<ds:datastoreItem xmlns:ds="http://schemas.openxmlformats.org/officeDocument/2006/customXml" ds:itemID="{CC9CCE98-4E3A-40ED-8B85-9E3C6033AA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806</Words>
  <Characters>4436</Characters>
  <Application>Microsoft Office Word</Application>
  <DocSecurity>0</DocSecurity>
  <Lines>36</Lines>
  <Paragraphs>10</Paragraphs>
  <ScaleCrop>false</ScaleCrop>
  <Company>minrex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gbehmaras</dc:creator>
  <cp:keywords/>
  <dc:description/>
  <cp:lastModifiedBy>m_permanente</cp:lastModifiedBy>
  <cp:revision>8</cp:revision>
  <cp:lastPrinted>2015-06-11T09:31:00Z</cp:lastPrinted>
  <dcterms:created xsi:type="dcterms:W3CDTF">2015-04-16T16:01:00Z</dcterms:created>
  <dcterms:modified xsi:type="dcterms:W3CDTF">2015-06-11T09:31:00Z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3709800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