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B39" w:rsidRDefault="006011B3" w:rsidP="006F7B39">
      <w:pPr>
        <w:bidi/>
        <w:spacing w:after="0" w:line="240" w:lineRule="auto"/>
        <w:rPr>
          <w:rFonts w:ascii="Arial" w:hAnsi="Arial"/>
          <w:bCs/>
          <w:sz w:val="24"/>
          <w:szCs w:val="24"/>
          <w:rtl/>
          <w:lang w:bidi="he-IL"/>
        </w:rPr>
      </w:pPr>
      <w:r>
        <w:rPr>
          <w:rFonts w:ascii="Arial" w:hAnsi="Arial"/>
          <w:bCs/>
          <w:sz w:val="24"/>
          <w:szCs w:val="24"/>
          <w:rtl/>
          <w:lang w:bidi="he-IL"/>
        </w:rPr>
        <w:t xml:space="preserve">ועדת הבדיקה של האו"ם בנוגע להפגנות בעזה: אין הצדקה לירי הישראלי באש חיה לעבר </w:t>
      </w:r>
    </w:p>
    <w:p w:rsidR="006011B3" w:rsidRDefault="006011B3" w:rsidP="006F7B39">
      <w:pPr>
        <w:bidi/>
        <w:spacing w:after="0" w:line="240" w:lineRule="auto"/>
        <w:rPr>
          <w:rFonts w:ascii="Arial" w:hAnsi="Arial"/>
          <w:bCs/>
          <w:sz w:val="24"/>
          <w:szCs w:val="24"/>
          <w:lang w:bidi="he-IL"/>
        </w:rPr>
      </w:pPr>
      <w:r>
        <w:rPr>
          <w:rFonts w:ascii="Arial" w:hAnsi="Arial"/>
          <w:bCs/>
          <w:sz w:val="24"/>
          <w:szCs w:val="24"/>
          <w:rtl/>
          <w:lang w:bidi="he-IL"/>
        </w:rPr>
        <w:t>מפגינים</w:t>
      </w:r>
    </w:p>
    <w:p w:rsidR="006011B3" w:rsidRDefault="006011B3" w:rsidP="006011B3">
      <w:pPr>
        <w:bidi/>
        <w:spacing w:after="0" w:line="240" w:lineRule="auto"/>
        <w:rPr>
          <w:rFonts w:ascii="Arial" w:hAnsi="Arial"/>
          <w:b/>
          <w:sz w:val="24"/>
          <w:szCs w:val="24"/>
          <w:rtl/>
          <w:lang w:bidi="he-IL"/>
        </w:rPr>
      </w:pP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bidi="he-IL"/>
        </w:rPr>
        <w:t>ג'נבה (</w:t>
      </w:r>
      <w:r>
        <w:rPr>
          <w:rFonts w:ascii="Arial" w:hAnsi="Arial"/>
          <w:b/>
          <w:sz w:val="24"/>
          <w:szCs w:val="24"/>
          <w:rtl/>
          <w:lang w:val="en-US" w:bidi="he-IL"/>
        </w:rPr>
        <w:t xml:space="preserve">28 פברואר 2019): ועדת הבדיקה העצמאית של האו"ם בנוגע להפגנות בשטח הפלסטיני הכבוש הציגה היום את ממצאיה. </w:t>
      </w:r>
      <w:hyperlink r:id="rId5" w:history="1">
        <w:r w:rsidRPr="00140E7F">
          <w:rPr>
            <w:rStyle w:val="Hyperlink"/>
            <w:rFonts w:ascii="Arial" w:hAnsi="Arial"/>
            <w:b/>
            <w:sz w:val="24"/>
            <w:szCs w:val="24"/>
            <w:highlight w:val="yellow"/>
            <w:rtl/>
            <w:lang w:val="en-US" w:bidi="he-IL"/>
          </w:rPr>
          <w:t>דו"ח הועדה</w:t>
        </w:r>
      </w:hyperlink>
      <w:r>
        <w:rPr>
          <w:rFonts w:ascii="Arial" w:hAnsi="Arial"/>
          <w:b/>
          <w:sz w:val="24"/>
          <w:szCs w:val="24"/>
          <w:rtl/>
          <w:lang w:val="en-US" w:bidi="he-IL"/>
        </w:rPr>
        <w:t xml:space="preserve"> מתמקד בהפגנות ברצועת עזה, המכונות "צעדת השיבה הגדולה והסרת המצור".</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br/>
        <w:t>"לועדה יסוד סביר להאמין שבמהלך צעדת השיבה הגדולה, חיילים ישראלים ביצעו הפרות של משפט זכויות האדם הבינלאומי ושל המשפט ההומניטרי. חלק מההפרות הללו עלולות להוות פשעי מלחמה או פשעים נגד האנושות, ועל ישראל לחקור אותם מיד", כך אמר יושב ראש הועדה סנטיאגו קנטון מארגנטינה.</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lastRenderedPageBreak/>
        <w:br/>
        <w:t xml:space="preserve">הועדה מונתה על-ידי מועצת זכויות האדם בחודש מאי 2018 על מנת לחקור את כל הטענות בדבר הפרות של המשפט הבינלאומי ההומניטרי ושל משפט זכויות האדם הבינלאומי בשטח הפלסטיני הכבוש, בהקשר של ההפגנות רחבות ההיקף שהחלו בעזה ב-30 במרץ 2018. </w:t>
      </w:r>
      <w:hyperlink r:id="rId6" w:history="1">
        <w:r w:rsidRPr="00140E7F">
          <w:rPr>
            <w:rStyle w:val="Hyperlink"/>
            <w:rFonts w:ascii="Arial" w:hAnsi="Arial"/>
            <w:b/>
            <w:sz w:val="24"/>
            <w:szCs w:val="24"/>
            <w:highlight w:val="yellow"/>
            <w:rtl/>
            <w:lang w:val="en-US" w:bidi="he-IL"/>
          </w:rPr>
          <w:t>חברי הועדה</w:t>
        </w:r>
      </w:hyperlink>
      <w:bookmarkStart w:id="0" w:name="_GoBack"/>
      <w:bookmarkEnd w:id="0"/>
      <w:r>
        <w:rPr>
          <w:rFonts w:ascii="Arial" w:hAnsi="Arial"/>
          <w:b/>
          <w:sz w:val="24"/>
          <w:szCs w:val="24"/>
          <w:rtl/>
          <w:lang w:val="en-US" w:bidi="he-IL"/>
        </w:rPr>
        <w:t xml:space="preserve"> הם סנטיאגו קנטון (ארגנטינה, יו"ר), שרה חוסיין (בנגלדש) ובטי מורונגי (קניה).</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br/>
        <w:t>יותר מ-6,000 מפגינים בלתי-חמושים נורו על-ידי צלפים צבאיים, שבוע אחר שבוע במוקדי ההפגנות ליד גדר ההפרדה.</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br/>
        <w:t>הועדה חקרה את כל מקרי המוות שאירעו במוקדי ההפגנות ליד גדר ההפרדה במהלך ימי ההפגנה הרשמיים. החקירה הקיפה את התקופה שמאז תחילת ההפגנות עד ל-31 בדצמבר 2018.</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t xml:space="preserve">189 פלסטינים נהרגו במהלך ההפגנות בתקופה זו. הועדה מצאה שכוחות הביטחון הישראלים הרגו 183 מפגינים </w:t>
      </w:r>
      <w:r>
        <w:rPr>
          <w:rFonts w:ascii="Arial" w:hAnsi="Arial"/>
          <w:b/>
          <w:sz w:val="24"/>
          <w:szCs w:val="24"/>
          <w:rtl/>
          <w:lang w:val="en-US" w:bidi="he-IL"/>
        </w:rPr>
        <w:lastRenderedPageBreak/>
        <w:t>באמצעות אש חיה. 35 מבין ההרוגים היו ילדים, בעוד ששלושה מהם היו אנשי צוות רפואי שסומן בבירור, ושני עיתונאים עם סימני זיהוי ברורים.</w:t>
      </w:r>
    </w:p>
    <w:p w:rsidR="006011B3" w:rsidRDefault="006011B3" w:rsidP="006011B3">
      <w:pPr>
        <w:bidi/>
        <w:spacing w:after="0" w:line="240" w:lineRule="auto"/>
        <w:rPr>
          <w:rFonts w:ascii="Arial" w:hAnsi="Arial"/>
          <w:b/>
          <w:sz w:val="24"/>
          <w:szCs w:val="24"/>
          <w:rtl/>
          <w:lang w:val="en-US" w:bidi="he-IL"/>
        </w:rPr>
      </w:pPr>
    </w:p>
    <w:p w:rsidR="006011B3" w:rsidRDefault="006011B3" w:rsidP="006011B3">
      <w:pPr>
        <w:bidi/>
        <w:spacing w:after="240"/>
        <w:rPr>
          <w:rFonts w:ascii="Arial" w:hAnsi="Arial"/>
          <w:color w:val="000000"/>
          <w:rtl/>
        </w:rPr>
      </w:pPr>
      <w:r>
        <w:rPr>
          <w:rFonts w:ascii="Arial" w:hAnsi="Arial"/>
          <w:b/>
          <w:sz w:val="24"/>
          <w:szCs w:val="24"/>
          <w:rtl/>
          <w:lang w:val="en-US" w:bidi="he-IL"/>
        </w:rPr>
        <w:t xml:space="preserve">בהתאם לניתוח הנתונים שבידי הועדה, במהלך תקופה זו פצעו כוחות הביטחון הישראלים 6,106 פלסטינים במוקדי ההפגנות באמצעות אש חיה. 3,098 פלסטינים נוספים נפצעו מרסיסי כדורים, כדורי מתכת מצופים גומי או נפגעו על ידי רימוני גז מדמיע. ארבעה חיילים ישראליים נפצעו במהלך ההפגנות.  </w:t>
      </w:r>
      <w:r>
        <w:rPr>
          <w:rFonts w:ascii="Arial" w:hAnsi="Arial"/>
          <w:color w:val="000000"/>
          <w:rtl/>
          <w:lang w:bidi="he-IL"/>
        </w:rPr>
        <w:t>ארבעה חיילים נפצעו במהלך ההפגנות. חייל ישראלי נהרג באחד מימי ההפגנות, אך מחוץ לשטחם של מוקדי ההפגנות.</w:t>
      </w:r>
    </w:p>
    <w:p w:rsidR="006011B3" w:rsidRDefault="006011B3" w:rsidP="006011B3">
      <w:pPr>
        <w:bidi/>
        <w:spacing w:after="0" w:line="240" w:lineRule="auto"/>
        <w:rPr>
          <w:rFonts w:ascii="Arial" w:hAnsi="Arial"/>
          <w:b/>
          <w:sz w:val="24"/>
          <w:szCs w:val="24"/>
          <w:lang w:val="en-US" w:bidi="he-IL"/>
        </w:rPr>
      </w:pPr>
    </w:p>
    <w:p w:rsidR="006011B3" w:rsidRDefault="006011B3" w:rsidP="006011B3">
      <w:pPr>
        <w:bidi/>
        <w:spacing w:after="0" w:line="240" w:lineRule="auto"/>
        <w:rPr>
          <w:rFonts w:ascii="Arial" w:hAnsi="Arial"/>
          <w:b/>
          <w:sz w:val="24"/>
          <w:szCs w:val="24"/>
          <w:rtl/>
          <w:lang w:val="en-US" w:bidi="he-IL"/>
        </w:rPr>
      </w:pPr>
    </w:p>
    <w:p w:rsidR="006011B3" w:rsidRDefault="006011B3" w:rsidP="006011B3">
      <w:pPr>
        <w:bidi/>
        <w:spacing w:after="0" w:line="240" w:lineRule="auto"/>
        <w:rPr>
          <w:rFonts w:ascii="Arial" w:hAnsi="Arial"/>
          <w:b/>
          <w:sz w:val="24"/>
          <w:szCs w:val="24"/>
          <w:lang w:val="en-US" w:bidi="he-IL"/>
        </w:rPr>
      </w:pPr>
      <w:r>
        <w:rPr>
          <w:rFonts w:ascii="Arial" w:hAnsi="Arial"/>
          <w:b/>
          <w:sz w:val="24"/>
          <w:szCs w:val="24"/>
          <w:rtl/>
          <w:lang w:val="en-US" w:bidi="he-IL"/>
        </w:rPr>
        <w:t xml:space="preserve">"לא יכולה להיות הצדקה להריגתם ופציעתם של עיתונאים, אנשי צוות רפואי ואנשים שאינם מהווים סכנה מיידית של מוות או פציעה חמורה לסובבים אותם. הפגיעה בילדים ובאנשים עם מוגבלויות מטרידה במיוחד", אמרה שרה </w:t>
      </w:r>
      <w:r>
        <w:rPr>
          <w:rFonts w:ascii="Arial" w:hAnsi="Arial"/>
          <w:b/>
          <w:sz w:val="24"/>
          <w:szCs w:val="24"/>
          <w:rtl/>
          <w:lang w:val="en-US" w:bidi="he-IL"/>
        </w:rPr>
        <w:lastRenderedPageBreak/>
        <w:t xml:space="preserve">חוסיין. "חייהם של אנשים צעירים רבים השתנו לתמיד. מאז 30 במרץ בשנה שעברה, 122 אנשים עברו קטיעת גפיים, מתוכם 20 ילדים". </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br/>
        <w:t>הועדה מצאה יסוד סביר להאמין כי צלפים ישראלים ירו בעיתונאים, אנשי צוות רפואי, ילדים ואנשים עם מוגבלויות, למרות שהבחינו בבירור שהם כאלה.</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br/>
        <w:t>פרט לירי המבוצע באופן חוקי לצורך הגנה עצמית, ירי מכוון באזרח שאינו משתתף באופן ישיר בלחימה מהווה פשע מלחמה. הועדה מצאה יסוד סביר להאמין שחברים מסוימים בכוחות הביטחון הישראלים, כחלק מתגובתם להפגנות, ירו ופצעו אזרחים אשר לא השתתפו בלחימה, ולא היוו כל איום מיידי. הפרות רציניות אלה של זכויות אדם והמשפט ההומניטרי עלולות להוות פשעי מלחמה או פשעים נגד האנושות.</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br/>
        <w:t xml:space="preserve">הועדה בחנה את הטענה הישראלית שההפגנות בסמוך לגדר ההפרדה חיפו על "פעולות טרור" של הקבוצות </w:t>
      </w:r>
      <w:r>
        <w:rPr>
          <w:rFonts w:ascii="Arial" w:hAnsi="Arial"/>
          <w:b/>
          <w:sz w:val="24"/>
          <w:szCs w:val="24"/>
          <w:rtl/>
          <w:lang w:val="en-US" w:bidi="he-IL"/>
        </w:rPr>
        <w:lastRenderedPageBreak/>
        <w:t>החמושות הפלסטיניות. ואולם, הועדה מצאה שההפגנות היו אזרחיות באופיין, עם מטרות פוליטיות שהוצהרו בבירור. על אף אי-אלו גילויים של אלימות משמעותית, הועדה מצאה שההפגנות לא היוו לחימה או חלק ממערכה צבאית.</w:t>
      </w:r>
    </w:p>
    <w:p w:rsidR="006011B3" w:rsidRDefault="006011B3" w:rsidP="006011B3">
      <w:pPr>
        <w:bidi/>
        <w:spacing w:after="0" w:line="240" w:lineRule="auto"/>
        <w:rPr>
          <w:rFonts w:ascii="Arial" w:hAnsi="Arial"/>
          <w:b/>
          <w:sz w:val="24"/>
          <w:szCs w:val="24"/>
          <w:rtl/>
          <w:lang w:val="en-US" w:bidi="he-IL"/>
        </w:rPr>
      </w:pP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t>לפיכך, המסגרת המשפטית הרלוונטית התבססה על משפט זכויות האדם הבינלאומי. קביעה זו לא השתנתה אף שחקירת הועדה גילתה שחלק מהמפגינים היו חברים בקבוצות חמושות מאורגנות. מפגינים אחרים היו חברי מפלגות פוליטיות. משפט זכויות האדם הבינלאומי אוסר על השימוש בכוח כנגד אדם כאשר הבסיס היחיד לכך הוא השתייכותו</w:t>
      </w:r>
      <w:r>
        <w:rPr>
          <w:rFonts w:ascii="Arial" w:hAnsi="Arial"/>
          <w:b/>
          <w:sz w:val="24"/>
          <w:szCs w:val="24"/>
          <w:rtl/>
          <w:lang w:bidi="he-IL"/>
        </w:rPr>
        <w:t xml:space="preserve">, לכאורה או בפועל ,לקבוצה כלשהי, להבדיל מאופן התנהגותו. </w:t>
      </w:r>
    </w:p>
    <w:p w:rsidR="006011B3" w:rsidRDefault="006011B3" w:rsidP="006011B3">
      <w:pPr>
        <w:bidi/>
        <w:spacing w:after="0" w:line="240" w:lineRule="auto"/>
        <w:rPr>
          <w:rFonts w:ascii="Arial" w:hAnsi="Arial"/>
          <w:b/>
          <w:sz w:val="24"/>
          <w:szCs w:val="24"/>
          <w:rtl/>
          <w:lang w:val="en-US" w:bidi="he-IL"/>
        </w:rPr>
      </w:pP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t xml:space="preserve">הועדה מצאה שחלק מחברי "הועדה הלאומית העליונה" שארגנה את ההפגנות, ושכללה נציגי חמאס, עודדו או הגנו על השימוש חסר האבחנה של מפגינים בעפיפוני ובלוני תבערה, אשר גרמו לפחד בקרב אזרחים ונזק משמעותי </w:t>
      </w:r>
      <w:r>
        <w:rPr>
          <w:rFonts w:ascii="Arial" w:hAnsi="Arial"/>
          <w:b/>
          <w:sz w:val="24"/>
          <w:szCs w:val="24"/>
          <w:rtl/>
          <w:lang w:val="en-US" w:bidi="he-IL"/>
        </w:rPr>
        <w:lastRenderedPageBreak/>
        <w:t>לרכוש בדרום ישראל.  הועדה הגיעה למסקנה כי ארגון החמאס, האחראי בפועל למתרחש בעזה, נכשל במניעת המעשים הללו.</w:t>
      </w:r>
    </w:p>
    <w:p w:rsidR="006011B3" w:rsidRDefault="006011B3" w:rsidP="006011B3">
      <w:pPr>
        <w:bidi/>
        <w:spacing w:after="0" w:line="240" w:lineRule="auto"/>
        <w:rPr>
          <w:rFonts w:ascii="Arial" w:hAnsi="Arial"/>
          <w:b/>
          <w:sz w:val="24"/>
          <w:szCs w:val="24"/>
          <w:rtl/>
          <w:lang w:val="en-US" w:bidi="he-IL"/>
        </w:rPr>
      </w:pP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t>הועדה ערכה 325 ראיונות עם קורבנות, עדים ומקורות, ואספה יותר מ-8,000 מסמכים. חלק בלתי נפרד מהחקירה כלל ניתוח מקיף של מדיה חברתית ושל כמויות גדולות של חומר חזותי וקולי המציג את האירועים, לרבות צילום אווירי מרחפן.</w:t>
      </w:r>
    </w:p>
    <w:p w:rsidR="006011B3" w:rsidRDefault="006011B3" w:rsidP="006011B3">
      <w:pPr>
        <w:bidi/>
        <w:spacing w:after="0" w:line="240" w:lineRule="auto"/>
        <w:rPr>
          <w:rFonts w:ascii="Arial" w:hAnsi="Arial"/>
          <w:b/>
          <w:sz w:val="24"/>
          <w:szCs w:val="24"/>
          <w:rtl/>
          <w:lang w:val="en-US" w:bidi="he-IL"/>
        </w:rPr>
      </w:pP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t>הועדה הוסמכה על-ידי מועצת זכויות האדם של האו"ם להתמקד בענין הנשיאה באחריות, ולזהות את אלו האחראים להפרות ולפשעים בינלאומיים לכאורה.</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br/>
        <w:t>"הועדה תרכז את המידע הרלוונטי בתיק חסוי אשר יימסר לנציבת זכויות האדם של האו"ם, לצורך מתן גישה למידע למנגנוני שיפוט מדינתיים ובינלאומיים. בית הדין הפלילי הבינלאומי כבר עוסק באירועים הללו", אמרה בטי מורונגי.</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lastRenderedPageBreak/>
        <w:br/>
        <w:t>לאור כך שיום השנה של צעדת השיבה הגדולה ב-30 למרץ מתקרב, חברי הועדה קוראים לכל הנוגעים בדבר לנהוג באיפוק.</w:t>
      </w: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br/>
        <w:t>אסור שההרג הנרחב והפציעות שאירעו ב-30 למרץ בשנה שעברה, במהלכם נהרגו 18 אנשים ויותר מ-700 איש נורו, וכן ב-14 במאי, כאשר 60 איש נהרגו ולמעלה מ-1,100 נורו, יחזרו על עצמם. "הירי חייב להיפסק" אמרה שרה חוסיין.</w:t>
      </w:r>
    </w:p>
    <w:p w:rsidR="006011B3" w:rsidRDefault="006011B3" w:rsidP="006011B3">
      <w:pPr>
        <w:bidi/>
        <w:spacing w:after="0" w:line="240" w:lineRule="auto"/>
        <w:rPr>
          <w:rFonts w:ascii="Arial" w:hAnsi="Arial"/>
          <w:b/>
          <w:sz w:val="24"/>
          <w:szCs w:val="24"/>
          <w:lang w:val="en-US" w:bidi="he-IL"/>
        </w:rPr>
      </w:pP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t xml:space="preserve">"הנטל הוא עכשיו על ישראל לחקור את כל מקרי המוות והפציעה שקשורים להפגנות, במהירות, ללא משוא פנים ובאופן עצמאי בהתאם לסטנדרטים הבינלאומיים, לקבוע האם בוצעו פשעי מלחמה או פשעים נגד האנושות, על מנת שאלה שיימצאו אחראים לכך אכן ישאו באחריות", אמר סנטיאגו קנטון. "בנוסף אנו קוראים למארגנים, למפגינים, ולרשויות דה פקטו בעזה, להבטיח שצעדת </w:t>
      </w:r>
      <w:r>
        <w:rPr>
          <w:rFonts w:ascii="Arial" w:hAnsi="Arial"/>
          <w:b/>
          <w:sz w:val="24"/>
          <w:szCs w:val="24"/>
          <w:rtl/>
          <w:lang w:val="en-US" w:bidi="he-IL"/>
        </w:rPr>
        <w:lastRenderedPageBreak/>
        <w:t>השיבה הגדולה היא בלתי אלימה לחלוטין, כפי שהיא אמורה להיות".</w:t>
      </w:r>
    </w:p>
    <w:p w:rsidR="006011B3" w:rsidRDefault="006011B3" w:rsidP="006011B3">
      <w:pPr>
        <w:bidi/>
        <w:spacing w:after="0" w:line="240" w:lineRule="auto"/>
        <w:rPr>
          <w:rFonts w:ascii="Arial" w:hAnsi="Arial"/>
          <w:b/>
          <w:sz w:val="24"/>
          <w:szCs w:val="24"/>
          <w:rtl/>
          <w:lang w:val="en-US" w:bidi="he-IL"/>
        </w:rPr>
      </w:pP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t xml:space="preserve">"הועדה מצאה שההפגנות הללו הן קריאה לעזרה מצד אוכלוסיה נואשת", הזכיר סנטיאגו קנטון. "לא רק לישראל, אלא גם לרשויות דה פקטו בעזה בראשות חמאס ולרשות הפלסטינית יש מחויבויות כלפיה. הועדה קוראת לישראל להסיר את המצור על עזה, ולשלושת הגורמים האחראים לעמוד במחויבויותיהם ולשפר את תנאי המחייה בעזה".  </w:t>
      </w:r>
    </w:p>
    <w:p w:rsidR="006011B3" w:rsidRDefault="006011B3" w:rsidP="006011B3">
      <w:pPr>
        <w:bidi/>
        <w:spacing w:after="0" w:line="240" w:lineRule="auto"/>
        <w:rPr>
          <w:rFonts w:ascii="Arial" w:hAnsi="Arial"/>
          <w:b/>
          <w:sz w:val="24"/>
          <w:szCs w:val="24"/>
          <w:rtl/>
          <w:lang w:val="en-US" w:bidi="he-IL"/>
        </w:rPr>
      </w:pP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t>הרשויות בישראל לא השיבו לבקשות חוזרות של הועדה לקבל מידע ולאפשר גישה לישראל ולשטח הפלסטיני הכבוש.</w:t>
      </w:r>
    </w:p>
    <w:p w:rsidR="006011B3" w:rsidRDefault="006011B3" w:rsidP="006011B3">
      <w:pPr>
        <w:bidi/>
        <w:spacing w:after="0" w:line="240" w:lineRule="auto"/>
        <w:rPr>
          <w:rFonts w:ascii="Arial" w:hAnsi="Arial"/>
          <w:b/>
          <w:sz w:val="24"/>
          <w:szCs w:val="24"/>
          <w:lang w:val="en-US" w:bidi="he-IL"/>
        </w:rPr>
      </w:pPr>
    </w:p>
    <w:p w:rsidR="006011B3" w:rsidRDefault="006011B3" w:rsidP="006011B3">
      <w:pPr>
        <w:bidi/>
        <w:spacing w:after="0" w:line="240" w:lineRule="auto"/>
        <w:rPr>
          <w:rFonts w:ascii="Arial" w:hAnsi="Arial"/>
          <w:b/>
          <w:sz w:val="24"/>
          <w:szCs w:val="24"/>
          <w:rtl/>
          <w:lang w:val="en-US" w:bidi="he-IL"/>
        </w:rPr>
      </w:pPr>
      <w:r>
        <w:rPr>
          <w:rFonts w:ascii="Arial" w:hAnsi="Arial"/>
          <w:b/>
          <w:sz w:val="24"/>
          <w:szCs w:val="24"/>
          <w:rtl/>
          <w:lang w:val="en-US" w:bidi="he-IL"/>
        </w:rPr>
        <w:t>הדו"ח המלא, הכולל מידע עובדתי ונסיבתי מפורט וניתוח משפטי, יפורסם ויוצג בפני מועצת זכויות האדם ביום 18 למרץ 2019 בג'נבה.</w:t>
      </w:r>
    </w:p>
    <w:p w:rsidR="006011B3" w:rsidRDefault="006011B3" w:rsidP="006011B3">
      <w:pPr>
        <w:pBdr>
          <w:bottom w:val="single" w:sz="6" w:space="1" w:color="auto"/>
        </w:pBdr>
        <w:bidi/>
        <w:spacing w:after="0" w:line="240" w:lineRule="auto"/>
        <w:rPr>
          <w:rFonts w:ascii="Arial" w:hAnsi="Arial"/>
          <w:b/>
          <w:sz w:val="24"/>
          <w:szCs w:val="24"/>
          <w:rtl/>
          <w:lang w:val="en-US" w:bidi="he-IL"/>
        </w:rPr>
      </w:pPr>
    </w:p>
    <w:p w:rsidR="006011B3" w:rsidRDefault="006011B3" w:rsidP="006011B3">
      <w:pPr>
        <w:pBdr>
          <w:bottom w:val="single" w:sz="6" w:space="1" w:color="auto"/>
        </w:pBdr>
        <w:bidi/>
        <w:spacing w:after="0" w:line="240" w:lineRule="auto"/>
        <w:rPr>
          <w:rFonts w:ascii="Arial" w:hAnsi="Arial"/>
          <w:b/>
          <w:sz w:val="24"/>
          <w:szCs w:val="24"/>
          <w:rtl/>
          <w:lang w:val="en-US" w:bidi="he-IL"/>
        </w:rPr>
      </w:pPr>
    </w:p>
    <w:p w:rsidR="006011B3" w:rsidRDefault="006011B3" w:rsidP="006011B3">
      <w:pPr>
        <w:bidi/>
        <w:spacing w:after="0" w:line="240" w:lineRule="auto"/>
        <w:rPr>
          <w:rFonts w:ascii="Arial" w:hAnsi="Arial"/>
          <w:b/>
          <w:sz w:val="24"/>
          <w:szCs w:val="24"/>
          <w:rtl/>
          <w:lang w:bidi="he-IL"/>
        </w:rPr>
      </w:pPr>
    </w:p>
    <w:p w:rsidR="006011B3" w:rsidRDefault="006011B3" w:rsidP="006011B3">
      <w:pPr>
        <w:bidi/>
        <w:rPr>
          <w:rtl/>
          <w:lang w:bidi="he-IL"/>
        </w:rPr>
      </w:pPr>
      <w:r>
        <w:rPr>
          <w:rtl/>
          <w:lang w:bidi="he-IL"/>
        </w:rPr>
        <w:t xml:space="preserve">למידע נוסף ולקריאת דו"ח הועדה המקוצר, בקרו </w:t>
      </w:r>
      <w:r>
        <w:rPr>
          <w:color w:val="FF0000"/>
          <w:u w:val="single"/>
          <w:rtl/>
          <w:lang w:bidi="he-IL"/>
        </w:rPr>
        <w:t>באתר הדו"ח</w:t>
      </w:r>
      <w:r>
        <w:rPr>
          <w:color w:val="FF0000"/>
          <w:rtl/>
          <w:lang w:bidi="he-IL"/>
        </w:rPr>
        <w:t xml:space="preserve"> </w:t>
      </w:r>
    </w:p>
    <w:p w:rsidR="006011B3" w:rsidRDefault="006011B3" w:rsidP="006011B3">
      <w:pPr>
        <w:bidi/>
        <w:rPr>
          <w:rtl/>
          <w:lang w:bidi="he-IL"/>
        </w:rPr>
      </w:pPr>
    </w:p>
    <w:p w:rsidR="006011B3" w:rsidRDefault="006011B3" w:rsidP="006011B3">
      <w:pPr>
        <w:bidi/>
        <w:spacing w:after="0" w:line="240" w:lineRule="auto"/>
        <w:rPr>
          <w:rFonts w:ascii="Arial" w:hAnsi="Arial"/>
          <w:b/>
          <w:rtl/>
          <w:lang w:val="en-US" w:bidi="he-IL"/>
        </w:rPr>
      </w:pPr>
      <w:r>
        <w:rPr>
          <w:rFonts w:ascii="Arial" w:hAnsi="Arial"/>
          <w:b/>
          <w:rtl/>
          <w:lang w:val="en-US" w:bidi="he-IL"/>
        </w:rPr>
        <w:t>לפרטים נוספים:</w:t>
      </w:r>
    </w:p>
    <w:p w:rsidR="006011B3" w:rsidRDefault="006011B3" w:rsidP="006011B3">
      <w:pPr>
        <w:bidi/>
        <w:spacing w:after="0" w:line="240" w:lineRule="auto"/>
        <w:rPr>
          <w:rFonts w:ascii="Arial" w:hAnsi="Arial"/>
          <w:bCs/>
          <w:rtl/>
          <w:lang w:val="en-US" w:bidi="he-IL"/>
        </w:rPr>
      </w:pPr>
    </w:p>
    <w:p w:rsidR="006011B3" w:rsidRDefault="006011B3" w:rsidP="006011B3">
      <w:pPr>
        <w:bidi/>
        <w:spacing w:after="0" w:line="240" w:lineRule="auto"/>
        <w:rPr>
          <w:rFonts w:ascii="Arial" w:hAnsi="Arial"/>
          <w:bCs/>
          <w:rtl/>
          <w:lang w:val="en-US" w:bidi="he-IL"/>
        </w:rPr>
      </w:pPr>
      <w:r>
        <w:rPr>
          <w:rFonts w:ascii="Arial" w:hAnsi="Arial"/>
          <w:b/>
          <w:rtl/>
          <w:lang w:val="en-US" w:bidi="he-IL"/>
        </w:rPr>
        <w:t>מר יוהן אריקסון:</w:t>
      </w:r>
      <w:r>
        <w:rPr>
          <w:rFonts w:ascii="Arial" w:hAnsi="Arial"/>
          <w:bCs/>
          <w:rtl/>
          <w:lang w:val="en-US" w:bidi="he-IL"/>
        </w:rPr>
        <w:t xml:space="preserve"> </w:t>
      </w:r>
      <w:r>
        <w:rPr>
          <w:rFonts w:ascii="Arial" w:hAnsi="Arial"/>
          <w:bCs/>
          <w:lang w:val="en-US" w:bidi="he-IL"/>
        </w:rPr>
        <w:t>+41 76 691 10 82</w:t>
      </w:r>
      <w:r>
        <w:rPr>
          <w:rFonts w:ascii="Arial" w:hAnsi="Arial"/>
          <w:bCs/>
          <w:rtl/>
          <w:lang w:val="en-US" w:bidi="he-IL"/>
        </w:rPr>
        <w:t xml:space="preserve">, </w:t>
      </w:r>
      <w:hyperlink r:id="rId7" w:history="1">
        <w:r>
          <w:rPr>
            <w:rStyle w:val="Hyperlink"/>
            <w:rFonts w:ascii="Arial" w:hAnsi="Arial"/>
          </w:rPr>
          <w:t>mediacoioptprotests@ohchr.org</w:t>
        </w:r>
      </w:hyperlink>
    </w:p>
    <w:p w:rsidR="006011B3" w:rsidRDefault="006011B3" w:rsidP="006011B3">
      <w:pPr>
        <w:bidi/>
        <w:spacing w:after="0" w:line="240" w:lineRule="auto"/>
        <w:rPr>
          <w:rFonts w:ascii="Arial" w:hAnsi="Arial"/>
          <w:bCs/>
          <w:rtl/>
          <w:lang w:val="en-US" w:bidi="he-IL"/>
        </w:rPr>
      </w:pPr>
    </w:p>
    <w:p w:rsidR="006011B3" w:rsidRDefault="006011B3" w:rsidP="006011B3">
      <w:pPr>
        <w:bidi/>
        <w:spacing w:after="0" w:line="240" w:lineRule="auto"/>
        <w:rPr>
          <w:rFonts w:ascii="Arial" w:hAnsi="Arial"/>
          <w:bCs/>
          <w:rtl/>
          <w:lang w:val="en-US" w:bidi="he-IL"/>
        </w:rPr>
      </w:pPr>
      <w:r>
        <w:rPr>
          <w:rFonts w:ascii="Arial" w:hAnsi="Arial"/>
          <w:b/>
          <w:rtl/>
          <w:lang w:val="en-US" w:bidi="he-IL"/>
        </w:rPr>
        <w:t>מר רונלדו גומז:</w:t>
      </w:r>
      <w:r>
        <w:rPr>
          <w:rFonts w:ascii="Arial" w:hAnsi="Arial"/>
          <w:bCs/>
          <w:rtl/>
          <w:lang w:val="en-US" w:bidi="he-IL"/>
        </w:rPr>
        <w:t xml:space="preserve"> </w:t>
      </w:r>
      <w:r>
        <w:rPr>
          <w:rFonts w:ascii="Arial" w:hAnsi="Arial"/>
          <w:bCs/>
          <w:lang w:val="en-US" w:bidi="he-IL"/>
        </w:rPr>
        <w:t>+41 22 917 97 11</w:t>
      </w:r>
      <w:r>
        <w:rPr>
          <w:rFonts w:ascii="Arial" w:hAnsi="Arial"/>
          <w:bCs/>
          <w:rtl/>
          <w:lang w:val="en-US" w:bidi="he-IL"/>
        </w:rPr>
        <w:t xml:space="preserve">, </w:t>
      </w:r>
      <w:hyperlink r:id="rId8" w:history="1">
        <w:r>
          <w:rPr>
            <w:rStyle w:val="Hyperlink"/>
            <w:rFonts w:ascii="Arial" w:hAnsi="Arial"/>
          </w:rPr>
          <w:t>rgomez@ohchr.org</w:t>
        </w:r>
      </w:hyperlink>
    </w:p>
    <w:p w:rsidR="006011B3" w:rsidRDefault="006011B3" w:rsidP="006011B3">
      <w:pPr>
        <w:bidi/>
        <w:spacing w:after="0" w:line="240" w:lineRule="auto"/>
        <w:rPr>
          <w:rFonts w:ascii="Arial" w:hAnsi="Arial"/>
          <w:bCs/>
          <w:lang w:val="en-US"/>
        </w:rPr>
      </w:pPr>
    </w:p>
    <w:p w:rsidR="006011B3" w:rsidRDefault="006011B3" w:rsidP="006011B3">
      <w:pPr>
        <w:bidi/>
        <w:spacing w:after="0" w:line="240" w:lineRule="auto"/>
        <w:rPr>
          <w:rFonts w:ascii="Arial" w:hAnsi="Arial"/>
          <w:bCs/>
          <w:rtl/>
          <w:lang w:val="en-US" w:bidi="he-IL"/>
        </w:rPr>
      </w:pPr>
      <w:r>
        <w:rPr>
          <w:rFonts w:ascii="Arial" w:hAnsi="Arial"/>
          <w:b/>
          <w:rtl/>
          <w:lang w:val="en-US" w:bidi="he-IL"/>
        </w:rPr>
        <w:t>לבקשת ראיונות לתקשורת, ניתן ליצור קשר במספר</w:t>
      </w:r>
      <w:r>
        <w:rPr>
          <w:rFonts w:ascii="Arial" w:hAnsi="Arial"/>
          <w:bCs/>
          <w:rtl/>
          <w:lang w:val="en-US" w:bidi="he-IL"/>
        </w:rPr>
        <w:t xml:space="preserve"> </w:t>
      </w:r>
      <w:r>
        <w:rPr>
          <w:rFonts w:ascii="Arial" w:hAnsi="Arial"/>
          <w:bCs/>
          <w:lang w:val="en-US" w:bidi="he-IL"/>
        </w:rPr>
        <w:t>+41 22 917 81 82</w:t>
      </w:r>
    </w:p>
    <w:p w:rsidR="006011B3" w:rsidRDefault="006011B3" w:rsidP="006011B3">
      <w:pPr>
        <w:bidi/>
        <w:rPr>
          <w:rFonts w:ascii="Arial" w:hAnsi="Arial"/>
          <w:rtl/>
        </w:rPr>
      </w:pPr>
    </w:p>
    <w:p w:rsidR="006011B3" w:rsidRDefault="006011B3" w:rsidP="006011B3">
      <w:pPr>
        <w:bidi/>
        <w:rPr>
          <w:rFonts w:ascii="Arial" w:hAnsi="Arial"/>
          <w:lang w:bidi="he-IL"/>
        </w:rPr>
      </w:pPr>
      <w:r>
        <w:rPr>
          <w:rFonts w:ascii="Arial" w:hAnsi="Arial"/>
          <w:rtl/>
          <w:lang w:bidi="he-IL"/>
        </w:rPr>
        <w:t>סרטונים לשידור ניתן להוריד כאן:</w:t>
      </w:r>
    </w:p>
    <w:p w:rsidR="006011B3" w:rsidRDefault="006011B3" w:rsidP="006011B3">
      <w:pPr>
        <w:pStyle w:val="ListParagraph"/>
        <w:numPr>
          <w:ilvl w:val="0"/>
          <w:numId w:val="1"/>
        </w:numPr>
        <w:bidi/>
        <w:spacing w:after="0" w:line="240" w:lineRule="auto"/>
        <w:rPr>
          <w:rFonts w:ascii="Arial" w:hAnsi="Arial"/>
          <w:rtl/>
        </w:rPr>
      </w:pPr>
      <w:r>
        <w:rPr>
          <w:rFonts w:ascii="Arial" w:hAnsi="Arial"/>
        </w:rPr>
        <w:t>Link [</w:t>
      </w:r>
      <w:r>
        <w:rPr>
          <w:rFonts w:ascii="Arial" w:hAnsi="Arial"/>
          <w:i/>
          <w:iCs/>
        </w:rPr>
        <w:t>VNR1</w:t>
      </w:r>
      <w:r>
        <w:rPr>
          <w:rFonts w:ascii="Arial" w:hAnsi="Arial"/>
        </w:rPr>
        <w:t>]</w:t>
      </w:r>
    </w:p>
    <w:p w:rsidR="006011B3" w:rsidRDefault="006011B3" w:rsidP="006011B3">
      <w:pPr>
        <w:pStyle w:val="ListParagraph"/>
        <w:numPr>
          <w:ilvl w:val="0"/>
          <w:numId w:val="1"/>
        </w:numPr>
        <w:bidi/>
        <w:spacing w:after="0" w:line="240" w:lineRule="auto"/>
        <w:rPr>
          <w:rFonts w:ascii="Arial" w:hAnsi="Arial"/>
        </w:rPr>
      </w:pPr>
      <w:r>
        <w:rPr>
          <w:rFonts w:ascii="Arial" w:hAnsi="Arial"/>
        </w:rPr>
        <w:t>Link [</w:t>
      </w:r>
      <w:r>
        <w:rPr>
          <w:rFonts w:ascii="Arial" w:hAnsi="Arial"/>
          <w:i/>
          <w:iCs/>
        </w:rPr>
        <w:t>VNR2</w:t>
      </w:r>
      <w:r>
        <w:rPr>
          <w:rFonts w:ascii="Arial" w:hAnsi="Arial"/>
        </w:rPr>
        <w:t>]</w:t>
      </w:r>
    </w:p>
    <w:p w:rsidR="006011B3" w:rsidRDefault="006011B3" w:rsidP="006011B3">
      <w:pPr>
        <w:pStyle w:val="ListParagraph"/>
        <w:numPr>
          <w:ilvl w:val="0"/>
          <w:numId w:val="1"/>
        </w:numPr>
        <w:bidi/>
        <w:spacing w:after="0" w:line="240" w:lineRule="auto"/>
        <w:rPr>
          <w:rFonts w:ascii="Arial" w:hAnsi="Arial"/>
        </w:rPr>
      </w:pPr>
      <w:r>
        <w:rPr>
          <w:rFonts w:ascii="Arial" w:hAnsi="Arial"/>
        </w:rPr>
        <w:t>Link [</w:t>
      </w:r>
      <w:r>
        <w:rPr>
          <w:rFonts w:ascii="Arial" w:hAnsi="Arial"/>
          <w:i/>
          <w:iCs/>
        </w:rPr>
        <w:t>Incident compilation in broadcast resolution</w:t>
      </w:r>
      <w:r>
        <w:rPr>
          <w:rFonts w:ascii="Arial" w:hAnsi="Arial"/>
        </w:rPr>
        <w:t>]</w:t>
      </w:r>
    </w:p>
    <w:p w:rsidR="006011B3" w:rsidRDefault="006011B3" w:rsidP="006011B3">
      <w:pPr>
        <w:bidi/>
        <w:spacing w:after="0" w:line="240" w:lineRule="auto"/>
        <w:rPr>
          <w:rFonts w:ascii="Arial" w:hAnsi="Arial"/>
        </w:rPr>
      </w:pPr>
    </w:p>
    <w:p w:rsidR="006011B3" w:rsidRDefault="006011B3" w:rsidP="006011B3">
      <w:pPr>
        <w:bidi/>
        <w:spacing w:after="0" w:line="240" w:lineRule="auto"/>
        <w:rPr>
          <w:rFonts w:ascii="Arial" w:hAnsi="Arial"/>
          <w:rtl/>
        </w:rPr>
      </w:pPr>
      <w:r>
        <w:rPr>
          <w:rFonts w:ascii="Arial" w:hAnsi="Arial"/>
          <w:rtl/>
          <w:lang w:bidi="he-IL"/>
        </w:rPr>
        <w:lastRenderedPageBreak/>
        <w:t>מסיבת העיתונאים תועבר בשידור ישיר באתר</w:t>
      </w:r>
      <w:hyperlink r:id="rId9" w:history="1">
        <w:r>
          <w:rPr>
            <w:rStyle w:val="Hyperlink"/>
          </w:rPr>
          <w:t>http://webtv.un.org/</w:t>
        </w:r>
      </w:hyperlink>
    </w:p>
    <w:p w:rsidR="006011B3" w:rsidRDefault="006011B3" w:rsidP="006011B3">
      <w:pPr>
        <w:bidi/>
        <w:rPr>
          <w:rFonts w:ascii="Arial" w:hAnsi="Arial"/>
          <w:lang w:bidi="he-IL"/>
        </w:rPr>
      </w:pPr>
    </w:p>
    <w:p w:rsidR="006011B3" w:rsidRDefault="006011B3" w:rsidP="006011B3">
      <w:pPr>
        <w:bidi/>
        <w:rPr>
          <w:rFonts w:ascii="Arial" w:hAnsi="Arial"/>
          <w:rtl/>
          <w:lang w:bidi="he-IL"/>
        </w:rPr>
      </w:pPr>
      <w:r>
        <w:rPr>
          <w:rFonts w:ascii="Arial" w:hAnsi="Arial"/>
          <w:rtl/>
          <w:lang w:bidi="he-IL"/>
        </w:rPr>
        <w:t>חומר מצולם נוסף זמין כאן:</w:t>
      </w:r>
    </w:p>
    <w:p w:rsidR="006011B3" w:rsidRDefault="00875FC4" w:rsidP="006011B3">
      <w:pPr>
        <w:bidi/>
        <w:rPr>
          <w:rFonts w:ascii="Arial" w:hAnsi="Arial"/>
          <w:rtl/>
        </w:rPr>
      </w:pPr>
      <w:hyperlink r:id="rId10" w:history="1">
        <w:r w:rsidR="006011B3">
          <w:rPr>
            <w:rStyle w:val="Hyperlink"/>
            <w:rFonts w:ascii="Arial" w:hAnsi="Arial"/>
          </w:rPr>
          <w:t>https://www.unmultimedia.org/tv/unifeed/</w:t>
        </w:r>
      </w:hyperlink>
    </w:p>
    <w:p w:rsidR="006011B3" w:rsidRDefault="006011B3" w:rsidP="006011B3">
      <w:pPr>
        <w:bidi/>
        <w:rPr>
          <w:rFonts w:ascii="Arial" w:hAnsi="Arial"/>
          <w:lang w:bidi="he-IL"/>
        </w:rPr>
      </w:pPr>
    </w:p>
    <w:p w:rsidR="006011B3" w:rsidRDefault="006011B3" w:rsidP="006011B3">
      <w:pPr>
        <w:bidi/>
        <w:rPr>
          <w:rFonts w:ascii="Arial" w:hAnsi="Arial"/>
          <w:rtl/>
          <w:lang w:bidi="he-IL"/>
        </w:rPr>
      </w:pPr>
      <w:r>
        <w:rPr>
          <w:rFonts w:ascii="Arial" w:hAnsi="Arial"/>
          <w:rtl/>
          <w:lang w:bidi="he-IL"/>
        </w:rPr>
        <w:t xml:space="preserve">למידע נוסף, בקרו </w:t>
      </w:r>
      <w:hyperlink r:id="rId11" w:history="1">
        <w:r>
          <w:rPr>
            <w:rStyle w:val="Hyperlink"/>
            <w:rFonts w:ascii="Arial" w:hAnsi="Arial"/>
            <w:color w:val="FF0000"/>
            <w:lang w:eastAsia="en-GB"/>
          </w:rPr>
          <w:t>Facebook</w:t>
        </w:r>
      </w:hyperlink>
      <w:r>
        <w:rPr>
          <w:rFonts w:ascii="Arial" w:hAnsi="Arial"/>
          <w:color w:val="FF0000"/>
          <w:lang w:eastAsia="en-GB"/>
        </w:rPr>
        <w:t xml:space="preserve">  </w:t>
      </w:r>
      <w:hyperlink r:id="rId12" w:history="1">
        <w:r>
          <w:rPr>
            <w:rStyle w:val="Hyperlink"/>
            <w:rFonts w:ascii="Arial" w:hAnsi="Arial"/>
            <w:color w:val="FF0000"/>
            <w:lang w:eastAsia="en-GB"/>
          </w:rPr>
          <w:t>Twitter</w:t>
        </w:r>
      </w:hyperlink>
      <w:r>
        <w:rPr>
          <w:rFonts w:ascii="Arial" w:hAnsi="Arial"/>
          <w:color w:val="FF0000"/>
          <w:lang w:eastAsia="en-GB"/>
        </w:rPr>
        <w:t xml:space="preserve">  </w:t>
      </w:r>
      <w:hyperlink r:id="rId13" w:history="1">
        <w:r>
          <w:rPr>
            <w:rStyle w:val="Hyperlink"/>
            <w:rFonts w:ascii="Arial" w:hAnsi="Arial"/>
            <w:color w:val="FF0000"/>
            <w:lang w:eastAsia="en-GB"/>
          </w:rPr>
          <w:t>YouTube</w:t>
        </w:r>
      </w:hyperlink>
      <w:r>
        <w:rPr>
          <w:rFonts w:ascii="Arial" w:hAnsi="Arial"/>
          <w:color w:val="FF0000"/>
          <w:rtl/>
          <w:lang w:eastAsia="en-GB" w:bidi="he-IL"/>
        </w:rPr>
        <w:t xml:space="preserve">  </w:t>
      </w:r>
      <w:hyperlink r:id="rId14" w:history="1">
        <w:r>
          <w:rPr>
            <w:rStyle w:val="Hyperlink"/>
            <w:rFonts w:ascii="Arial" w:hAnsi="Arial"/>
            <w:color w:val="FF0000"/>
          </w:rPr>
          <w:t>Instagram</w:t>
        </w:r>
      </w:hyperlink>
    </w:p>
    <w:p w:rsidR="006011B3" w:rsidRDefault="006011B3" w:rsidP="006011B3">
      <w:pPr>
        <w:bidi/>
        <w:rPr>
          <w:rtl/>
        </w:rPr>
      </w:pPr>
    </w:p>
    <w:p w:rsidR="00961DCE" w:rsidRDefault="00875FC4"/>
    <w:sectPr w:rsidR="00961DCE" w:rsidSect="006F7B3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E429E"/>
    <w:multiLevelType w:val="hybridMultilevel"/>
    <w:tmpl w:val="827E84F4"/>
    <w:lvl w:ilvl="0" w:tplc="BCC2095C">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73"/>
    <w:rsid w:val="000C4AEA"/>
    <w:rsid w:val="00140E7F"/>
    <w:rsid w:val="00500435"/>
    <w:rsid w:val="006011B3"/>
    <w:rsid w:val="006F7B39"/>
    <w:rsid w:val="00864773"/>
    <w:rsid w:val="00875FC4"/>
    <w:rsid w:val="009B2EA4"/>
    <w:rsid w:val="00E473EC"/>
    <w:rsid w:val="00F63A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F9C84-E2E6-4A5D-AA78-027A48C4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1B3"/>
    <w:pPr>
      <w:spacing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1B3"/>
    <w:rPr>
      <w:color w:val="0563C1"/>
      <w:u w:val="single"/>
    </w:rPr>
  </w:style>
  <w:style w:type="paragraph" w:styleId="ListParagraph">
    <w:name w:val="List Paragraph"/>
    <w:basedOn w:val="Normal"/>
    <w:uiPriority w:val="34"/>
    <w:qFormat/>
    <w:rsid w:val="0060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mez@ohchr.org" TargetMode="External"/><Relationship Id="rId13" Type="http://schemas.openxmlformats.org/officeDocument/2006/relationships/hyperlink" Target="https://www.youtube.com/c/UNHumanRightsCouncil"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ediacoioptprotests@ohchr.org" TargetMode="External"/><Relationship Id="rId12" Type="http://schemas.openxmlformats.org/officeDocument/2006/relationships/hyperlink" Target="https://twitter.com/UN_HR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hchr.org/EN/HRBodies/HRC/CoIOPT/Pages/Members.aspx" TargetMode="External"/><Relationship Id="rId11" Type="http://schemas.openxmlformats.org/officeDocument/2006/relationships/hyperlink" Target="https://www.facebook.com/UNHRC" TargetMode="External"/><Relationship Id="rId5" Type="http://schemas.openxmlformats.org/officeDocument/2006/relationships/hyperlink" Target="https://www.ohchr.org/EN/HRBodies/HRC/CoIOPT/Pages/Report2018OPT.aspx" TargetMode="External"/><Relationship Id="rId15" Type="http://schemas.openxmlformats.org/officeDocument/2006/relationships/fontTable" Target="fontTable.xml"/><Relationship Id="rId10" Type="http://schemas.openxmlformats.org/officeDocument/2006/relationships/hyperlink" Target="https://www.unmultimedia.org/tv/unifeed/"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ebtv.un.org/" TargetMode="External"/><Relationship Id="rId14" Type="http://schemas.openxmlformats.org/officeDocument/2006/relationships/hyperlink" Target="https://www.instagram.com/humanrights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882956-C68B-4024-B4B6-89BF06DE72F0}"/>
</file>

<file path=customXml/itemProps2.xml><?xml version="1.0" encoding="utf-8"?>
<ds:datastoreItem xmlns:ds="http://schemas.openxmlformats.org/officeDocument/2006/customXml" ds:itemID="{199455BB-2520-4D1B-A927-CB6138EDA533}"/>
</file>

<file path=customXml/itemProps3.xml><?xml version="1.0" encoding="utf-8"?>
<ds:datastoreItem xmlns:ds="http://schemas.openxmlformats.org/officeDocument/2006/customXml" ds:itemID="{E74FA366-45F8-44F4-B185-40F70B57150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PR_CoI_OPT_2018_Protests_28Feb2019_HEBREW</dc:title>
  <dc:subject/>
  <dc:creator>ERIKSSON Johan</dc:creator>
  <cp:keywords/>
  <dc:description/>
  <cp:lastModifiedBy>SAPEY Cedric</cp:lastModifiedBy>
  <cp:revision>2</cp:revision>
  <dcterms:created xsi:type="dcterms:W3CDTF">2019-02-28T08:44:00Z</dcterms:created>
  <dcterms:modified xsi:type="dcterms:W3CDTF">2019-02-28T08:44:00Z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