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EF57B" w14:textId="6ED75BC6" w:rsidR="006E2440" w:rsidRDefault="0002089E">
      <w:pPr>
        <w:rPr>
          <w:rFonts w:ascii="Times New Roman" w:hAnsi="Times New Roman" w:cs="Times New Roman"/>
          <w:b/>
          <w:sz w:val="28"/>
          <w:szCs w:val="28"/>
          <w:lang w:val="en-US"/>
        </w:rPr>
      </w:pPr>
      <w:r w:rsidRPr="00505CB9">
        <w:rPr>
          <w:rFonts w:ascii="Times New Roman" w:hAnsi="Times New Roman" w:cs="Times New Roman"/>
          <w:b/>
          <w:sz w:val="28"/>
          <w:szCs w:val="28"/>
          <w:lang w:val="en-US"/>
        </w:rPr>
        <w:t>FFM VENEZUELA</w:t>
      </w:r>
      <w:r w:rsidRPr="00505CB9">
        <w:rPr>
          <w:rFonts w:ascii="Times New Roman" w:hAnsi="Times New Roman" w:cs="Times New Roman"/>
          <w:b/>
          <w:sz w:val="28"/>
          <w:szCs w:val="28"/>
          <w:lang w:val="en-US"/>
        </w:rPr>
        <w:br/>
      </w:r>
      <w:r w:rsidR="00305F16" w:rsidRPr="00505CB9">
        <w:rPr>
          <w:rFonts w:ascii="Times New Roman" w:hAnsi="Times New Roman" w:cs="Times New Roman"/>
          <w:b/>
          <w:sz w:val="28"/>
          <w:szCs w:val="28"/>
          <w:lang w:val="en-US"/>
        </w:rPr>
        <w:t>FACTS AND FIGURES</w:t>
      </w:r>
      <w:r w:rsidR="004D60AF">
        <w:rPr>
          <w:rFonts w:ascii="Times New Roman" w:hAnsi="Times New Roman" w:cs="Times New Roman"/>
          <w:b/>
          <w:sz w:val="28"/>
          <w:szCs w:val="28"/>
          <w:lang w:val="en-US"/>
        </w:rPr>
        <w:br/>
      </w:r>
      <w:bookmarkStart w:id="0" w:name="_GoBack"/>
      <w:bookmarkEnd w:id="0"/>
      <w:r w:rsidR="004D60AF" w:rsidRPr="004D60AF">
        <w:rPr>
          <w:rFonts w:ascii="Times New Roman" w:hAnsi="Times New Roman" w:cs="Times New Roman"/>
          <w:b/>
          <w:color w:val="FF0000"/>
        </w:rPr>
        <w:br/>
      </w:r>
      <w:r w:rsidR="00F62714" w:rsidRPr="00505CB9">
        <w:rPr>
          <w:rFonts w:ascii="Times New Roman" w:hAnsi="Times New Roman" w:cs="Times New Roman"/>
          <w:b/>
          <w:sz w:val="28"/>
          <w:szCs w:val="28"/>
          <w:lang w:val="en-US"/>
        </w:rPr>
        <w:t>Second report of the Independent International Fact-Finding Mission on the Bolivarian Republic of Venezuela</w:t>
      </w:r>
    </w:p>
    <w:p w14:paraId="33FA7087" w14:textId="199244E0" w:rsidR="006E2440" w:rsidRPr="006E2440" w:rsidRDefault="006E2440">
      <w:pPr>
        <w:rPr>
          <w:rFonts w:ascii="Times New Roman" w:hAnsi="Times New Roman" w:cs="Times New Roman"/>
          <w:lang w:val="en-US"/>
        </w:rPr>
      </w:pPr>
      <w:r>
        <w:rPr>
          <w:rFonts w:ascii="Times New Roman" w:hAnsi="Times New Roman" w:cs="Times New Roman"/>
          <w:lang w:val="en-US"/>
        </w:rPr>
        <w:t xml:space="preserve">The following </w:t>
      </w:r>
      <w:r w:rsidR="00181C21">
        <w:rPr>
          <w:rFonts w:ascii="Times New Roman" w:hAnsi="Times New Roman" w:cs="Times New Roman"/>
          <w:lang w:val="en-US"/>
        </w:rPr>
        <w:t>highlights data and analysis from</w:t>
      </w:r>
      <w:r>
        <w:rPr>
          <w:rFonts w:ascii="Times New Roman" w:hAnsi="Times New Roman" w:cs="Times New Roman"/>
          <w:lang w:val="en-US"/>
        </w:rPr>
        <w:t xml:space="preserve"> the Mission’s investigation. </w:t>
      </w:r>
      <w:r w:rsidRPr="006E2440">
        <w:rPr>
          <w:rFonts w:ascii="Times New Roman" w:hAnsi="Times New Roman" w:cs="Times New Roman"/>
          <w:lang w:val="en-US"/>
        </w:rPr>
        <w:t>For addition</w:t>
      </w:r>
      <w:r w:rsidR="009E6B75">
        <w:rPr>
          <w:rFonts w:ascii="Times New Roman" w:hAnsi="Times New Roman" w:cs="Times New Roman"/>
          <w:lang w:val="en-US"/>
        </w:rPr>
        <w:t xml:space="preserve">al information and context, please refer to </w:t>
      </w:r>
      <w:r w:rsidRPr="006E2440">
        <w:rPr>
          <w:rFonts w:ascii="Times New Roman" w:hAnsi="Times New Roman" w:cs="Times New Roman"/>
          <w:lang w:val="en-US"/>
        </w:rPr>
        <w:t xml:space="preserve">the </w:t>
      </w:r>
      <w:r w:rsidR="00504363">
        <w:rPr>
          <w:rFonts w:ascii="Times New Roman" w:hAnsi="Times New Roman" w:cs="Times New Roman"/>
          <w:lang w:val="en-US"/>
        </w:rPr>
        <w:t xml:space="preserve">press release and the </w:t>
      </w:r>
      <w:r w:rsidRPr="006E2440">
        <w:rPr>
          <w:rFonts w:ascii="Times New Roman" w:hAnsi="Times New Roman" w:cs="Times New Roman"/>
          <w:lang w:val="en-US"/>
        </w:rPr>
        <w:t xml:space="preserve">paragraph numbers cited </w:t>
      </w:r>
      <w:r w:rsidR="009E6B75">
        <w:rPr>
          <w:rFonts w:ascii="Times New Roman" w:hAnsi="Times New Roman" w:cs="Times New Roman"/>
          <w:lang w:val="en-US"/>
        </w:rPr>
        <w:t>in</w:t>
      </w:r>
      <w:r w:rsidRPr="006E2440">
        <w:rPr>
          <w:rFonts w:ascii="Times New Roman" w:hAnsi="Times New Roman" w:cs="Times New Roman"/>
          <w:lang w:val="en-US"/>
        </w:rPr>
        <w:t xml:space="preserve"> the </w:t>
      </w:r>
      <w:r w:rsidR="004411AE">
        <w:rPr>
          <w:rFonts w:ascii="Times New Roman" w:hAnsi="Times New Roman" w:cs="Times New Roman"/>
          <w:lang w:val="en-US"/>
        </w:rPr>
        <w:t>Conference Room Paper</w:t>
      </w:r>
      <w:r w:rsidR="00FE3B9D">
        <w:rPr>
          <w:rFonts w:ascii="Times New Roman" w:hAnsi="Times New Roman" w:cs="Times New Roman"/>
          <w:lang w:val="en-US"/>
        </w:rPr>
        <w:t xml:space="preserve"> </w:t>
      </w:r>
      <w:r w:rsidR="00FE3B9D" w:rsidRPr="00FE3B9D">
        <w:rPr>
          <w:rFonts w:ascii="Times New Roman" w:hAnsi="Times New Roman" w:cs="Times New Roman"/>
          <w:lang w:val="en-US"/>
        </w:rPr>
        <w:t>A/HRC/48/CRP.5</w:t>
      </w:r>
      <w:r w:rsidRPr="006E2440">
        <w:rPr>
          <w:rFonts w:ascii="Times New Roman" w:hAnsi="Times New Roman" w:cs="Times New Roman"/>
          <w:lang w:val="en-US"/>
        </w:rPr>
        <w:t xml:space="preserve">. </w:t>
      </w:r>
    </w:p>
    <w:p w14:paraId="3C0C6654" w14:textId="77777777" w:rsidR="00E70AAB" w:rsidRPr="00505CB9" w:rsidRDefault="00E70AAB" w:rsidP="00E70AAB">
      <w:pPr>
        <w:rPr>
          <w:rFonts w:ascii="Times New Roman" w:hAnsi="Times New Roman" w:cs="Times New Roman"/>
          <w:b/>
          <w:i/>
          <w:u w:val="single"/>
          <w:lang w:val="en-US"/>
        </w:rPr>
      </w:pPr>
      <w:r w:rsidRPr="00505CB9">
        <w:rPr>
          <w:rFonts w:ascii="Times New Roman" w:hAnsi="Times New Roman" w:cs="Times New Roman"/>
          <w:b/>
          <w:i/>
          <w:u w:val="single"/>
          <w:lang w:val="en-US"/>
        </w:rPr>
        <w:t>The Mission’s investigation</w:t>
      </w:r>
    </w:p>
    <w:p w14:paraId="239BD759" w14:textId="31FA4C65" w:rsidR="00661E13" w:rsidRDefault="000E02CE" w:rsidP="000E02CE">
      <w:pPr>
        <w:pStyle w:val="ListParagraph"/>
        <w:numPr>
          <w:ilvl w:val="0"/>
          <w:numId w:val="3"/>
        </w:numPr>
        <w:shd w:val="clear" w:color="auto" w:fill="FFFFFF"/>
        <w:spacing w:after="0" w:line="240" w:lineRule="auto"/>
        <w:rPr>
          <w:rFonts w:ascii="Times New Roman" w:eastAsia="Times New Roman" w:hAnsi="Times New Roman" w:cs="Times New Roman"/>
          <w:color w:val="000000"/>
          <w:lang w:eastAsia="en-GB"/>
        </w:rPr>
      </w:pPr>
      <w:r w:rsidRPr="00505CB9">
        <w:rPr>
          <w:rFonts w:ascii="Times New Roman" w:eastAsia="Times New Roman" w:hAnsi="Times New Roman" w:cs="Times New Roman"/>
          <w:color w:val="000000"/>
          <w:lang w:eastAsia="en-GB"/>
        </w:rPr>
        <w:t xml:space="preserve">For the present report, </w:t>
      </w:r>
      <w:r w:rsidRPr="00505CB9">
        <w:rPr>
          <w:rFonts w:ascii="Times New Roman" w:eastAsia="Times New Roman" w:hAnsi="Times New Roman" w:cs="Times New Roman"/>
          <w:b/>
          <w:color w:val="000000"/>
          <w:lang w:eastAsia="en-GB"/>
        </w:rPr>
        <w:t xml:space="preserve">the Mission conducted a detailed analysis of 183 detentions of perceived or real </w:t>
      </w:r>
      <w:r w:rsidR="006F7DD1">
        <w:rPr>
          <w:rFonts w:ascii="Times New Roman" w:eastAsia="Times New Roman" w:hAnsi="Times New Roman" w:cs="Times New Roman"/>
          <w:b/>
          <w:color w:val="000000"/>
          <w:lang w:eastAsia="en-GB"/>
        </w:rPr>
        <w:t xml:space="preserve">government </w:t>
      </w:r>
      <w:r w:rsidRPr="00505CB9">
        <w:rPr>
          <w:rFonts w:ascii="Times New Roman" w:eastAsia="Times New Roman" w:hAnsi="Times New Roman" w:cs="Times New Roman"/>
          <w:b/>
          <w:color w:val="000000"/>
          <w:lang w:eastAsia="en-GB"/>
        </w:rPr>
        <w:t>opponents that took place between 2014 and August 2021</w:t>
      </w:r>
      <w:r w:rsidRPr="00505CB9">
        <w:rPr>
          <w:rFonts w:ascii="Times New Roman" w:eastAsia="Times New Roman" w:hAnsi="Times New Roman" w:cs="Times New Roman"/>
          <w:color w:val="000000"/>
          <w:lang w:eastAsia="en-GB"/>
        </w:rPr>
        <w:t xml:space="preserve">, in order to evaluate the time, manner and circumstances in which arrests, detentions and judicial proceedings occurred. These include several cases that were reviewed and analysed for </w:t>
      </w:r>
      <w:hyperlink r:id="rId7" w:history="1">
        <w:r w:rsidRPr="00505CB9">
          <w:rPr>
            <w:rStyle w:val="Hyperlink"/>
            <w:rFonts w:ascii="Times New Roman" w:eastAsia="Times New Roman" w:hAnsi="Times New Roman" w:cs="Times New Roman"/>
            <w:lang w:eastAsia="en-GB"/>
          </w:rPr>
          <w:t>the Mission’s 2020 report</w:t>
        </w:r>
      </w:hyperlink>
      <w:r w:rsidRPr="00505CB9">
        <w:rPr>
          <w:rFonts w:ascii="Times New Roman" w:eastAsia="Times New Roman" w:hAnsi="Times New Roman" w:cs="Times New Roman"/>
          <w:color w:val="000000"/>
          <w:lang w:eastAsia="en-GB"/>
        </w:rPr>
        <w:t>. In relation to those, the Mission obtained information about procedural developments, whenever they occurred, and carried out further analysis. In addition, for the present report, the Mission investigated and analysed 73 additional detentions, including 19 that took place since September 2020. The detentions analysed involved 153 men and 30 women, 92 of whom are civilians and 91 members of the military. As part of these investigations, the Mission conducted an extensive document review of thousands of pages of legal case files, including arrest warrant requests by the prosecution, arrest and search warrant orders by courts, and records of initial appearances, preliminary hearings, oral</w:t>
      </w:r>
      <w:r w:rsidR="008D5D3C">
        <w:rPr>
          <w:rFonts w:ascii="Times New Roman" w:eastAsia="Times New Roman" w:hAnsi="Times New Roman" w:cs="Times New Roman"/>
          <w:color w:val="000000"/>
          <w:lang w:eastAsia="en-GB"/>
        </w:rPr>
        <w:t xml:space="preserve"> and public trials, and appeals</w:t>
      </w:r>
      <w:r w:rsidR="002125B4">
        <w:rPr>
          <w:rFonts w:ascii="Times New Roman" w:eastAsia="Times New Roman" w:hAnsi="Times New Roman" w:cs="Times New Roman"/>
          <w:color w:val="000000"/>
          <w:lang w:eastAsia="en-GB"/>
        </w:rPr>
        <w:t xml:space="preserve"> (</w:t>
      </w:r>
      <w:r w:rsidR="00FE3B9D">
        <w:rPr>
          <w:rFonts w:ascii="Times New Roman" w:eastAsia="Times New Roman" w:hAnsi="Times New Roman" w:cs="Times New Roman"/>
          <w:color w:val="000000"/>
          <w:lang w:eastAsia="en-GB"/>
        </w:rPr>
        <w:t>A/HRC/48/CRP.5</w:t>
      </w:r>
      <w:r w:rsidR="002125B4">
        <w:rPr>
          <w:rFonts w:ascii="Times New Roman" w:eastAsia="Times New Roman" w:hAnsi="Times New Roman" w:cs="Times New Roman"/>
          <w:color w:val="000000"/>
          <w:lang w:eastAsia="en-GB"/>
        </w:rPr>
        <w:t>, para. 11)</w:t>
      </w:r>
      <w:r w:rsidR="008D5D3C">
        <w:rPr>
          <w:rFonts w:ascii="Times New Roman" w:eastAsia="Times New Roman" w:hAnsi="Times New Roman" w:cs="Times New Roman"/>
          <w:color w:val="000000"/>
          <w:lang w:eastAsia="en-GB"/>
        </w:rPr>
        <w:t>.</w:t>
      </w:r>
    </w:p>
    <w:p w14:paraId="05A4BF4C" w14:textId="77777777" w:rsidR="00661E13" w:rsidRDefault="00661E13" w:rsidP="00661E13">
      <w:pPr>
        <w:pStyle w:val="ListParagraph"/>
        <w:shd w:val="clear" w:color="auto" w:fill="FFFFFF"/>
        <w:spacing w:after="0" w:line="240" w:lineRule="auto"/>
        <w:rPr>
          <w:rFonts w:ascii="Times New Roman" w:eastAsia="Times New Roman" w:hAnsi="Times New Roman" w:cs="Times New Roman"/>
          <w:color w:val="000000"/>
          <w:lang w:eastAsia="en-GB"/>
        </w:rPr>
      </w:pPr>
    </w:p>
    <w:p w14:paraId="7FB73AB9" w14:textId="53D4936D" w:rsidR="00ED3EBD" w:rsidRPr="00505CB9" w:rsidRDefault="00661E13" w:rsidP="002125B4">
      <w:pPr>
        <w:pStyle w:val="ListParagraph"/>
        <w:numPr>
          <w:ilvl w:val="0"/>
          <w:numId w:val="3"/>
        </w:numPr>
        <w:shd w:val="clear" w:color="auto" w:fill="FFFFFF"/>
        <w:spacing w:after="0" w:line="240" w:lineRule="auto"/>
        <w:rPr>
          <w:rFonts w:ascii="Times New Roman" w:eastAsia="Times New Roman" w:hAnsi="Times New Roman" w:cs="Times New Roman"/>
          <w:color w:val="000000"/>
          <w:lang w:eastAsia="en-GB"/>
        </w:rPr>
      </w:pPr>
      <w:r w:rsidRPr="00661E13">
        <w:rPr>
          <w:rFonts w:ascii="Times New Roman" w:eastAsia="Times New Roman" w:hAnsi="Times New Roman" w:cs="Times New Roman"/>
          <w:b/>
          <w:color w:val="000000"/>
          <w:lang w:eastAsia="en-GB"/>
        </w:rPr>
        <w:t>The Mission held 177 interviews (99 men, 76 women and 2 group interviews involving women and men), including 60 interviews with legal representatives of victims</w:t>
      </w:r>
      <w:r w:rsidR="00565AA5">
        <w:rPr>
          <w:rFonts w:ascii="Times New Roman" w:eastAsia="Times New Roman" w:hAnsi="Times New Roman" w:cs="Times New Roman"/>
          <w:b/>
          <w:color w:val="000000"/>
          <w:lang w:eastAsia="en-GB"/>
        </w:rPr>
        <w:t xml:space="preserve">. The interviews also included </w:t>
      </w:r>
      <w:r w:rsidRPr="00661E13">
        <w:rPr>
          <w:rFonts w:ascii="Times New Roman" w:eastAsia="Times New Roman" w:hAnsi="Times New Roman" w:cs="Times New Roman"/>
          <w:b/>
          <w:color w:val="000000"/>
          <w:lang w:eastAsia="en-GB"/>
        </w:rPr>
        <w:t xml:space="preserve">36 </w:t>
      </w:r>
      <w:r w:rsidR="00565AA5">
        <w:rPr>
          <w:rFonts w:ascii="Times New Roman" w:eastAsia="Times New Roman" w:hAnsi="Times New Roman" w:cs="Times New Roman"/>
          <w:b/>
          <w:color w:val="000000"/>
          <w:lang w:eastAsia="en-GB"/>
        </w:rPr>
        <w:t xml:space="preserve">“judicial insiders”, or </w:t>
      </w:r>
      <w:r w:rsidRPr="00661E13">
        <w:rPr>
          <w:rFonts w:ascii="Times New Roman" w:eastAsia="Times New Roman" w:hAnsi="Times New Roman" w:cs="Times New Roman"/>
          <w:b/>
          <w:color w:val="000000"/>
          <w:lang w:eastAsia="en-GB"/>
        </w:rPr>
        <w:t>former or current members of judicial institutions, including judges and prosecutors</w:t>
      </w:r>
      <w:r w:rsidRPr="007656CD">
        <w:rPr>
          <w:rFonts w:ascii="Times New Roman" w:eastAsia="Times New Roman" w:hAnsi="Times New Roman" w:cs="Times New Roman"/>
          <w:b/>
          <w:color w:val="000000"/>
          <w:lang w:eastAsia="en-GB"/>
        </w:rPr>
        <w:t xml:space="preserve">, </w:t>
      </w:r>
      <w:r w:rsidR="00565AA5">
        <w:rPr>
          <w:rFonts w:ascii="Times New Roman" w:eastAsia="Times New Roman" w:hAnsi="Times New Roman" w:cs="Times New Roman"/>
          <w:b/>
          <w:color w:val="000000"/>
          <w:lang w:eastAsia="en-GB"/>
        </w:rPr>
        <w:t xml:space="preserve">who were able to reveal information from within these structures during the </w:t>
      </w:r>
      <w:r w:rsidR="007656CD">
        <w:rPr>
          <w:rFonts w:ascii="Times New Roman" w:eastAsia="Times New Roman" w:hAnsi="Times New Roman" w:cs="Times New Roman"/>
          <w:b/>
          <w:color w:val="000000"/>
          <w:lang w:eastAsia="en-GB"/>
        </w:rPr>
        <w:t>Mission’s</w:t>
      </w:r>
      <w:r w:rsidR="00565AA5">
        <w:rPr>
          <w:rFonts w:ascii="Times New Roman" w:eastAsia="Times New Roman" w:hAnsi="Times New Roman" w:cs="Times New Roman"/>
          <w:b/>
          <w:color w:val="000000"/>
          <w:lang w:eastAsia="en-GB"/>
        </w:rPr>
        <w:t xml:space="preserve"> reporting mandate</w:t>
      </w:r>
      <w:r w:rsidR="007656CD">
        <w:rPr>
          <w:rFonts w:ascii="Times New Roman" w:eastAsia="Times New Roman" w:hAnsi="Times New Roman" w:cs="Times New Roman"/>
          <w:b/>
          <w:color w:val="000000"/>
          <w:lang w:eastAsia="en-GB"/>
        </w:rPr>
        <w:t>.</w:t>
      </w:r>
      <w:r w:rsidR="00565AA5">
        <w:rPr>
          <w:rFonts w:ascii="Times New Roman" w:eastAsia="Times New Roman" w:hAnsi="Times New Roman" w:cs="Times New Roman"/>
          <w:b/>
          <w:color w:val="000000"/>
          <w:lang w:eastAsia="en-GB"/>
        </w:rPr>
        <w:t xml:space="preserve"> </w:t>
      </w:r>
      <w:r w:rsidRPr="00661E13">
        <w:rPr>
          <w:rFonts w:ascii="Times New Roman" w:eastAsia="Times New Roman" w:hAnsi="Times New Roman" w:cs="Times New Roman"/>
          <w:color w:val="000000"/>
          <w:lang w:eastAsia="en-GB"/>
        </w:rPr>
        <w:t>In addition, the Mission posted a questionnaire on its website, w</w:t>
      </w:r>
      <w:r>
        <w:rPr>
          <w:rFonts w:ascii="Times New Roman" w:eastAsia="Times New Roman" w:hAnsi="Times New Roman" w:cs="Times New Roman"/>
          <w:color w:val="000000"/>
          <w:lang w:eastAsia="en-GB"/>
        </w:rPr>
        <w:t>hich was open to any verifiable</w:t>
      </w:r>
      <w:r w:rsidRPr="00661E13">
        <w:rPr>
          <w:rFonts w:ascii="Times New Roman" w:eastAsia="Times New Roman" w:hAnsi="Times New Roman" w:cs="Times New Roman"/>
          <w:color w:val="000000"/>
          <w:lang w:eastAsia="en-GB"/>
        </w:rPr>
        <w:t xml:space="preserve"> current or former judge, prosecutor and/or lawyer admitted to practice in Venezuela. It received 86 responses, which are reflected in the relevant substantive sectio</w:t>
      </w:r>
      <w:r w:rsidR="00490BCB">
        <w:rPr>
          <w:rFonts w:ascii="Times New Roman" w:eastAsia="Times New Roman" w:hAnsi="Times New Roman" w:cs="Times New Roman"/>
          <w:color w:val="000000"/>
          <w:lang w:eastAsia="en-GB"/>
        </w:rPr>
        <w:t>ns below (42 men, 36 women and eight</w:t>
      </w:r>
      <w:r w:rsidRPr="00661E13">
        <w:rPr>
          <w:rFonts w:ascii="Times New Roman" w:eastAsia="Times New Roman" w:hAnsi="Times New Roman" w:cs="Times New Roman"/>
          <w:color w:val="000000"/>
          <w:lang w:eastAsia="en-GB"/>
        </w:rPr>
        <w:t xml:space="preserve"> not identified).  Of these, 12 were former </w:t>
      </w:r>
      <w:r w:rsidR="00490BCB">
        <w:rPr>
          <w:rFonts w:ascii="Times New Roman" w:eastAsia="Times New Roman" w:hAnsi="Times New Roman" w:cs="Times New Roman"/>
          <w:color w:val="000000"/>
          <w:lang w:eastAsia="en-GB"/>
        </w:rPr>
        <w:t>judges, 15 former prosecutors, four</w:t>
      </w:r>
      <w:r w:rsidRPr="00661E13">
        <w:rPr>
          <w:rFonts w:ascii="Times New Roman" w:eastAsia="Times New Roman" w:hAnsi="Times New Roman" w:cs="Times New Roman"/>
          <w:color w:val="000000"/>
          <w:lang w:eastAsia="en-GB"/>
        </w:rPr>
        <w:t xml:space="preserve"> former public defenders and 55 former or current defence lawyers. The Mission held in-depth interviews with 14 individuals that responded to the questionnaire and accepted</w:t>
      </w:r>
      <w:r w:rsidR="008D5D3C">
        <w:rPr>
          <w:rFonts w:ascii="Times New Roman" w:eastAsia="Times New Roman" w:hAnsi="Times New Roman" w:cs="Times New Roman"/>
          <w:color w:val="000000"/>
          <w:lang w:eastAsia="en-GB"/>
        </w:rPr>
        <w:t xml:space="preserve"> to be contacted by the Mission </w:t>
      </w:r>
      <w:r w:rsidR="002125B4">
        <w:rPr>
          <w:rFonts w:ascii="Times New Roman" w:eastAsia="Times New Roman" w:hAnsi="Times New Roman" w:cs="Times New Roman"/>
          <w:color w:val="000000"/>
          <w:lang w:eastAsia="en-GB"/>
        </w:rPr>
        <w:t>(</w:t>
      </w:r>
      <w:r w:rsidR="00FE3B9D">
        <w:rPr>
          <w:rFonts w:ascii="Times New Roman" w:eastAsia="Times New Roman" w:hAnsi="Times New Roman" w:cs="Times New Roman"/>
          <w:color w:val="000000"/>
          <w:lang w:eastAsia="en-GB"/>
        </w:rPr>
        <w:t>A/HRC/48/CRP.5</w:t>
      </w:r>
      <w:r w:rsidR="002125B4">
        <w:rPr>
          <w:rFonts w:ascii="Times New Roman" w:eastAsia="Times New Roman" w:hAnsi="Times New Roman" w:cs="Times New Roman"/>
          <w:color w:val="000000"/>
          <w:lang w:eastAsia="en-GB"/>
        </w:rPr>
        <w:t>, para. 13)</w:t>
      </w:r>
      <w:r w:rsidR="008D5D3C">
        <w:rPr>
          <w:rFonts w:ascii="Times New Roman" w:eastAsia="Times New Roman" w:hAnsi="Times New Roman" w:cs="Times New Roman"/>
          <w:color w:val="000000"/>
          <w:lang w:eastAsia="en-GB"/>
        </w:rPr>
        <w:t>.</w:t>
      </w:r>
    </w:p>
    <w:p w14:paraId="2B3A9C67" w14:textId="77777777" w:rsidR="00BF2337" w:rsidRPr="00505CB9" w:rsidRDefault="00BF2337" w:rsidP="00BF2337">
      <w:pPr>
        <w:pStyle w:val="ListParagraph"/>
        <w:spacing w:after="0" w:line="240" w:lineRule="auto"/>
        <w:ind w:left="0"/>
        <w:rPr>
          <w:rFonts w:ascii="Times New Roman" w:eastAsia="Times New Roman" w:hAnsi="Times New Roman" w:cs="Times New Roman"/>
          <w:color w:val="000000"/>
          <w:highlight w:val="green"/>
          <w:lang w:eastAsia="en-GB"/>
        </w:rPr>
      </w:pPr>
    </w:p>
    <w:p w14:paraId="59451983" w14:textId="3C05B6FE" w:rsidR="00ED3EBD" w:rsidRPr="00505CB9" w:rsidRDefault="00B9493F" w:rsidP="0006064E">
      <w:pPr>
        <w:pStyle w:val="ListParagraph"/>
        <w:numPr>
          <w:ilvl w:val="0"/>
          <w:numId w:val="3"/>
        </w:numPr>
        <w:spacing w:after="0" w:line="240" w:lineRule="auto"/>
        <w:rPr>
          <w:rFonts w:ascii="Times New Roman" w:hAnsi="Times New Roman" w:cs="Times New Roman"/>
        </w:rPr>
      </w:pPr>
      <w:r w:rsidRPr="00505CB9">
        <w:rPr>
          <w:rFonts w:ascii="Times New Roman" w:hAnsi="Times New Roman" w:cs="Times New Roman"/>
          <w:b/>
        </w:rPr>
        <w:t>T</w:t>
      </w:r>
      <w:r w:rsidR="00BF2337" w:rsidRPr="00505CB9">
        <w:rPr>
          <w:rFonts w:ascii="Times New Roman" w:hAnsi="Times New Roman" w:cs="Times New Roman"/>
          <w:b/>
        </w:rPr>
        <w:t xml:space="preserve">wo years into </w:t>
      </w:r>
      <w:r w:rsidRPr="00505CB9">
        <w:rPr>
          <w:rFonts w:ascii="Times New Roman" w:hAnsi="Times New Roman" w:cs="Times New Roman"/>
          <w:b/>
        </w:rPr>
        <w:t>the Mission’s</w:t>
      </w:r>
      <w:r w:rsidR="00BF2337" w:rsidRPr="00505CB9">
        <w:rPr>
          <w:rFonts w:ascii="Times New Roman" w:hAnsi="Times New Roman" w:cs="Times New Roman"/>
          <w:b/>
        </w:rPr>
        <w:t xml:space="preserve"> mandate, </w:t>
      </w:r>
      <w:r w:rsidR="00680E31" w:rsidRPr="00505CB9">
        <w:rPr>
          <w:rFonts w:ascii="Times New Roman" w:hAnsi="Times New Roman" w:cs="Times New Roman"/>
          <w:b/>
        </w:rPr>
        <w:t xml:space="preserve">the </w:t>
      </w:r>
      <w:r w:rsidR="00BF2337" w:rsidRPr="00505CB9">
        <w:rPr>
          <w:rFonts w:ascii="Times New Roman" w:hAnsi="Times New Roman" w:cs="Times New Roman"/>
          <w:b/>
        </w:rPr>
        <w:t>Venezuela</w:t>
      </w:r>
      <w:r w:rsidR="00B074D7" w:rsidRPr="00505CB9">
        <w:rPr>
          <w:rFonts w:ascii="Times New Roman" w:hAnsi="Times New Roman" w:cs="Times New Roman"/>
          <w:b/>
        </w:rPr>
        <w:t>n government</w:t>
      </w:r>
      <w:r w:rsidR="00BF2337" w:rsidRPr="00505CB9">
        <w:rPr>
          <w:rFonts w:ascii="Times New Roman" w:hAnsi="Times New Roman" w:cs="Times New Roman"/>
          <w:b/>
        </w:rPr>
        <w:t xml:space="preserve"> still has not permitted its members to visit Venezuela in order to undertake in-country fact-finding</w:t>
      </w:r>
      <w:r w:rsidR="00BF2337" w:rsidRPr="00505CB9">
        <w:rPr>
          <w:rFonts w:ascii="Times New Roman" w:hAnsi="Times New Roman" w:cs="Times New Roman"/>
        </w:rPr>
        <w:t xml:space="preserve">. The government has </w:t>
      </w:r>
      <w:r w:rsidR="000A02F1" w:rsidRPr="00505CB9">
        <w:rPr>
          <w:rFonts w:ascii="Times New Roman" w:hAnsi="Times New Roman" w:cs="Times New Roman"/>
        </w:rPr>
        <w:t xml:space="preserve">also </w:t>
      </w:r>
      <w:r w:rsidR="00BF2337" w:rsidRPr="00505CB9">
        <w:rPr>
          <w:rFonts w:ascii="Times New Roman" w:hAnsi="Times New Roman" w:cs="Times New Roman"/>
        </w:rPr>
        <w:t xml:space="preserve">not responded to </w:t>
      </w:r>
      <w:r w:rsidR="00826BC9" w:rsidRPr="00505CB9">
        <w:rPr>
          <w:rFonts w:ascii="Times New Roman" w:hAnsi="Times New Roman" w:cs="Times New Roman"/>
        </w:rPr>
        <w:t>any of the 17</w:t>
      </w:r>
      <w:r w:rsidR="00BF2337" w:rsidRPr="00505CB9">
        <w:rPr>
          <w:rFonts w:ascii="Times New Roman" w:hAnsi="Times New Roman" w:cs="Times New Roman"/>
        </w:rPr>
        <w:t xml:space="preserve"> letters sent by the Mission between September 2020 and September 2021.</w:t>
      </w:r>
      <w:r w:rsidR="0006064E">
        <w:rPr>
          <w:rFonts w:ascii="Times New Roman" w:hAnsi="Times New Roman" w:cs="Times New Roman"/>
        </w:rPr>
        <w:t xml:space="preserve"> </w:t>
      </w:r>
      <w:r w:rsidR="0006064E" w:rsidRPr="0006064E">
        <w:rPr>
          <w:rFonts w:ascii="Times New Roman" w:hAnsi="Times New Roman" w:cs="Times New Roman"/>
        </w:rPr>
        <w:t>In the letters, the Mission reaffirmed its willingness to cooperate with the authorities of the government of Venezuela and to initiate a dialogue on the issues r</w:t>
      </w:r>
      <w:r w:rsidR="008D5D3C">
        <w:rPr>
          <w:rFonts w:ascii="Times New Roman" w:hAnsi="Times New Roman" w:cs="Times New Roman"/>
        </w:rPr>
        <w:t>elated to the Mission’s mandate</w:t>
      </w:r>
      <w:r w:rsidR="002125B4">
        <w:rPr>
          <w:rFonts w:ascii="Times New Roman" w:hAnsi="Times New Roman" w:cs="Times New Roman"/>
        </w:rPr>
        <w:t xml:space="preserve"> (</w:t>
      </w:r>
      <w:r w:rsidR="00FE3B9D">
        <w:rPr>
          <w:rFonts w:ascii="Times New Roman" w:eastAsia="Times New Roman" w:hAnsi="Times New Roman" w:cs="Times New Roman"/>
          <w:color w:val="000000"/>
          <w:lang w:eastAsia="en-GB"/>
        </w:rPr>
        <w:t>A/HRC/48/CRP.5</w:t>
      </w:r>
      <w:r w:rsidR="002125B4">
        <w:rPr>
          <w:rFonts w:ascii="Times New Roman" w:eastAsia="Times New Roman" w:hAnsi="Times New Roman" w:cs="Times New Roman"/>
          <w:color w:val="000000"/>
          <w:lang w:eastAsia="en-GB"/>
        </w:rPr>
        <w:t>, paras. 16-17)</w:t>
      </w:r>
      <w:r w:rsidR="008D5D3C">
        <w:rPr>
          <w:rFonts w:ascii="Times New Roman" w:eastAsia="Times New Roman" w:hAnsi="Times New Roman" w:cs="Times New Roman"/>
          <w:color w:val="000000"/>
          <w:lang w:eastAsia="en-GB"/>
        </w:rPr>
        <w:t>.</w:t>
      </w:r>
      <w:r w:rsidR="00ED3EBD" w:rsidRPr="00505CB9">
        <w:rPr>
          <w:rFonts w:ascii="Times New Roman" w:hAnsi="Times New Roman" w:cs="Times New Roman"/>
        </w:rPr>
        <w:br/>
      </w:r>
    </w:p>
    <w:p w14:paraId="3DC5F51E" w14:textId="5F3F4550" w:rsidR="00B8328B" w:rsidRPr="00505CB9" w:rsidRDefault="00E70AAB" w:rsidP="00862D56">
      <w:pPr>
        <w:pStyle w:val="ListParagraph"/>
        <w:numPr>
          <w:ilvl w:val="0"/>
          <w:numId w:val="3"/>
        </w:numPr>
        <w:rPr>
          <w:rFonts w:ascii="Times New Roman" w:hAnsi="Times New Roman" w:cs="Times New Roman"/>
          <w:lang w:val="en-US"/>
        </w:rPr>
      </w:pPr>
      <w:r w:rsidRPr="00505CB9">
        <w:rPr>
          <w:rFonts w:ascii="Times New Roman" w:hAnsi="Times New Roman" w:cs="Times New Roman"/>
          <w:b/>
        </w:rPr>
        <w:t>The liquidity crisis affecting the Office of the High Commissioner for Human Rights significantly delayed the hiring of the Mission’s support team</w:t>
      </w:r>
      <w:r w:rsidRPr="00505CB9">
        <w:rPr>
          <w:rFonts w:ascii="Times New Roman" w:hAnsi="Times New Roman" w:cs="Times New Roman"/>
        </w:rPr>
        <w:t>, which has not been fully operational since September 2020</w:t>
      </w:r>
      <w:r w:rsidR="00187076">
        <w:rPr>
          <w:rFonts w:ascii="Times New Roman" w:hAnsi="Times New Roman" w:cs="Times New Roman"/>
        </w:rPr>
        <w:t xml:space="preserve"> and had to operate on less than a third of its capacity for most of the period since then</w:t>
      </w:r>
      <w:r w:rsidRPr="00505CB9">
        <w:rPr>
          <w:rFonts w:ascii="Times New Roman" w:hAnsi="Times New Roman" w:cs="Times New Roman"/>
        </w:rPr>
        <w:t>.</w:t>
      </w:r>
      <w:r w:rsidR="00A67E4C">
        <w:rPr>
          <w:rFonts w:ascii="Times New Roman" w:hAnsi="Times New Roman" w:cs="Times New Roman"/>
        </w:rPr>
        <w:t xml:space="preserve"> As such, the Mission chose to </w:t>
      </w:r>
      <w:r w:rsidR="00EB1FA5">
        <w:rPr>
          <w:rFonts w:ascii="Times New Roman" w:hAnsi="Times New Roman" w:cs="Times New Roman"/>
        </w:rPr>
        <w:t>conc</w:t>
      </w:r>
      <w:r w:rsidR="00A67E4C">
        <w:rPr>
          <w:rFonts w:ascii="Times New Roman" w:hAnsi="Times New Roman" w:cs="Times New Roman"/>
        </w:rPr>
        <w:t xml:space="preserve">entrate its efforts on the judicial system, as a central component and contributor to the human rights crisis in Venezuela. Although these resource constraints meant it was not able to conduct wider investigations into other violations at this stage, this does not mean they have ceased. The </w:t>
      </w:r>
      <w:r w:rsidR="00A67E4C">
        <w:rPr>
          <w:rFonts w:ascii="Times New Roman" w:hAnsi="Times New Roman" w:cs="Times New Roman"/>
        </w:rPr>
        <w:lastRenderedPageBreak/>
        <w:t>Mission will report upon extrajudicial executions, arbitrary arrests and detentions, enforced disappearances, and torture and other cruel, inhuman or degrading treatment, including sexual and gender based violence</w:t>
      </w:r>
      <w:r w:rsidR="003E7430">
        <w:rPr>
          <w:rFonts w:ascii="Times New Roman" w:hAnsi="Times New Roman" w:cs="Times New Roman"/>
        </w:rPr>
        <w:t>,</w:t>
      </w:r>
      <w:r w:rsidR="00A67E4C">
        <w:rPr>
          <w:rFonts w:ascii="Times New Roman" w:hAnsi="Times New Roman" w:cs="Times New Roman"/>
        </w:rPr>
        <w:t xml:space="preserve"> at future </w:t>
      </w:r>
      <w:r w:rsidR="008D5D3C">
        <w:rPr>
          <w:rFonts w:ascii="Times New Roman" w:hAnsi="Times New Roman" w:cs="Times New Roman"/>
        </w:rPr>
        <w:t xml:space="preserve">HRC sessions </w:t>
      </w:r>
      <w:r w:rsidR="002125B4">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2125B4">
        <w:rPr>
          <w:rFonts w:ascii="Times New Roman" w:eastAsia="Times New Roman" w:hAnsi="Times New Roman" w:cs="Times New Roman"/>
          <w:color w:val="000000"/>
          <w:lang w:eastAsia="en-GB"/>
        </w:rPr>
        <w:t xml:space="preserve">, </w:t>
      </w:r>
      <w:r w:rsidR="002125B4">
        <w:rPr>
          <w:rFonts w:ascii="Times New Roman" w:hAnsi="Times New Roman" w:cs="Times New Roman"/>
        </w:rPr>
        <w:t xml:space="preserve">para. </w:t>
      </w:r>
      <w:r w:rsidR="00AA47D7">
        <w:rPr>
          <w:rFonts w:ascii="Times New Roman" w:hAnsi="Times New Roman" w:cs="Times New Roman"/>
        </w:rPr>
        <w:t>21</w:t>
      </w:r>
      <w:r w:rsidR="002125B4">
        <w:rPr>
          <w:rFonts w:ascii="Times New Roman" w:hAnsi="Times New Roman" w:cs="Times New Roman"/>
        </w:rPr>
        <w:t>)</w:t>
      </w:r>
      <w:r w:rsidR="008D5D3C">
        <w:rPr>
          <w:rFonts w:ascii="Times New Roman" w:hAnsi="Times New Roman" w:cs="Times New Roman"/>
        </w:rPr>
        <w:t>.</w:t>
      </w:r>
    </w:p>
    <w:p w14:paraId="10D8CD00" w14:textId="3B8290CB" w:rsidR="003A4758" w:rsidRPr="003E7430" w:rsidRDefault="00F215F8" w:rsidP="003E7430">
      <w:pPr>
        <w:ind w:left="360"/>
        <w:rPr>
          <w:rFonts w:ascii="Times New Roman" w:hAnsi="Times New Roman" w:cs="Times New Roman"/>
          <w:lang w:val="en-US"/>
        </w:rPr>
      </w:pPr>
      <w:r w:rsidRPr="00505CB9">
        <w:rPr>
          <w:rFonts w:ascii="Times New Roman" w:hAnsi="Times New Roman" w:cs="Times New Roman"/>
          <w:b/>
          <w:i/>
          <w:u w:val="single"/>
          <w:lang w:val="en-US"/>
        </w:rPr>
        <w:t>Accountability/</w:t>
      </w:r>
      <w:r w:rsidR="00594ECE" w:rsidRPr="00505CB9">
        <w:rPr>
          <w:rFonts w:ascii="Times New Roman" w:hAnsi="Times New Roman" w:cs="Times New Roman"/>
          <w:b/>
          <w:i/>
          <w:u w:val="single"/>
          <w:lang w:val="en-US"/>
        </w:rPr>
        <w:t>i</w:t>
      </w:r>
      <w:r w:rsidR="003A4758" w:rsidRPr="00505CB9">
        <w:rPr>
          <w:rFonts w:ascii="Times New Roman" w:hAnsi="Times New Roman" w:cs="Times New Roman"/>
          <w:b/>
          <w:i/>
          <w:u w:val="single"/>
          <w:lang w:val="en-US"/>
        </w:rPr>
        <w:t>mpunity</w:t>
      </w:r>
    </w:p>
    <w:p w14:paraId="0FD43F7E" w14:textId="34D93CC6" w:rsidR="003A4758" w:rsidRPr="00505CB9" w:rsidRDefault="003A4758" w:rsidP="0031022A">
      <w:pPr>
        <w:pStyle w:val="ListParagraph"/>
        <w:numPr>
          <w:ilvl w:val="0"/>
          <w:numId w:val="3"/>
        </w:numPr>
        <w:rPr>
          <w:rFonts w:ascii="Times New Roman" w:hAnsi="Times New Roman" w:cs="Times New Roman"/>
          <w:lang w:val="en-US"/>
        </w:rPr>
      </w:pPr>
      <w:r w:rsidRPr="00505CB9">
        <w:rPr>
          <w:rFonts w:ascii="Times New Roman" w:hAnsi="Times New Roman" w:cs="Times New Roman"/>
        </w:rPr>
        <w:t xml:space="preserve">Of the 86 judges, prosecutors and defence lawyers who responded to the Mission’s questionnaire, </w:t>
      </w:r>
      <w:r w:rsidRPr="00505CB9">
        <w:rPr>
          <w:rFonts w:ascii="Times New Roman" w:hAnsi="Times New Roman" w:cs="Times New Roman"/>
          <w:b/>
        </w:rPr>
        <w:t>98.2 per cent said that in their experience, political cases were not investigated and/or prosecuted in accordance with the law</w:t>
      </w:r>
      <w:r w:rsidR="008D5D3C">
        <w:rPr>
          <w:rFonts w:ascii="Times New Roman" w:hAnsi="Times New Roman" w:cs="Times New Roman"/>
        </w:rPr>
        <w:t xml:space="preserve"> </w:t>
      </w:r>
      <w:r w:rsidR="002125B4">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2125B4">
        <w:rPr>
          <w:rFonts w:ascii="Times New Roman" w:eastAsia="Times New Roman" w:hAnsi="Times New Roman" w:cs="Times New Roman"/>
          <w:color w:val="000000"/>
          <w:lang w:eastAsia="en-GB"/>
        </w:rPr>
        <w:t xml:space="preserve">, </w:t>
      </w:r>
      <w:r w:rsidR="00AA47D7">
        <w:rPr>
          <w:rFonts w:ascii="Times New Roman" w:hAnsi="Times New Roman" w:cs="Times New Roman"/>
        </w:rPr>
        <w:t>footnote 891</w:t>
      </w:r>
      <w:r w:rsidR="002125B4">
        <w:rPr>
          <w:rFonts w:ascii="Times New Roman" w:hAnsi="Times New Roman" w:cs="Times New Roman"/>
        </w:rPr>
        <w:t>)</w:t>
      </w:r>
      <w:r w:rsidR="008D5D3C">
        <w:rPr>
          <w:rFonts w:ascii="Times New Roman" w:hAnsi="Times New Roman" w:cs="Times New Roman"/>
        </w:rPr>
        <w:t>.</w:t>
      </w:r>
      <w:r w:rsidR="00251E81" w:rsidRPr="00505CB9">
        <w:rPr>
          <w:rFonts w:ascii="Times New Roman" w:hAnsi="Times New Roman" w:cs="Times New Roman"/>
        </w:rPr>
        <w:br/>
      </w:r>
    </w:p>
    <w:p w14:paraId="606596B4" w14:textId="700EB84E" w:rsidR="00251E81" w:rsidRPr="00505CB9" w:rsidRDefault="00251E81" w:rsidP="00701306">
      <w:pPr>
        <w:pStyle w:val="ListParagraph"/>
        <w:numPr>
          <w:ilvl w:val="0"/>
          <w:numId w:val="1"/>
        </w:numPr>
        <w:rPr>
          <w:rFonts w:ascii="Times New Roman" w:hAnsi="Times New Roman" w:cs="Times New Roman"/>
          <w:lang w:val="en-US"/>
        </w:rPr>
      </w:pPr>
      <w:r w:rsidRPr="00505CB9">
        <w:rPr>
          <w:rFonts w:ascii="Times New Roman" w:hAnsi="Times New Roman" w:cs="Times New Roman"/>
        </w:rPr>
        <w:t xml:space="preserve">Since Tarek William Saab’s appointment as </w:t>
      </w:r>
      <w:r w:rsidR="009E4C55" w:rsidRPr="00505CB9">
        <w:rPr>
          <w:rFonts w:ascii="Times New Roman" w:hAnsi="Times New Roman" w:cs="Times New Roman"/>
        </w:rPr>
        <w:t>Chief Prosecutor</w:t>
      </w:r>
      <w:r w:rsidRPr="00505CB9">
        <w:rPr>
          <w:rFonts w:ascii="Times New Roman" w:hAnsi="Times New Roman" w:cs="Times New Roman"/>
        </w:rPr>
        <w:t xml:space="preserve"> in 2017,</w:t>
      </w:r>
      <w:r w:rsidRPr="00505CB9">
        <w:rPr>
          <w:rFonts w:ascii="Times New Roman" w:hAnsi="Times New Roman" w:cs="Times New Roman"/>
          <w:b/>
        </w:rPr>
        <w:t xml:space="preserve"> the Public Prosecutor’s Office has failed to issue any written annual public reports or present them to the National Constituent Assembly</w:t>
      </w:r>
      <w:r w:rsidR="00DC1FC1" w:rsidRPr="00505CB9">
        <w:rPr>
          <w:rFonts w:ascii="Times New Roman" w:hAnsi="Times New Roman" w:cs="Times New Roman"/>
          <w:b/>
        </w:rPr>
        <w:t xml:space="preserve"> or National Assembly</w:t>
      </w:r>
      <w:r w:rsidRPr="00505CB9">
        <w:rPr>
          <w:rFonts w:ascii="Times New Roman" w:hAnsi="Times New Roman" w:cs="Times New Roman"/>
        </w:rPr>
        <w:t xml:space="preserve">, favouring instead the sporadic delivery of information via press </w:t>
      </w:r>
      <w:r w:rsidR="008D5D3C">
        <w:rPr>
          <w:rFonts w:ascii="Times New Roman" w:hAnsi="Times New Roman" w:cs="Times New Roman"/>
        </w:rPr>
        <w:t xml:space="preserve">conferences and on social media </w:t>
      </w:r>
      <w:r w:rsidR="00731AEA">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E47955">
        <w:rPr>
          <w:rFonts w:ascii="Times New Roman" w:eastAsia="Times New Roman" w:hAnsi="Times New Roman" w:cs="Times New Roman"/>
          <w:color w:val="000000"/>
          <w:lang w:eastAsia="en-GB"/>
        </w:rPr>
        <w:t>, paras. 384-385</w:t>
      </w:r>
      <w:r w:rsidR="00731AEA">
        <w:rPr>
          <w:rFonts w:ascii="Times New Roman" w:eastAsia="Times New Roman" w:hAnsi="Times New Roman" w:cs="Times New Roman"/>
          <w:color w:val="000000"/>
          <w:lang w:eastAsia="en-GB"/>
        </w:rPr>
        <w:t>)</w:t>
      </w:r>
      <w:r w:rsidR="008D5D3C">
        <w:rPr>
          <w:rFonts w:ascii="Times New Roman" w:eastAsia="Times New Roman" w:hAnsi="Times New Roman" w:cs="Times New Roman"/>
          <w:color w:val="000000"/>
          <w:lang w:eastAsia="en-GB"/>
        </w:rPr>
        <w:t>.</w:t>
      </w:r>
    </w:p>
    <w:p w14:paraId="7B6E7575" w14:textId="77777777" w:rsidR="00251E81" w:rsidRPr="00505CB9" w:rsidRDefault="00251E81" w:rsidP="00251E81">
      <w:pPr>
        <w:pStyle w:val="ListParagraph"/>
        <w:rPr>
          <w:rFonts w:ascii="Times New Roman" w:hAnsi="Times New Roman" w:cs="Times New Roman"/>
          <w:lang w:val="en-US"/>
        </w:rPr>
      </w:pPr>
    </w:p>
    <w:p w14:paraId="24554348" w14:textId="1F9233D2" w:rsidR="00701306" w:rsidRPr="00133810" w:rsidRDefault="00701306" w:rsidP="00133810">
      <w:pPr>
        <w:pStyle w:val="ListParagraph"/>
        <w:numPr>
          <w:ilvl w:val="0"/>
          <w:numId w:val="1"/>
        </w:numPr>
        <w:rPr>
          <w:rFonts w:ascii="Times New Roman" w:hAnsi="Times New Roman" w:cs="Times New Roman"/>
          <w:lang w:val="en-US"/>
        </w:rPr>
      </w:pPr>
      <w:r w:rsidRPr="00505CB9">
        <w:rPr>
          <w:rFonts w:ascii="Times New Roman" w:hAnsi="Times New Roman" w:cs="Times New Roman"/>
          <w:iCs/>
          <w:lang w:val="en-US"/>
        </w:rPr>
        <w:t>T</w:t>
      </w:r>
      <w:r w:rsidRPr="00505CB9">
        <w:rPr>
          <w:rFonts w:ascii="Times New Roman" w:hAnsi="Times New Roman" w:cs="Times New Roman"/>
        </w:rPr>
        <w:t xml:space="preserve">he </w:t>
      </w:r>
      <w:hyperlink r:id="rId8" w:history="1">
        <w:r w:rsidRPr="003F451E">
          <w:rPr>
            <w:rStyle w:val="Hyperlink"/>
            <w:rFonts w:ascii="Times New Roman" w:hAnsi="Times New Roman" w:cs="Times New Roman"/>
          </w:rPr>
          <w:t>2020 report of the High Commissioner for Human Rights</w:t>
        </w:r>
      </w:hyperlink>
      <w:r w:rsidRPr="00505CB9">
        <w:rPr>
          <w:rFonts w:ascii="Times New Roman" w:hAnsi="Times New Roman" w:cs="Times New Roman"/>
        </w:rPr>
        <w:t xml:space="preserve"> cited information from the Government of Venezuela that by May 2020, the Public Prosecutor’s Office had carried out 361 investigations into cases of torture and 9,951 investigations into cases of ill-treatment. According to the information provided in the report, this resulted in 517 State agents charged, 401 indicted, 167 deprived of their liberty and 26 convicted for torture and ill-treatment. </w:t>
      </w:r>
      <w:r w:rsidR="00A677B6" w:rsidRPr="00505CB9">
        <w:rPr>
          <w:rFonts w:ascii="Times New Roman" w:hAnsi="Times New Roman" w:cs="Times New Roman"/>
        </w:rPr>
        <w:t>According</w:t>
      </w:r>
      <w:r w:rsidRPr="00505CB9">
        <w:rPr>
          <w:rFonts w:ascii="Times New Roman" w:hAnsi="Times New Roman" w:cs="Times New Roman"/>
        </w:rPr>
        <w:t xml:space="preserve"> to this set of numbers, </w:t>
      </w:r>
      <w:r w:rsidRPr="00505CB9">
        <w:rPr>
          <w:rFonts w:ascii="Times New Roman" w:hAnsi="Times New Roman" w:cs="Times New Roman"/>
          <w:b/>
        </w:rPr>
        <w:t>the conviction rate of public officials investigated for allegation of torture and ill-treatment was 0.2</w:t>
      </w:r>
      <w:r w:rsidR="00756E52" w:rsidRPr="00505CB9">
        <w:rPr>
          <w:rFonts w:ascii="Times New Roman" w:hAnsi="Times New Roman" w:cs="Times New Roman"/>
          <w:b/>
        </w:rPr>
        <w:t xml:space="preserve"> per cent</w:t>
      </w:r>
      <w:r w:rsidR="004B77B9">
        <w:rPr>
          <w:rFonts w:ascii="Times New Roman" w:hAnsi="Times New Roman" w:cs="Times New Roman"/>
        </w:rPr>
        <w:t xml:space="preserve"> (</w:t>
      </w:r>
      <w:r w:rsidR="00FE3B9D">
        <w:rPr>
          <w:rFonts w:ascii="Times New Roman" w:eastAsia="Times New Roman" w:hAnsi="Times New Roman" w:cs="Times New Roman"/>
          <w:color w:val="000000"/>
          <w:lang w:eastAsia="en-GB"/>
        </w:rPr>
        <w:t>A/HRC/48/CRP.5</w:t>
      </w:r>
      <w:r w:rsidR="00A1021F">
        <w:rPr>
          <w:rFonts w:ascii="Times New Roman" w:eastAsia="Times New Roman" w:hAnsi="Times New Roman" w:cs="Times New Roman"/>
          <w:color w:val="000000"/>
          <w:lang w:eastAsia="en-GB"/>
        </w:rPr>
        <w:t>, para. 45</w:t>
      </w:r>
      <w:r w:rsidR="00E47955">
        <w:rPr>
          <w:rFonts w:ascii="Times New Roman" w:eastAsia="Times New Roman" w:hAnsi="Times New Roman" w:cs="Times New Roman"/>
          <w:color w:val="000000"/>
          <w:lang w:eastAsia="en-GB"/>
        </w:rPr>
        <w:t>6</w:t>
      </w:r>
      <w:r w:rsidR="004B77B9">
        <w:rPr>
          <w:rFonts w:ascii="Times New Roman" w:eastAsia="Times New Roman" w:hAnsi="Times New Roman" w:cs="Times New Roman"/>
          <w:color w:val="000000"/>
          <w:lang w:eastAsia="en-GB"/>
        </w:rPr>
        <w:t>)</w:t>
      </w:r>
      <w:r w:rsidR="008D5D3C">
        <w:rPr>
          <w:rFonts w:ascii="Times New Roman" w:eastAsia="Times New Roman" w:hAnsi="Times New Roman" w:cs="Times New Roman"/>
          <w:color w:val="000000"/>
          <w:lang w:eastAsia="en-GB"/>
        </w:rPr>
        <w:t>.</w:t>
      </w:r>
    </w:p>
    <w:p w14:paraId="488AED44" w14:textId="29BCFAB2" w:rsidR="003A4758" w:rsidRPr="00505CB9" w:rsidRDefault="007F4369" w:rsidP="00794219">
      <w:pPr>
        <w:rPr>
          <w:rFonts w:ascii="Times New Roman" w:hAnsi="Times New Roman" w:cs="Times New Roman"/>
          <w:b/>
          <w:i/>
          <w:u w:val="single"/>
          <w:lang w:val="en-US"/>
        </w:rPr>
      </w:pPr>
      <w:r>
        <w:rPr>
          <w:rFonts w:ascii="Times New Roman" w:hAnsi="Times New Roman" w:cs="Times New Roman"/>
          <w:b/>
          <w:i/>
          <w:u w:val="single"/>
          <w:lang w:val="en-US"/>
        </w:rPr>
        <w:t>Procedural irregularities</w:t>
      </w:r>
    </w:p>
    <w:p w14:paraId="450EF607" w14:textId="58602146" w:rsidR="00476A67" w:rsidRPr="00505CB9" w:rsidRDefault="00476A67" w:rsidP="00476A67">
      <w:pPr>
        <w:pStyle w:val="ListParagraph"/>
        <w:numPr>
          <w:ilvl w:val="0"/>
          <w:numId w:val="4"/>
        </w:numPr>
        <w:rPr>
          <w:rFonts w:ascii="Times New Roman" w:hAnsi="Times New Roman" w:cs="Times New Roman"/>
          <w:b/>
          <w:lang w:val="en-US"/>
        </w:rPr>
      </w:pPr>
      <w:r w:rsidRPr="00505CB9">
        <w:rPr>
          <w:rFonts w:ascii="Times New Roman" w:hAnsi="Times New Roman" w:cs="Times New Roman"/>
          <w:b/>
        </w:rPr>
        <w:t xml:space="preserve">In 113 of the 183 cases of detentions </w:t>
      </w:r>
      <w:r w:rsidR="00546648" w:rsidRPr="00505CB9">
        <w:rPr>
          <w:rFonts w:ascii="Times New Roman" w:hAnsi="Times New Roman" w:cs="Times New Roman"/>
          <w:b/>
        </w:rPr>
        <w:t>analysed</w:t>
      </w:r>
      <w:r w:rsidRPr="00505CB9">
        <w:rPr>
          <w:rFonts w:ascii="Times New Roman" w:hAnsi="Times New Roman" w:cs="Times New Roman"/>
          <w:b/>
        </w:rPr>
        <w:t xml:space="preserve"> by the Mission, detainees or their representatives have made allegations of torture, sexual violence and/or other cruel, inhuman or degrading treatment</w:t>
      </w:r>
      <w:r w:rsidRPr="00505CB9">
        <w:rPr>
          <w:rFonts w:ascii="Times New Roman" w:hAnsi="Times New Roman" w:cs="Times New Roman"/>
        </w:rPr>
        <w:t>. In 67 of these, the detainees appeared in court with clear marks of mistreatment or raised allegations of torture, sexual violence and/or other cruel, inhuman or degrading treatment during court proceedings</w:t>
      </w:r>
      <w:r w:rsidR="00852023">
        <w:rPr>
          <w:rFonts w:ascii="Times New Roman" w:hAnsi="Times New Roman" w:cs="Times New Roman"/>
        </w:rPr>
        <w:t xml:space="preserve"> (</w:t>
      </w:r>
      <w:r w:rsidR="00852023">
        <w:rPr>
          <w:rFonts w:ascii="Times New Roman" w:eastAsia="Times New Roman" w:hAnsi="Times New Roman" w:cs="Times New Roman"/>
          <w:color w:val="000000"/>
          <w:lang w:eastAsia="en-GB"/>
        </w:rPr>
        <w:t xml:space="preserve">A/HRC/48/CRP.5, para. </w:t>
      </w:r>
      <w:r w:rsidR="00A77C7E">
        <w:rPr>
          <w:rFonts w:ascii="Times New Roman" w:eastAsia="Times New Roman" w:hAnsi="Times New Roman" w:cs="Times New Roman"/>
          <w:color w:val="000000"/>
          <w:lang w:eastAsia="en-GB"/>
        </w:rPr>
        <w:t>257</w:t>
      </w:r>
      <w:r w:rsidR="00852023">
        <w:rPr>
          <w:rFonts w:ascii="Times New Roman" w:eastAsia="Times New Roman" w:hAnsi="Times New Roman" w:cs="Times New Roman"/>
          <w:color w:val="000000"/>
          <w:lang w:eastAsia="en-GB"/>
        </w:rPr>
        <w:t>)</w:t>
      </w:r>
      <w:r w:rsidRPr="00505CB9">
        <w:rPr>
          <w:rFonts w:ascii="Times New Roman" w:hAnsi="Times New Roman" w:cs="Times New Roman"/>
        </w:rPr>
        <w:t>.</w:t>
      </w:r>
      <w:r w:rsidR="00C920A0" w:rsidRPr="00505CB9">
        <w:rPr>
          <w:rFonts w:ascii="Times New Roman" w:hAnsi="Times New Roman" w:cs="Times New Roman"/>
        </w:rPr>
        <w:t xml:space="preserve"> In all, 82 detainees who were allegedly subjected to torture continued to be charged with crimes</w:t>
      </w:r>
      <w:r w:rsidR="00852023">
        <w:rPr>
          <w:rFonts w:ascii="Times New Roman" w:hAnsi="Times New Roman" w:cs="Times New Roman"/>
        </w:rPr>
        <w:t xml:space="preserve"> (</w:t>
      </w:r>
      <w:r w:rsidR="00852023">
        <w:rPr>
          <w:rFonts w:ascii="Times New Roman" w:eastAsia="Times New Roman" w:hAnsi="Times New Roman" w:cs="Times New Roman"/>
          <w:color w:val="000000"/>
          <w:lang w:eastAsia="en-GB"/>
        </w:rPr>
        <w:t xml:space="preserve">A/HRC/48/CRP.5, para. </w:t>
      </w:r>
      <w:r w:rsidR="00E47955">
        <w:rPr>
          <w:rFonts w:ascii="Times New Roman" w:eastAsia="Times New Roman" w:hAnsi="Times New Roman" w:cs="Times New Roman"/>
          <w:color w:val="000000"/>
          <w:lang w:eastAsia="en-GB"/>
        </w:rPr>
        <w:t>279</w:t>
      </w:r>
      <w:r w:rsidR="00852023">
        <w:rPr>
          <w:rFonts w:ascii="Times New Roman" w:eastAsia="Times New Roman" w:hAnsi="Times New Roman" w:cs="Times New Roman"/>
          <w:color w:val="000000"/>
          <w:lang w:eastAsia="en-GB"/>
        </w:rPr>
        <w:t>)</w:t>
      </w:r>
      <w:r w:rsidR="008D5D3C">
        <w:rPr>
          <w:rFonts w:ascii="Times New Roman" w:eastAsia="Times New Roman" w:hAnsi="Times New Roman" w:cs="Times New Roman"/>
          <w:color w:val="000000"/>
          <w:lang w:eastAsia="en-GB"/>
        </w:rPr>
        <w:t>.</w:t>
      </w:r>
      <w:r w:rsidR="00852023">
        <w:rPr>
          <w:rFonts w:ascii="Times New Roman" w:eastAsia="Times New Roman" w:hAnsi="Times New Roman" w:cs="Times New Roman"/>
          <w:color w:val="000000"/>
          <w:lang w:eastAsia="en-GB"/>
        </w:rPr>
        <w:t xml:space="preserve"> </w:t>
      </w:r>
    </w:p>
    <w:p w14:paraId="3FA5B206" w14:textId="77777777" w:rsidR="00217311" w:rsidRPr="00505CB9" w:rsidRDefault="00217311" w:rsidP="00217311">
      <w:pPr>
        <w:pStyle w:val="ListParagraph"/>
        <w:rPr>
          <w:rFonts w:ascii="Times New Roman" w:hAnsi="Times New Roman" w:cs="Times New Roman"/>
          <w:b/>
          <w:lang w:val="en-US"/>
        </w:rPr>
      </w:pPr>
    </w:p>
    <w:p w14:paraId="5084E487" w14:textId="04749BEA" w:rsidR="00217311" w:rsidRPr="00505CB9" w:rsidRDefault="00217311" w:rsidP="00476A67">
      <w:pPr>
        <w:pStyle w:val="ListParagraph"/>
        <w:numPr>
          <w:ilvl w:val="0"/>
          <w:numId w:val="4"/>
        </w:numPr>
        <w:rPr>
          <w:rFonts w:ascii="Times New Roman" w:hAnsi="Times New Roman" w:cs="Times New Roman"/>
          <w:b/>
          <w:lang w:val="en-US"/>
        </w:rPr>
      </w:pPr>
      <w:r w:rsidRPr="00505CB9">
        <w:rPr>
          <w:rFonts w:ascii="Times New Roman" w:hAnsi="Times New Roman" w:cs="Times New Roman"/>
          <w:bCs/>
        </w:rPr>
        <w:t xml:space="preserve">Several cases investigated indicated a </w:t>
      </w:r>
      <w:r w:rsidRPr="00505CB9">
        <w:rPr>
          <w:rFonts w:ascii="Times New Roman" w:hAnsi="Times New Roman" w:cs="Times New Roman"/>
          <w:b/>
          <w:bCs/>
        </w:rPr>
        <w:t>deliberate backdating of arrest warrants or falsification of the dates of arrest</w:t>
      </w:r>
      <w:r w:rsidRPr="00505CB9">
        <w:rPr>
          <w:rFonts w:ascii="Times New Roman" w:hAnsi="Times New Roman" w:cs="Times New Roman"/>
          <w:bCs/>
        </w:rPr>
        <w:t xml:space="preserve">, appearing to place retroactively </w:t>
      </w:r>
      <w:r w:rsidRPr="00505CB9">
        <w:rPr>
          <w:rFonts w:ascii="Times New Roman" w:hAnsi="Times New Roman" w:cs="Times New Roman"/>
        </w:rPr>
        <w:t>the date of detention within 48 hours of the initial appearance, as required by law.</w:t>
      </w:r>
      <w:r w:rsidRPr="00505CB9">
        <w:rPr>
          <w:rFonts w:ascii="Times New Roman" w:hAnsi="Times New Roman" w:cs="Times New Roman"/>
          <w:bCs/>
        </w:rPr>
        <w:t xml:space="preserve"> These actions would seemingly require both prosecutorial and judicial actors to work together to ensure that dates of the arrest requests and the dates of the arrest warrant orders coincide</w:t>
      </w:r>
      <w:r w:rsidR="00632225">
        <w:rPr>
          <w:rFonts w:ascii="Times New Roman" w:hAnsi="Times New Roman" w:cs="Times New Roman"/>
          <w:bCs/>
        </w:rPr>
        <w:t xml:space="preserve"> </w:t>
      </w:r>
      <w:r w:rsidR="00632225">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F753C8">
        <w:rPr>
          <w:rFonts w:ascii="Times New Roman" w:eastAsia="Times New Roman" w:hAnsi="Times New Roman" w:cs="Times New Roman"/>
          <w:color w:val="000000"/>
          <w:lang w:eastAsia="en-GB"/>
        </w:rPr>
        <w:t>, para. 240</w:t>
      </w:r>
      <w:r w:rsidR="00632225">
        <w:rPr>
          <w:rFonts w:ascii="Times New Roman" w:eastAsia="Times New Roman" w:hAnsi="Times New Roman" w:cs="Times New Roman"/>
          <w:color w:val="000000"/>
          <w:lang w:eastAsia="en-GB"/>
        </w:rPr>
        <w:t>)</w:t>
      </w:r>
      <w:r w:rsidR="008D5D3C">
        <w:rPr>
          <w:rFonts w:ascii="Times New Roman" w:eastAsia="Times New Roman" w:hAnsi="Times New Roman" w:cs="Times New Roman"/>
          <w:color w:val="000000"/>
          <w:lang w:eastAsia="en-GB"/>
        </w:rPr>
        <w:t>.</w:t>
      </w:r>
    </w:p>
    <w:p w14:paraId="066CAB87" w14:textId="77777777" w:rsidR="00FB22A9" w:rsidRPr="00505CB9" w:rsidRDefault="00FB22A9" w:rsidP="00FB22A9">
      <w:pPr>
        <w:pStyle w:val="ListParagraph"/>
        <w:rPr>
          <w:rFonts w:ascii="Times New Roman" w:hAnsi="Times New Roman" w:cs="Times New Roman"/>
          <w:b/>
          <w:lang w:val="en-US"/>
        </w:rPr>
      </w:pPr>
    </w:p>
    <w:p w14:paraId="5EBB1AA3" w14:textId="38EC016A" w:rsidR="00A442CA" w:rsidRPr="00505CB9" w:rsidRDefault="00A442CA" w:rsidP="00AA78AB">
      <w:pPr>
        <w:pStyle w:val="ListParagraph"/>
        <w:numPr>
          <w:ilvl w:val="0"/>
          <w:numId w:val="4"/>
        </w:numPr>
        <w:rPr>
          <w:rFonts w:ascii="Times New Roman" w:hAnsi="Times New Roman" w:cs="Times New Roman"/>
          <w:b/>
          <w:lang w:val="en-US"/>
        </w:rPr>
      </w:pPr>
      <w:r w:rsidRPr="00505CB9">
        <w:rPr>
          <w:rFonts w:ascii="Times New Roman" w:hAnsi="Times New Roman" w:cs="Times New Roman"/>
          <w:b/>
          <w:bCs/>
        </w:rPr>
        <w:t>In some cases, the official dates of arrest appear to cover up periods during which victims claim to have suffered short-term enforced disappearances</w:t>
      </w:r>
      <w:r w:rsidRPr="00505CB9">
        <w:rPr>
          <w:rFonts w:ascii="Times New Roman" w:hAnsi="Times New Roman" w:cs="Times New Roman"/>
          <w:bCs/>
        </w:rPr>
        <w:t>, during which they were held incommunicado and either tortured or subjected to cruel, inhuman and degrading treatment, including sexual violence.</w:t>
      </w:r>
      <w:r w:rsidR="00AA78AB" w:rsidRPr="00505CB9">
        <w:rPr>
          <w:rFonts w:ascii="Times New Roman" w:hAnsi="Times New Roman" w:cs="Times New Roman"/>
          <w:bCs/>
        </w:rPr>
        <w:t xml:space="preserve"> The Mission documented </w:t>
      </w:r>
      <w:r w:rsidR="00AA78AB" w:rsidRPr="00505CB9">
        <w:rPr>
          <w:rFonts w:ascii="Times New Roman" w:hAnsi="Times New Roman" w:cs="Times New Roman"/>
          <w:b/>
          <w:bCs/>
        </w:rPr>
        <w:t>19 arbitrary arrests and short-term enforced disappearances of members of the military</w:t>
      </w:r>
      <w:r w:rsidR="00AA78AB" w:rsidRPr="00505CB9">
        <w:rPr>
          <w:rFonts w:ascii="Times New Roman" w:hAnsi="Times New Roman" w:cs="Times New Roman"/>
          <w:bCs/>
        </w:rPr>
        <w:t xml:space="preserve">, which prosecutors and judges sustained via the issuance of </w:t>
      </w:r>
      <w:r w:rsidR="00AA78AB" w:rsidRPr="00505CB9">
        <w:rPr>
          <w:rFonts w:ascii="Times New Roman" w:hAnsi="Times New Roman" w:cs="Times New Roman"/>
          <w:bCs/>
          <w:i/>
        </w:rPr>
        <w:t>ex post facto</w:t>
      </w:r>
      <w:r w:rsidR="008D5D3C">
        <w:rPr>
          <w:rFonts w:ascii="Times New Roman" w:hAnsi="Times New Roman" w:cs="Times New Roman"/>
          <w:bCs/>
        </w:rPr>
        <w:t xml:space="preserve"> arrest warrants</w:t>
      </w:r>
      <w:r w:rsidR="00632225">
        <w:rPr>
          <w:rFonts w:ascii="Times New Roman" w:hAnsi="Times New Roman" w:cs="Times New Roman"/>
          <w:bCs/>
        </w:rPr>
        <w:t xml:space="preserve"> </w:t>
      </w:r>
      <w:r w:rsidR="00632225">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613E2E">
        <w:rPr>
          <w:rFonts w:ascii="Times New Roman" w:eastAsia="Times New Roman" w:hAnsi="Times New Roman" w:cs="Times New Roman"/>
          <w:color w:val="000000"/>
          <w:lang w:eastAsia="en-GB"/>
        </w:rPr>
        <w:t>, paras. 242-243</w:t>
      </w:r>
      <w:r w:rsidR="00632225">
        <w:rPr>
          <w:rFonts w:ascii="Times New Roman" w:eastAsia="Times New Roman" w:hAnsi="Times New Roman" w:cs="Times New Roman"/>
          <w:color w:val="000000"/>
          <w:lang w:eastAsia="en-GB"/>
        </w:rPr>
        <w:t>)</w:t>
      </w:r>
      <w:r w:rsidR="008D5D3C">
        <w:rPr>
          <w:rFonts w:ascii="Times New Roman" w:eastAsia="Times New Roman" w:hAnsi="Times New Roman" w:cs="Times New Roman"/>
          <w:color w:val="000000"/>
          <w:lang w:eastAsia="en-GB"/>
        </w:rPr>
        <w:t>.</w:t>
      </w:r>
    </w:p>
    <w:p w14:paraId="14FA61BC" w14:textId="77777777" w:rsidR="00B345F9" w:rsidRPr="00505CB9" w:rsidRDefault="00B345F9" w:rsidP="00B345F9">
      <w:pPr>
        <w:pStyle w:val="ListParagraph"/>
        <w:rPr>
          <w:rFonts w:ascii="Times New Roman" w:hAnsi="Times New Roman" w:cs="Times New Roman"/>
          <w:b/>
          <w:lang w:val="en-US"/>
        </w:rPr>
      </w:pPr>
    </w:p>
    <w:p w14:paraId="470B3B9A" w14:textId="3792292B" w:rsidR="00B345F9" w:rsidRPr="00EF6696" w:rsidRDefault="00B345F9" w:rsidP="00EF6696">
      <w:pPr>
        <w:pStyle w:val="ListParagraph"/>
        <w:numPr>
          <w:ilvl w:val="0"/>
          <w:numId w:val="4"/>
        </w:numPr>
        <w:rPr>
          <w:rFonts w:ascii="Times New Roman" w:hAnsi="Times New Roman" w:cs="Times New Roman"/>
          <w:b/>
          <w:lang w:val="en-US"/>
        </w:rPr>
      </w:pPr>
      <w:r w:rsidRPr="00505CB9">
        <w:rPr>
          <w:rFonts w:ascii="Times New Roman" w:hAnsi="Times New Roman" w:cs="Times New Roman"/>
          <w:lang w:val="en-US"/>
        </w:rPr>
        <w:t xml:space="preserve">The Mission investigated cases demonstrating a failure to comply with legal requirements for searches, documenting </w:t>
      </w:r>
      <w:r w:rsidRPr="00505CB9">
        <w:rPr>
          <w:rFonts w:ascii="Times New Roman" w:hAnsi="Times New Roman" w:cs="Times New Roman"/>
          <w:b/>
          <w:lang w:val="en-US"/>
        </w:rPr>
        <w:t>73 cases in which officers searched detainees’ homes or offices and seized items without presenting search warrants at the time</w:t>
      </w:r>
      <w:r w:rsidRPr="00505CB9">
        <w:rPr>
          <w:rFonts w:ascii="Times New Roman" w:hAnsi="Times New Roman" w:cs="Times New Roman"/>
          <w:lang w:val="en-US"/>
        </w:rPr>
        <w:t xml:space="preserve">. In a number of cases, </w:t>
      </w:r>
      <w:r w:rsidRPr="00505CB9">
        <w:rPr>
          <w:rFonts w:ascii="Times New Roman" w:hAnsi="Times New Roman" w:cs="Times New Roman"/>
          <w:lang w:val="en-US"/>
        </w:rPr>
        <w:lastRenderedPageBreak/>
        <w:t>evidence was seized, during a search without a warrant, from computers or telephones, sometimes after the passwords had been obtained from th</w:t>
      </w:r>
      <w:r w:rsidR="008D5D3C">
        <w:rPr>
          <w:rFonts w:ascii="Times New Roman" w:hAnsi="Times New Roman" w:cs="Times New Roman"/>
          <w:lang w:val="en-US"/>
        </w:rPr>
        <w:t xml:space="preserve">e owner under duress or torture </w:t>
      </w:r>
      <w:r w:rsidR="00EF6696">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EF6696">
        <w:rPr>
          <w:rFonts w:ascii="Times New Roman" w:eastAsia="Times New Roman" w:hAnsi="Times New Roman" w:cs="Times New Roman"/>
          <w:color w:val="000000"/>
          <w:lang w:eastAsia="en-GB"/>
        </w:rPr>
        <w:t>, para. 28</w:t>
      </w:r>
      <w:r w:rsidR="00E47955">
        <w:rPr>
          <w:rFonts w:ascii="Times New Roman" w:eastAsia="Times New Roman" w:hAnsi="Times New Roman" w:cs="Times New Roman"/>
          <w:color w:val="000000"/>
          <w:lang w:eastAsia="en-GB"/>
        </w:rPr>
        <w:t>9</w:t>
      </w:r>
      <w:r w:rsidR="00EF6696">
        <w:rPr>
          <w:rFonts w:ascii="Times New Roman" w:eastAsia="Times New Roman" w:hAnsi="Times New Roman" w:cs="Times New Roman"/>
          <w:color w:val="000000"/>
          <w:lang w:eastAsia="en-GB"/>
        </w:rPr>
        <w:t>)</w:t>
      </w:r>
      <w:r w:rsidR="008D5D3C">
        <w:rPr>
          <w:rFonts w:ascii="Times New Roman" w:eastAsia="Times New Roman" w:hAnsi="Times New Roman" w:cs="Times New Roman"/>
          <w:color w:val="000000"/>
          <w:lang w:eastAsia="en-GB"/>
        </w:rPr>
        <w:t>.</w:t>
      </w:r>
    </w:p>
    <w:p w14:paraId="0EF1C87E" w14:textId="77777777" w:rsidR="009072C5" w:rsidRPr="00505CB9" w:rsidRDefault="009072C5" w:rsidP="009072C5">
      <w:pPr>
        <w:pStyle w:val="ListParagraph"/>
        <w:rPr>
          <w:rFonts w:ascii="Times New Roman" w:hAnsi="Times New Roman" w:cs="Times New Roman"/>
          <w:lang w:val="en-US"/>
        </w:rPr>
      </w:pPr>
    </w:p>
    <w:p w14:paraId="7C060B70" w14:textId="5D00E5CE" w:rsidR="009072C5" w:rsidRPr="00505CB9" w:rsidRDefault="009072C5" w:rsidP="00B345F9">
      <w:pPr>
        <w:pStyle w:val="ListParagraph"/>
        <w:numPr>
          <w:ilvl w:val="0"/>
          <w:numId w:val="4"/>
        </w:numPr>
        <w:rPr>
          <w:rFonts w:ascii="Times New Roman" w:hAnsi="Times New Roman" w:cs="Times New Roman"/>
          <w:lang w:val="en-US"/>
        </w:rPr>
      </w:pPr>
      <w:r w:rsidRPr="00505CB9">
        <w:rPr>
          <w:rFonts w:ascii="Times New Roman" w:hAnsi="Times New Roman" w:cs="Times New Roman"/>
        </w:rPr>
        <w:t xml:space="preserve">The Mission has identified and documented </w:t>
      </w:r>
      <w:r w:rsidRPr="00505CB9">
        <w:rPr>
          <w:rFonts w:ascii="Times New Roman" w:hAnsi="Times New Roman" w:cs="Times New Roman"/>
          <w:b/>
        </w:rPr>
        <w:t>24 detentions that involved falsified, manipulated or planted evidence</w:t>
      </w:r>
      <w:r w:rsidRPr="00505CB9">
        <w:rPr>
          <w:rFonts w:ascii="Times New Roman" w:hAnsi="Times New Roman" w:cs="Times New Roman"/>
        </w:rPr>
        <w:t>. In addition, 78.82 per cent of the respondents to the Mission’s questionnaire, who were all defence lawyers, prosecutors or judges, indicated that they had observed such evidence tampering in cases to support char</w:t>
      </w:r>
      <w:r w:rsidR="008D5D3C">
        <w:rPr>
          <w:rFonts w:ascii="Times New Roman" w:hAnsi="Times New Roman" w:cs="Times New Roman"/>
        </w:rPr>
        <w:t xml:space="preserve">ges </w:t>
      </w:r>
      <w:r w:rsidR="00B935F8">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3F2F69">
        <w:rPr>
          <w:rFonts w:ascii="Times New Roman" w:eastAsia="Times New Roman" w:hAnsi="Times New Roman" w:cs="Times New Roman"/>
          <w:color w:val="000000"/>
          <w:lang w:eastAsia="en-GB"/>
        </w:rPr>
        <w:t xml:space="preserve">, para. </w:t>
      </w:r>
      <w:r w:rsidR="00E47955">
        <w:rPr>
          <w:rFonts w:ascii="Times New Roman" w:eastAsia="Times New Roman" w:hAnsi="Times New Roman" w:cs="Times New Roman"/>
          <w:color w:val="000000"/>
          <w:lang w:eastAsia="en-GB"/>
        </w:rPr>
        <w:t>290</w:t>
      </w:r>
      <w:r w:rsidR="00B935F8">
        <w:rPr>
          <w:rFonts w:ascii="Times New Roman" w:eastAsia="Times New Roman" w:hAnsi="Times New Roman" w:cs="Times New Roman"/>
          <w:color w:val="000000"/>
          <w:lang w:eastAsia="en-GB"/>
        </w:rPr>
        <w:t>)</w:t>
      </w:r>
      <w:r w:rsidR="008D5D3C">
        <w:rPr>
          <w:rFonts w:ascii="Times New Roman" w:eastAsia="Times New Roman" w:hAnsi="Times New Roman" w:cs="Times New Roman"/>
          <w:color w:val="000000"/>
          <w:lang w:eastAsia="en-GB"/>
        </w:rPr>
        <w:t>.</w:t>
      </w:r>
    </w:p>
    <w:p w14:paraId="1B11CA8F" w14:textId="77777777" w:rsidR="00E669D0" w:rsidRPr="00505CB9" w:rsidRDefault="00E669D0" w:rsidP="00E669D0">
      <w:pPr>
        <w:pStyle w:val="ListParagraph"/>
        <w:rPr>
          <w:rFonts w:ascii="Times New Roman" w:hAnsi="Times New Roman" w:cs="Times New Roman"/>
          <w:lang w:val="en-US"/>
        </w:rPr>
      </w:pPr>
    </w:p>
    <w:p w14:paraId="70B57117" w14:textId="6302757C" w:rsidR="008D5D3C" w:rsidRPr="00505CB9" w:rsidRDefault="00E669D0" w:rsidP="008D5D3C">
      <w:pPr>
        <w:pStyle w:val="ListParagraph"/>
        <w:numPr>
          <w:ilvl w:val="0"/>
          <w:numId w:val="4"/>
        </w:numPr>
        <w:rPr>
          <w:rFonts w:ascii="Times New Roman" w:hAnsi="Times New Roman" w:cs="Times New Roman"/>
          <w:lang w:val="en-US"/>
        </w:rPr>
      </w:pPr>
      <w:r w:rsidRPr="00505CB9">
        <w:rPr>
          <w:rFonts w:ascii="Times New Roman" w:hAnsi="Times New Roman" w:cs="Times New Roman"/>
          <w:lang w:val="en-US"/>
        </w:rPr>
        <w:t xml:space="preserve">Under Venezuela’s Criminal Procedure Code, pre-trial detention may be ordered only exceptionally. </w:t>
      </w:r>
      <w:r w:rsidR="00A930F7" w:rsidRPr="00505CB9">
        <w:rPr>
          <w:rFonts w:ascii="Times New Roman" w:hAnsi="Times New Roman" w:cs="Times New Roman"/>
          <w:lang w:val="en-US"/>
        </w:rPr>
        <w:t>However</w:t>
      </w:r>
      <w:r w:rsidRPr="00505CB9">
        <w:rPr>
          <w:rFonts w:ascii="Times New Roman" w:hAnsi="Times New Roman" w:cs="Times New Roman"/>
          <w:lang w:val="en-US"/>
        </w:rPr>
        <w:t xml:space="preserve">, </w:t>
      </w:r>
      <w:r w:rsidRPr="00505CB9">
        <w:rPr>
          <w:rFonts w:ascii="Times New Roman" w:hAnsi="Times New Roman" w:cs="Times New Roman"/>
          <w:b/>
        </w:rPr>
        <w:t>of the 170 cases involving initial appearances documented by the Mission, 146 resulted in pre-trial detention for the accused</w:t>
      </w:r>
      <w:r w:rsidR="00136097" w:rsidRPr="00505CB9">
        <w:rPr>
          <w:rFonts w:ascii="Times New Roman" w:hAnsi="Times New Roman" w:cs="Times New Roman"/>
        </w:rPr>
        <w:t xml:space="preserve"> </w:t>
      </w:r>
      <w:r w:rsidR="008D5D3C">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A45CC7">
        <w:rPr>
          <w:rFonts w:ascii="Times New Roman" w:eastAsia="Times New Roman" w:hAnsi="Times New Roman" w:cs="Times New Roman"/>
          <w:color w:val="000000"/>
          <w:lang w:eastAsia="en-GB"/>
        </w:rPr>
        <w:t>, para. 226</w:t>
      </w:r>
      <w:r w:rsidR="008D5D3C">
        <w:rPr>
          <w:rFonts w:ascii="Times New Roman" w:eastAsia="Times New Roman" w:hAnsi="Times New Roman" w:cs="Times New Roman"/>
          <w:color w:val="000000"/>
          <w:lang w:eastAsia="en-GB"/>
        </w:rPr>
        <w:t>).</w:t>
      </w:r>
    </w:p>
    <w:p w14:paraId="29AADDF5" w14:textId="7C9ADACA" w:rsidR="00E669D0" w:rsidRPr="00505CB9" w:rsidRDefault="00136097" w:rsidP="008D5D3C">
      <w:pPr>
        <w:pStyle w:val="ListParagraph"/>
        <w:rPr>
          <w:rFonts w:ascii="Times New Roman" w:hAnsi="Times New Roman" w:cs="Times New Roman"/>
          <w:lang w:val="en-US"/>
        </w:rPr>
      </w:pPr>
      <w:r w:rsidRPr="00505CB9">
        <w:rPr>
          <w:rFonts w:ascii="Times New Roman" w:hAnsi="Times New Roman" w:cs="Times New Roman"/>
          <w:b/>
          <w:bCs/>
        </w:rPr>
        <w:t xml:space="preserve">Eighty of </w:t>
      </w:r>
      <w:r w:rsidR="00EE293D" w:rsidRPr="00505CB9">
        <w:rPr>
          <w:rFonts w:ascii="Times New Roman" w:hAnsi="Times New Roman" w:cs="Times New Roman"/>
          <w:b/>
          <w:bCs/>
        </w:rPr>
        <w:t>the cases</w:t>
      </w:r>
      <w:r w:rsidR="00FF0752" w:rsidRPr="00505CB9">
        <w:rPr>
          <w:rFonts w:ascii="Times New Roman" w:hAnsi="Times New Roman" w:cs="Times New Roman"/>
          <w:b/>
          <w:bCs/>
        </w:rPr>
        <w:t xml:space="preserve"> (47 per cent)</w:t>
      </w:r>
      <w:r w:rsidRPr="00505CB9">
        <w:rPr>
          <w:rFonts w:ascii="Times New Roman" w:hAnsi="Times New Roman" w:cs="Times New Roman"/>
          <w:b/>
          <w:bCs/>
        </w:rPr>
        <w:t xml:space="preserve"> resulted in pre-trial detention for more than the two years permitted under law</w:t>
      </w:r>
      <w:r w:rsidR="008D5D3C">
        <w:rPr>
          <w:rFonts w:ascii="Times New Roman" w:hAnsi="Times New Roman" w:cs="Times New Roman"/>
          <w:b/>
          <w:bCs/>
        </w:rPr>
        <w:t xml:space="preserve"> </w:t>
      </w:r>
      <w:r w:rsidR="008D5D3C">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A45CC7">
        <w:rPr>
          <w:rFonts w:ascii="Times New Roman" w:eastAsia="Times New Roman" w:hAnsi="Times New Roman" w:cs="Times New Roman"/>
          <w:color w:val="000000"/>
          <w:lang w:eastAsia="en-GB"/>
        </w:rPr>
        <w:t>, para. 231</w:t>
      </w:r>
      <w:r w:rsidR="008D5D3C">
        <w:rPr>
          <w:rFonts w:ascii="Times New Roman" w:eastAsia="Times New Roman" w:hAnsi="Times New Roman" w:cs="Times New Roman"/>
          <w:color w:val="000000"/>
          <w:lang w:eastAsia="en-GB"/>
        </w:rPr>
        <w:t>)</w:t>
      </w:r>
      <w:r w:rsidRPr="00505CB9">
        <w:rPr>
          <w:rFonts w:ascii="Times New Roman" w:hAnsi="Times New Roman" w:cs="Times New Roman"/>
          <w:bCs/>
        </w:rPr>
        <w:t>.</w:t>
      </w:r>
    </w:p>
    <w:p w14:paraId="66F0769E" w14:textId="77777777" w:rsidR="009E73A6" w:rsidRPr="00505CB9" w:rsidRDefault="009E73A6" w:rsidP="009E73A6">
      <w:pPr>
        <w:pStyle w:val="ListParagraph"/>
        <w:rPr>
          <w:rFonts w:ascii="Times New Roman" w:hAnsi="Times New Roman" w:cs="Times New Roman"/>
          <w:lang w:val="en-US"/>
        </w:rPr>
      </w:pPr>
    </w:p>
    <w:p w14:paraId="5D3685A3" w14:textId="69130113" w:rsidR="009E73A6" w:rsidRPr="00505CB9" w:rsidRDefault="009E73A6" w:rsidP="009E73A6">
      <w:pPr>
        <w:pStyle w:val="ListParagraph"/>
        <w:numPr>
          <w:ilvl w:val="0"/>
          <w:numId w:val="4"/>
        </w:numPr>
        <w:tabs>
          <w:tab w:val="num" w:pos="2693"/>
        </w:tabs>
        <w:spacing w:after="0" w:line="240" w:lineRule="auto"/>
        <w:rPr>
          <w:rFonts w:ascii="Times New Roman" w:hAnsi="Times New Roman" w:cs="Times New Roman"/>
        </w:rPr>
      </w:pPr>
      <w:r w:rsidRPr="00505CB9">
        <w:rPr>
          <w:rFonts w:ascii="Times New Roman" w:hAnsi="Times New Roman" w:cs="Times New Roman"/>
        </w:rPr>
        <w:t xml:space="preserve">Of 170 cases examined in which the defendant was charged, </w:t>
      </w:r>
      <w:r w:rsidRPr="00505CB9">
        <w:rPr>
          <w:rFonts w:ascii="Times New Roman" w:hAnsi="Times New Roman" w:cs="Times New Roman"/>
          <w:b/>
        </w:rPr>
        <w:t>the right to counsel of choice was denied in 54 cases (32 per cent)</w:t>
      </w:r>
      <w:r w:rsidR="008D5D3C">
        <w:rPr>
          <w:rFonts w:ascii="Times New Roman" w:hAnsi="Times New Roman" w:cs="Times New Roman"/>
          <w:b/>
        </w:rPr>
        <w:t xml:space="preserve"> </w:t>
      </w:r>
      <w:r w:rsidR="008D5D3C">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8D5D3C">
        <w:rPr>
          <w:rFonts w:ascii="Times New Roman" w:eastAsia="Times New Roman" w:hAnsi="Times New Roman" w:cs="Times New Roman"/>
          <w:color w:val="000000"/>
          <w:lang w:eastAsia="en-GB"/>
        </w:rPr>
        <w:t>, para. 29</w:t>
      </w:r>
      <w:r w:rsidR="003C7969">
        <w:rPr>
          <w:rFonts w:ascii="Times New Roman" w:eastAsia="Times New Roman" w:hAnsi="Times New Roman" w:cs="Times New Roman"/>
          <w:color w:val="000000"/>
          <w:lang w:eastAsia="en-GB"/>
        </w:rPr>
        <w:t>6</w:t>
      </w:r>
      <w:r w:rsidR="008D5D3C">
        <w:rPr>
          <w:rFonts w:ascii="Times New Roman" w:eastAsia="Times New Roman" w:hAnsi="Times New Roman" w:cs="Times New Roman"/>
          <w:color w:val="000000"/>
          <w:lang w:eastAsia="en-GB"/>
        </w:rPr>
        <w:t>)</w:t>
      </w:r>
      <w:r w:rsidR="008D5D3C" w:rsidRPr="00505CB9">
        <w:rPr>
          <w:rFonts w:ascii="Times New Roman" w:hAnsi="Times New Roman" w:cs="Times New Roman"/>
          <w:bCs/>
        </w:rPr>
        <w:t>.</w:t>
      </w:r>
    </w:p>
    <w:p w14:paraId="24C1B793" w14:textId="77777777" w:rsidR="0027094C" w:rsidRPr="00505CB9" w:rsidRDefault="0027094C" w:rsidP="0027094C">
      <w:pPr>
        <w:pStyle w:val="ListParagraph"/>
        <w:rPr>
          <w:rFonts w:ascii="Times New Roman" w:hAnsi="Times New Roman" w:cs="Times New Roman"/>
        </w:rPr>
      </w:pPr>
    </w:p>
    <w:p w14:paraId="292C54E6" w14:textId="19BFACA2" w:rsidR="0027094C" w:rsidRPr="00505CB9" w:rsidRDefault="0027094C" w:rsidP="0027094C">
      <w:pPr>
        <w:pStyle w:val="ListParagraph"/>
        <w:numPr>
          <w:ilvl w:val="0"/>
          <w:numId w:val="4"/>
        </w:numPr>
        <w:tabs>
          <w:tab w:val="num" w:pos="2977"/>
        </w:tabs>
        <w:spacing w:after="0" w:line="240" w:lineRule="auto"/>
        <w:rPr>
          <w:rFonts w:ascii="Times New Roman" w:hAnsi="Times New Roman" w:cs="Times New Roman"/>
        </w:rPr>
      </w:pPr>
      <w:r w:rsidRPr="00505CB9">
        <w:rPr>
          <w:rFonts w:ascii="Times New Roman" w:hAnsi="Times New Roman" w:cs="Times New Roman"/>
        </w:rPr>
        <w:t xml:space="preserve">In 92 of the 170 detentions examined by the Mission that resulted in judicial proceedings, </w:t>
      </w:r>
      <w:r w:rsidRPr="00505CB9">
        <w:rPr>
          <w:rFonts w:ascii="Times New Roman" w:hAnsi="Times New Roman" w:cs="Times New Roman"/>
          <w:b/>
        </w:rPr>
        <w:t>the prosecutor or judge failed to provide defence lawyers with important case file information</w:t>
      </w:r>
      <w:r w:rsidRPr="00505CB9">
        <w:rPr>
          <w:rFonts w:ascii="Times New Roman" w:hAnsi="Times New Roman" w:cs="Times New Roman"/>
        </w:rPr>
        <w:t>, including police records, ind</w:t>
      </w:r>
      <w:r w:rsidR="008D5D3C">
        <w:rPr>
          <w:rFonts w:ascii="Times New Roman" w:hAnsi="Times New Roman" w:cs="Times New Roman"/>
        </w:rPr>
        <w:t>ictments or records of hearings (</w:t>
      </w:r>
      <w:r w:rsidR="00FE3B9D">
        <w:rPr>
          <w:rFonts w:ascii="Times New Roman" w:eastAsia="Times New Roman" w:hAnsi="Times New Roman" w:cs="Times New Roman"/>
          <w:color w:val="000000"/>
          <w:lang w:eastAsia="en-GB"/>
        </w:rPr>
        <w:t>A/HRC/48/CRP.5</w:t>
      </w:r>
      <w:r w:rsidR="003C7969">
        <w:rPr>
          <w:rFonts w:ascii="Times New Roman" w:eastAsia="Times New Roman" w:hAnsi="Times New Roman" w:cs="Times New Roman"/>
          <w:color w:val="000000"/>
          <w:lang w:eastAsia="en-GB"/>
        </w:rPr>
        <w:t>, para. 306</w:t>
      </w:r>
      <w:r w:rsidR="008D5D3C">
        <w:rPr>
          <w:rFonts w:ascii="Times New Roman" w:eastAsia="Times New Roman" w:hAnsi="Times New Roman" w:cs="Times New Roman"/>
          <w:color w:val="000000"/>
          <w:lang w:eastAsia="en-GB"/>
        </w:rPr>
        <w:t>)</w:t>
      </w:r>
      <w:r w:rsidR="008D5D3C" w:rsidRPr="00505CB9">
        <w:rPr>
          <w:rFonts w:ascii="Times New Roman" w:hAnsi="Times New Roman" w:cs="Times New Roman"/>
          <w:bCs/>
        </w:rPr>
        <w:t>.</w:t>
      </w:r>
      <w:r w:rsidRPr="00505CB9">
        <w:rPr>
          <w:rFonts w:ascii="Times New Roman" w:hAnsi="Times New Roman" w:cs="Times New Roman"/>
        </w:rPr>
        <w:t xml:space="preserve"> </w:t>
      </w:r>
    </w:p>
    <w:p w14:paraId="2E6DEA39" w14:textId="77777777" w:rsidR="005838CA" w:rsidRPr="00505CB9" w:rsidRDefault="005838CA" w:rsidP="005838CA">
      <w:pPr>
        <w:pStyle w:val="ListParagraph"/>
        <w:rPr>
          <w:rFonts w:ascii="Times New Roman" w:hAnsi="Times New Roman" w:cs="Times New Roman"/>
        </w:rPr>
      </w:pPr>
    </w:p>
    <w:p w14:paraId="1F257FCE" w14:textId="51668374" w:rsidR="008C295C" w:rsidRDefault="005838CA" w:rsidP="0027094C">
      <w:pPr>
        <w:pStyle w:val="ListParagraph"/>
        <w:numPr>
          <w:ilvl w:val="0"/>
          <w:numId w:val="4"/>
        </w:numPr>
        <w:tabs>
          <w:tab w:val="num" w:pos="2977"/>
        </w:tabs>
        <w:spacing w:after="0" w:line="240" w:lineRule="auto"/>
        <w:rPr>
          <w:rFonts w:ascii="Times New Roman" w:hAnsi="Times New Roman" w:cs="Times New Roman"/>
        </w:rPr>
      </w:pPr>
      <w:r w:rsidRPr="00505CB9">
        <w:rPr>
          <w:rFonts w:ascii="Times New Roman" w:hAnsi="Times New Roman" w:cs="Times New Roman"/>
          <w:b/>
        </w:rPr>
        <w:t>Seventy-seven per cent of the initial appearances examined occurred outside the 48-hour period permitted by law</w:t>
      </w:r>
      <w:r w:rsidRPr="00505CB9">
        <w:rPr>
          <w:rFonts w:ascii="Times New Roman" w:hAnsi="Times New Roman" w:cs="Times New Roman"/>
        </w:rPr>
        <w:t>, with 18 per cent of detainees held for more than a week before their initial appearances</w:t>
      </w:r>
      <w:r w:rsidR="002F4F6C">
        <w:rPr>
          <w:rFonts w:ascii="Times New Roman" w:hAnsi="Times New Roman" w:cs="Times New Roman"/>
        </w:rPr>
        <w:t xml:space="preserve"> (</w:t>
      </w:r>
      <w:r w:rsidR="00FE3B9D">
        <w:rPr>
          <w:rFonts w:ascii="Times New Roman" w:eastAsia="Times New Roman" w:hAnsi="Times New Roman" w:cs="Times New Roman"/>
          <w:color w:val="000000"/>
          <w:lang w:eastAsia="en-GB"/>
        </w:rPr>
        <w:t>A/HRC/48/CRP.5</w:t>
      </w:r>
      <w:r w:rsidR="003A754C">
        <w:rPr>
          <w:rFonts w:ascii="Times New Roman" w:eastAsia="Times New Roman" w:hAnsi="Times New Roman" w:cs="Times New Roman"/>
          <w:color w:val="000000"/>
          <w:lang w:eastAsia="en-GB"/>
        </w:rPr>
        <w:t>, para. 317</w:t>
      </w:r>
      <w:r w:rsidR="002F4F6C">
        <w:rPr>
          <w:rFonts w:ascii="Times New Roman" w:eastAsia="Times New Roman" w:hAnsi="Times New Roman" w:cs="Times New Roman"/>
          <w:color w:val="000000"/>
          <w:lang w:eastAsia="en-GB"/>
        </w:rPr>
        <w:t>)</w:t>
      </w:r>
      <w:r w:rsidRPr="00505CB9">
        <w:rPr>
          <w:rFonts w:ascii="Times New Roman" w:hAnsi="Times New Roman" w:cs="Times New Roman"/>
        </w:rPr>
        <w:t xml:space="preserve">. </w:t>
      </w:r>
    </w:p>
    <w:p w14:paraId="7CA4D0CF" w14:textId="77777777" w:rsidR="008C295C" w:rsidRPr="008C295C" w:rsidRDefault="008C295C" w:rsidP="008C295C">
      <w:pPr>
        <w:pStyle w:val="ListParagraph"/>
        <w:rPr>
          <w:rFonts w:ascii="Times New Roman" w:hAnsi="Times New Roman" w:cs="Times New Roman"/>
          <w:b/>
        </w:rPr>
      </w:pPr>
    </w:p>
    <w:p w14:paraId="3782C28A" w14:textId="4BB93B40" w:rsidR="005838CA" w:rsidRPr="00505CB9" w:rsidRDefault="008C295C" w:rsidP="008C295C">
      <w:pPr>
        <w:pStyle w:val="ListParagraph"/>
        <w:numPr>
          <w:ilvl w:val="0"/>
          <w:numId w:val="4"/>
        </w:numPr>
        <w:spacing w:after="0" w:line="240" w:lineRule="auto"/>
        <w:rPr>
          <w:rFonts w:ascii="Times New Roman" w:hAnsi="Times New Roman" w:cs="Times New Roman"/>
        </w:rPr>
      </w:pPr>
      <w:r w:rsidRPr="008C295C">
        <w:rPr>
          <w:rFonts w:ascii="Times New Roman" w:hAnsi="Times New Roman" w:cs="Times New Roman"/>
          <w:b/>
        </w:rPr>
        <w:t xml:space="preserve">In 102 detentions documented, the preliminary hearings were deferred numerous times </w:t>
      </w:r>
      <w:r w:rsidR="005838CA" w:rsidRPr="001B750E">
        <w:rPr>
          <w:rFonts w:ascii="Times New Roman" w:hAnsi="Times New Roman" w:cs="Times New Roman"/>
          <w:b/>
        </w:rPr>
        <w:t>The Mission documented 16 detention cases in which the preliminary hearing was deferred for more than two years</w:t>
      </w:r>
      <w:r w:rsidR="005838CA" w:rsidRPr="00505CB9">
        <w:rPr>
          <w:rFonts w:ascii="Times New Roman" w:hAnsi="Times New Roman" w:cs="Times New Roman"/>
        </w:rPr>
        <w:t xml:space="preserve">, during which time </w:t>
      </w:r>
      <w:r w:rsidR="00974F33">
        <w:rPr>
          <w:rFonts w:ascii="Times New Roman" w:hAnsi="Times New Roman" w:cs="Times New Roman"/>
        </w:rPr>
        <w:t xml:space="preserve">some of </w:t>
      </w:r>
      <w:r w:rsidR="005838CA" w:rsidRPr="00505CB9">
        <w:rPr>
          <w:rFonts w:ascii="Times New Roman" w:hAnsi="Times New Roman" w:cs="Times New Roman"/>
        </w:rPr>
        <w:t>the detainees remained either in pre-trial detention or with su</w:t>
      </w:r>
      <w:r w:rsidR="002F4F6C">
        <w:rPr>
          <w:rFonts w:ascii="Times New Roman" w:hAnsi="Times New Roman" w:cs="Times New Roman"/>
        </w:rPr>
        <w:t>bstitute precautionary measures (</w:t>
      </w:r>
      <w:r w:rsidR="00FE3B9D">
        <w:rPr>
          <w:rFonts w:ascii="Times New Roman" w:eastAsia="Times New Roman" w:hAnsi="Times New Roman" w:cs="Times New Roman"/>
          <w:color w:val="000000"/>
          <w:lang w:eastAsia="en-GB"/>
        </w:rPr>
        <w:t>A/HRC/48/CRP.5</w:t>
      </w:r>
      <w:r w:rsidR="00793679">
        <w:rPr>
          <w:rFonts w:ascii="Times New Roman" w:eastAsia="Times New Roman" w:hAnsi="Times New Roman" w:cs="Times New Roman"/>
          <w:color w:val="000000"/>
          <w:lang w:eastAsia="en-GB"/>
        </w:rPr>
        <w:t>, para. 318</w:t>
      </w:r>
      <w:r w:rsidR="002F4F6C">
        <w:rPr>
          <w:rFonts w:ascii="Times New Roman" w:eastAsia="Times New Roman" w:hAnsi="Times New Roman" w:cs="Times New Roman"/>
          <w:color w:val="000000"/>
          <w:lang w:eastAsia="en-GB"/>
        </w:rPr>
        <w:t>)</w:t>
      </w:r>
      <w:r w:rsidR="002F4F6C" w:rsidRPr="00505CB9">
        <w:rPr>
          <w:rFonts w:ascii="Times New Roman" w:hAnsi="Times New Roman" w:cs="Times New Roman"/>
        </w:rPr>
        <w:t>.</w:t>
      </w:r>
    </w:p>
    <w:p w14:paraId="4CF5442C" w14:textId="77777777" w:rsidR="00811914" w:rsidRPr="00505CB9" w:rsidRDefault="00811914" w:rsidP="00811914">
      <w:pPr>
        <w:pStyle w:val="ListParagraph"/>
        <w:rPr>
          <w:rFonts w:ascii="Times New Roman" w:hAnsi="Times New Roman" w:cs="Times New Roman"/>
        </w:rPr>
      </w:pPr>
    </w:p>
    <w:p w14:paraId="7DBB0245" w14:textId="1FFE96D5" w:rsidR="00C549AC" w:rsidRPr="00505CB9" w:rsidRDefault="00C549AC" w:rsidP="00C549AC">
      <w:pPr>
        <w:pStyle w:val="ListParagraph"/>
        <w:numPr>
          <w:ilvl w:val="0"/>
          <w:numId w:val="4"/>
        </w:numPr>
        <w:tabs>
          <w:tab w:val="num" w:pos="2977"/>
        </w:tabs>
        <w:spacing w:after="0" w:line="240" w:lineRule="auto"/>
        <w:rPr>
          <w:rFonts w:ascii="Times New Roman" w:hAnsi="Times New Roman" w:cs="Times New Roman"/>
        </w:rPr>
      </w:pPr>
      <w:r w:rsidRPr="00505CB9">
        <w:rPr>
          <w:rFonts w:ascii="Times New Roman" w:hAnsi="Times New Roman" w:cs="Times New Roman"/>
        </w:rPr>
        <w:t xml:space="preserve">The Mission reviewed 55 detentions in which the proceedings had advanced to trial, noting an average of 523 days (over 17 months) between the date of the preliminary hearing and the start of the trial. </w:t>
      </w:r>
      <w:r w:rsidRPr="00505CB9">
        <w:rPr>
          <w:rFonts w:ascii="Times New Roman" w:hAnsi="Times New Roman" w:cs="Times New Roman"/>
          <w:b/>
        </w:rPr>
        <w:t xml:space="preserve">Only 19 of these proceedings had reached a verdict at time of writing, with an average time lapse of </w:t>
      </w:r>
      <w:r w:rsidRPr="00C70C93">
        <w:rPr>
          <w:rFonts w:ascii="Times New Roman" w:hAnsi="Times New Roman" w:cs="Times New Roman"/>
          <w:b/>
        </w:rPr>
        <w:t xml:space="preserve">759 days (more than </w:t>
      </w:r>
      <w:r w:rsidR="00D34C6A" w:rsidRPr="00C70C93">
        <w:rPr>
          <w:rFonts w:ascii="Times New Roman" w:hAnsi="Times New Roman" w:cs="Times New Roman"/>
          <w:b/>
        </w:rPr>
        <w:t>two</w:t>
      </w:r>
      <w:r w:rsidRPr="00C70C93">
        <w:rPr>
          <w:rFonts w:ascii="Times New Roman" w:hAnsi="Times New Roman" w:cs="Times New Roman"/>
          <w:b/>
        </w:rPr>
        <w:t xml:space="preserve"> years)</w:t>
      </w:r>
      <w:r w:rsidRPr="00505CB9">
        <w:rPr>
          <w:rFonts w:ascii="Times New Roman" w:hAnsi="Times New Roman" w:cs="Times New Roman"/>
          <w:b/>
        </w:rPr>
        <w:t xml:space="preserve"> after the arrest</w:t>
      </w:r>
      <w:r w:rsidR="002E1512">
        <w:rPr>
          <w:rFonts w:ascii="Times New Roman" w:hAnsi="Times New Roman" w:cs="Times New Roman"/>
          <w:b/>
        </w:rPr>
        <w:t xml:space="preserve"> </w:t>
      </w:r>
      <w:r w:rsidR="002E1512">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300246">
        <w:rPr>
          <w:rFonts w:ascii="Times New Roman" w:eastAsia="Times New Roman" w:hAnsi="Times New Roman" w:cs="Times New Roman"/>
          <w:color w:val="000000"/>
          <w:lang w:eastAsia="en-GB"/>
        </w:rPr>
        <w:t>, para. 319</w:t>
      </w:r>
      <w:r w:rsidR="002E1512">
        <w:rPr>
          <w:rFonts w:ascii="Times New Roman" w:eastAsia="Times New Roman" w:hAnsi="Times New Roman" w:cs="Times New Roman"/>
          <w:color w:val="000000"/>
          <w:lang w:eastAsia="en-GB"/>
        </w:rPr>
        <w:t>)</w:t>
      </w:r>
      <w:r w:rsidR="002E1512" w:rsidRPr="00505CB9">
        <w:rPr>
          <w:rFonts w:ascii="Times New Roman" w:hAnsi="Times New Roman" w:cs="Times New Roman"/>
        </w:rPr>
        <w:t>.</w:t>
      </w:r>
    </w:p>
    <w:p w14:paraId="5014E72B" w14:textId="5960F3D0" w:rsidR="00811914" w:rsidRPr="00505CB9" w:rsidRDefault="00811914" w:rsidP="00811914">
      <w:pPr>
        <w:pStyle w:val="ListParagraph"/>
        <w:spacing w:after="0" w:line="240" w:lineRule="auto"/>
        <w:rPr>
          <w:rFonts w:ascii="Times New Roman" w:hAnsi="Times New Roman" w:cs="Times New Roman"/>
        </w:rPr>
      </w:pPr>
    </w:p>
    <w:p w14:paraId="0F80870D" w14:textId="0F6FD07D" w:rsidR="00056BCC" w:rsidRPr="00505CB9" w:rsidRDefault="00056BCC" w:rsidP="00056BCC">
      <w:pPr>
        <w:pStyle w:val="ListParagraph"/>
        <w:numPr>
          <w:ilvl w:val="0"/>
          <w:numId w:val="4"/>
        </w:numPr>
        <w:tabs>
          <w:tab w:val="num" w:pos="2977"/>
        </w:tabs>
        <w:spacing w:after="0" w:line="240" w:lineRule="auto"/>
        <w:contextualSpacing w:val="0"/>
        <w:rPr>
          <w:rFonts w:ascii="Times New Roman" w:hAnsi="Times New Roman" w:cs="Times New Roman"/>
          <w:i/>
        </w:rPr>
      </w:pPr>
      <w:r w:rsidRPr="00505CB9">
        <w:rPr>
          <w:rFonts w:ascii="Times New Roman" w:hAnsi="Times New Roman" w:cs="Times New Roman"/>
          <w:b/>
        </w:rPr>
        <w:t>Of the 56 defence lawyers who responded to the Mission’s questionnaire, 57 per cent said they had received some form of threats or harassment against themselves or their families</w:t>
      </w:r>
      <w:r w:rsidRPr="00505CB9">
        <w:rPr>
          <w:rFonts w:ascii="Times New Roman" w:hAnsi="Times New Roman" w:cs="Times New Roman"/>
        </w:rPr>
        <w:t>, including from military, police or intelligence officials. Such harassment included surveillance, aggressive pursuit in vehicles, receiving intimidating phone calls or being blocked from entering tribunals</w:t>
      </w:r>
      <w:r w:rsidR="00E95A0B">
        <w:rPr>
          <w:rFonts w:ascii="Times New Roman" w:hAnsi="Times New Roman" w:cs="Times New Roman"/>
        </w:rPr>
        <w:t xml:space="preserve"> (</w:t>
      </w:r>
      <w:r w:rsidR="00FE3B9D">
        <w:rPr>
          <w:rFonts w:ascii="Times New Roman" w:eastAsia="Times New Roman" w:hAnsi="Times New Roman" w:cs="Times New Roman"/>
          <w:color w:val="000000"/>
          <w:lang w:eastAsia="en-GB"/>
        </w:rPr>
        <w:t>A/HRC/48/CRP.5</w:t>
      </w:r>
      <w:r w:rsidR="00634F36">
        <w:rPr>
          <w:rFonts w:ascii="Times New Roman" w:eastAsia="Times New Roman" w:hAnsi="Times New Roman" w:cs="Times New Roman"/>
          <w:color w:val="000000"/>
          <w:lang w:eastAsia="en-GB"/>
        </w:rPr>
        <w:t>, para. 31</w:t>
      </w:r>
      <w:r w:rsidR="00300246">
        <w:rPr>
          <w:rFonts w:ascii="Times New Roman" w:eastAsia="Times New Roman" w:hAnsi="Times New Roman" w:cs="Times New Roman"/>
          <w:color w:val="000000"/>
          <w:lang w:eastAsia="en-GB"/>
        </w:rPr>
        <w:t>3</w:t>
      </w:r>
      <w:r w:rsidR="00E95A0B">
        <w:rPr>
          <w:rFonts w:ascii="Times New Roman" w:eastAsia="Times New Roman" w:hAnsi="Times New Roman" w:cs="Times New Roman"/>
          <w:color w:val="000000"/>
          <w:lang w:eastAsia="en-GB"/>
        </w:rPr>
        <w:t>)</w:t>
      </w:r>
      <w:r w:rsidR="00E95A0B" w:rsidRPr="00505CB9">
        <w:rPr>
          <w:rFonts w:ascii="Times New Roman" w:hAnsi="Times New Roman" w:cs="Times New Roman"/>
        </w:rPr>
        <w:t>.</w:t>
      </w:r>
      <w:r w:rsidRPr="00505CB9">
        <w:rPr>
          <w:rFonts w:ascii="Times New Roman" w:hAnsi="Times New Roman" w:cs="Times New Roman"/>
        </w:rPr>
        <w:t xml:space="preserve"> </w:t>
      </w:r>
    </w:p>
    <w:p w14:paraId="777646A1" w14:textId="77777777" w:rsidR="00056BCC" w:rsidRPr="00505CB9" w:rsidRDefault="00056BCC" w:rsidP="00811914">
      <w:pPr>
        <w:pStyle w:val="ListParagraph"/>
        <w:spacing w:after="0" w:line="240" w:lineRule="auto"/>
        <w:rPr>
          <w:rFonts w:ascii="Times New Roman" w:hAnsi="Times New Roman" w:cs="Times New Roman"/>
        </w:rPr>
      </w:pPr>
    </w:p>
    <w:p w14:paraId="2C47E957" w14:textId="51EA37AF" w:rsidR="00794219" w:rsidRPr="00505CB9" w:rsidRDefault="007F4369" w:rsidP="00794219">
      <w:pPr>
        <w:rPr>
          <w:rFonts w:ascii="Times New Roman" w:hAnsi="Times New Roman" w:cs="Times New Roman"/>
          <w:b/>
          <w:i/>
          <w:u w:val="single"/>
          <w:lang w:val="en-US"/>
        </w:rPr>
      </w:pPr>
      <w:r>
        <w:rPr>
          <w:rFonts w:ascii="Times New Roman" w:hAnsi="Times New Roman" w:cs="Times New Roman"/>
          <w:b/>
          <w:i/>
          <w:u w:val="single"/>
          <w:lang w:val="en-US"/>
        </w:rPr>
        <w:t>I</w:t>
      </w:r>
      <w:r w:rsidR="00794219" w:rsidRPr="00505CB9">
        <w:rPr>
          <w:rFonts w:ascii="Times New Roman" w:hAnsi="Times New Roman" w:cs="Times New Roman"/>
          <w:b/>
          <w:i/>
          <w:u w:val="single"/>
          <w:lang w:val="en-US"/>
        </w:rPr>
        <w:t>nterference with the judiciary</w:t>
      </w:r>
    </w:p>
    <w:p w14:paraId="38B010AF" w14:textId="518E6D40" w:rsidR="00B41ED4" w:rsidRPr="00B41ED4" w:rsidRDefault="00C70469" w:rsidP="00C70469">
      <w:pPr>
        <w:pStyle w:val="ListParagraph"/>
        <w:numPr>
          <w:ilvl w:val="0"/>
          <w:numId w:val="1"/>
        </w:numPr>
        <w:rPr>
          <w:rFonts w:ascii="Times New Roman" w:hAnsi="Times New Roman" w:cs="Times New Roman"/>
          <w:lang w:val="en-US"/>
        </w:rPr>
      </w:pPr>
      <w:r w:rsidRPr="00505CB9">
        <w:rPr>
          <w:rFonts w:ascii="Times New Roman" w:hAnsi="Times New Roman" w:cs="Times New Roman"/>
        </w:rPr>
        <w:t xml:space="preserve">Since Venezuela’s 1999 Constitution, </w:t>
      </w:r>
      <w:r w:rsidRPr="00505CB9">
        <w:rPr>
          <w:rFonts w:ascii="Times New Roman" w:hAnsi="Times New Roman" w:cs="Times New Roman"/>
          <w:b/>
        </w:rPr>
        <w:t xml:space="preserve">at least a dozen new laws and </w:t>
      </w:r>
      <w:r w:rsidR="003F759F">
        <w:rPr>
          <w:rFonts w:ascii="Times New Roman" w:hAnsi="Times New Roman" w:cs="Times New Roman"/>
          <w:b/>
        </w:rPr>
        <w:t>resolutions</w:t>
      </w:r>
      <w:r w:rsidRPr="00505CB9">
        <w:rPr>
          <w:rFonts w:ascii="Times New Roman" w:hAnsi="Times New Roman" w:cs="Times New Roman"/>
          <w:b/>
        </w:rPr>
        <w:t xml:space="preserve"> have </w:t>
      </w:r>
      <w:r w:rsidR="006319ED">
        <w:rPr>
          <w:rFonts w:ascii="Times New Roman" w:hAnsi="Times New Roman" w:cs="Times New Roman"/>
          <w:b/>
        </w:rPr>
        <w:t>impacted</w:t>
      </w:r>
      <w:r w:rsidRPr="00505CB9">
        <w:rPr>
          <w:rFonts w:ascii="Times New Roman" w:hAnsi="Times New Roman" w:cs="Times New Roman"/>
          <w:b/>
        </w:rPr>
        <w:t xml:space="preserve"> the justice system</w:t>
      </w:r>
      <w:r w:rsidR="00350CF2">
        <w:rPr>
          <w:rFonts w:ascii="Times New Roman" w:hAnsi="Times New Roman" w:cs="Times New Roman"/>
          <w:b/>
        </w:rPr>
        <w:t xml:space="preserve"> </w:t>
      </w:r>
      <w:r w:rsidR="00350CF2">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350CF2">
        <w:rPr>
          <w:rFonts w:ascii="Times New Roman" w:eastAsia="Times New Roman" w:hAnsi="Times New Roman" w:cs="Times New Roman"/>
          <w:color w:val="000000"/>
          <w:lang w:eastAsia="en-GB"/>
        </w:rPr>
        <w:t>, Table 1, pp. 1</w:t>
      </w:r>
      <w:r w:rsidR="00634F36">
        <w:rPr>
          <w:rFonts w:ascii="Times New Roman" w:eastAsia="Times New Roman" w:hAnsi="Times New Roman" w:cs="Times New Roman"/>
          <w:color w:val="000000"/>
          <w:lang w:eastAsia="en-GB"/>
        </w:rPr>
        <w:t>3-21</w:t>
      </w:r>
      <w:r w:rsidR="00350CF2">
        <w:rPr>
          <w:rFonts w:ascii="Times New Roman" w:eastAsia="Times New Roman" w:hAnsi="Times New Roman" w:cs="Times New Roman"/>
          <w:color w:val="000000"/>
          <w:lang w:eastAsia="en-GB"/>
        </w:rPr>
        <w:t>)</w:t>
      </w:r>
      <w:r w:rsidRPr="00505CB9">
        <w:rPr>
          <w:rFonts w:ascii="Times New Roman" w:hAnsi="Times New Roman" w:cs="Times New Roman"/>
        </w:rPr>
        <w:t>.</w:t>
      </w:r>
    </w:p>
    <w:p w14:paraId="68C54129" w14:textId="77777777" w:rsidR="00B41ED4" w:rsidRDefault="00B41ED4" w:rsidP="00B41ED4">
      <w:pPr>
        <w:pStyle w:val="ListParagraph"/>
        <w:rPr>
          <w:rFonts w:ascii="Times New Roman" w:hAnsi="Times New Roman" w:cs="Times New Roman"/>
          <w:lang w:val="en-US"/>
        </w:rPr>
      </w:pPr>
    </w:p>
    <w:p w14:paraId="339A0E72" w14:textId="38F3B407" w:rsidR="00C70469" w:rsidRPr="00B41ED4" w:rsidRDefault="00B41ED4" w:rsidP="00350CF2">
      <w:pPr>
        <w:pStyle w:val="ListParagraph"/>
        <w:numPr>
          <w:ilvl w:val="0"/>
          <w:numId w:val="1"/>
        </w:numPr>
        <w:rPr>
          <w:rFonts w:ascii="Times New Roman" w:hAnsi="Times New Roman" w:cs="Times New Roman"/>
          <w:lang w:val="en-US"/>
        </w:rPr>
      </w:pPr>
      <w:r w:rsidRPr="00505CB9">
        <w:rPr>
          <w:rFonts w:ascii="Times New Roman" w:hAnsi="Times New Roman" w:cs="Times New Roman"/>
          <w:lang w:val="en-US"/>
        </w:rPr>
        <w:lastRenderedPageBreak/>
        <w:t>Following the change of Chief Prosecutor in August 2017</w:t>
      </w:r>
      <w:r w:rsidRPr="00505CB9">
        <w:rPr>
          <w:rFonts w:ascii="Times New Roman" w:hAnsi="Times New Roman" w:cs="Times New Roman"/>
          <w:b/>
          <w:lang w:val="en-US"/>
        </w:rPr>
        <w:t>, 196 public prosecutors throughout the country were summarily dismissed</w:t>
      </w:r>
      <w:r w:rsidR="00350CF2">
        <w:rPr>
          <w:rFonts w:ascii="Times New Roman" w:hAnsi="Times New Roman" w:cs="Times New Roman"/>
          <w:b/>
          <w:lang w:val="en-US"/>
        </w:rPr>
        <w:t xml:space="preserve">, </w:t>
      </w:r>
      <w:r w:rsidR="00350CF2" w:rsidRPr="00350CF2">
        <w:rPr>
          <w:rFonts w:ascii="Times New Roman" w:hAnsi="Times New Roman" w:cs="Times New Roman"/>
          <w:lang w:val="en-US"/>
        </w:rPr>
        <w:t>many of whom had publicly demonstrated criticism over the actions of the government in the lead up to this dismissal</w:t>
      </w:r>
      <w:r w:rsidR="00350CF2">
        <w:rPr>
          <w:rFonts w:ascii="Times New Roman" w:hAnsi="Times New Roman" w:cs="Times New Roman"/>
          <w:lang w:val="en-US"/>
        </w:rPr>
        <w:t xml:space="preserve"> </w:t>
      </w:r>
      <w:r w:rsidR="00350CF2">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E41D65">
        <w:rPr>
          <w:rFonts w:ascii="Times New Roman" w:eastAsia="Times New Roman" w:hAnsi="Times New Roman" w:cs="Times New Roman"/>
          <w:color w:val="000000"/>
          <w:lang w:eastAsia="en-GB"/>
        </w:rPr>
        <w:t>, para. 127</w:t>
      </w:r>
      <w:r w:rsidR="00350CF2">
        <w:rPr>
          <w:rFonts w:ascii="Times New Roman" w:eastAsia="Times New Roman" w:hAnsi="Times New Roman" w:cs="Times New Roman"/>
          <w:color w:val="000000"/>
          <w:lang w:eastAsia="en-GB"/>
        </w:rPr>
        <w:t>)</w:t>
      </w:r>
      <w:r w:rsidRPr="00505CB9">
        <w:rPr>
          <w:rFonts w:ascii="Times New Roman" w:hAnsi="Times New Roman" w:cs="Times New Roman"/>
          <w:lang w:val="en-US"/>
        </w:rPr>
        <w:t xml:space="preserve">. </w:t>
      </w:r>
      <w:r>
        <w:rPr>
          <w:rFonts w:ascii="Times New Roman" w:hAnsi="Times New Roman" w:cs="Times New Roman"/>
          <w:lang w:val="en-US"/>
        </w:rPr>
        <w:br/>
      </w:r>
    </w:p>
    <w:p w14:paraId="37DEA0CF" w14:textId="7D0B1013" w:rsidR="00BE02BD" w:rsidRPr="00505CB9" w:rsidRDefault="00BE02BD" w:rsidP="00BE02BD">
      <w:pPr>
        <w:pStyle w:val="ListParagraph"/>
        <w:numPr>
          <w:ilvl w:val="0"/>
          <w:numId w:val="1"/>
        </w:numPr>
        <w:rPr>
          <w:rFonts w:ascii="Times New Roman" w:hAnsi="Times New Roman" w:cs="Times New Roman"/>
          <w:lang w:val="en-US"/>
        </w:rPr>
      </w:pPr>
      <w:r w:rsidRPr="00505CB9">
        <w:rPr>
          <w:rFonts w:ascii="Times New Roman" w:hAnsi="Times New Roman" w:cs="Times New Roman"/>
        </w:rPr>
        <w:t xml:space="preserve">Out of 183 detentions analysed, </w:t>
      </w:r>
      <w:r w:rsidRPr="00505CB9">
        <w:rPr>
          <w:rFonts w:ascii="Times New Roman" w:hAnsi="Times New Roman" w:cs="Times New Roman"/>
          <w:b/>
        </w:rPr>
        <w:t>the Mission documented 102 instances in which, prior to or within hours or days of a detention carried out by security or intelligence forces, high-level public officials made public statements about the case</w:t>
      </w:r>
      <w:r w:rsidR="00350CF2">
        <w:rPr>
          <w:rFonts w:ascii="Times New Roman" w:hAnsi="Times New Roman" w:cs="Times New Roman"/>
          <w:b/>
        </w:rPr>
        <w:t xml:space="preserve"> </w:t>
      </w:r>
      <w:r w:rsidR="00350CF2">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62048E">
        <w:rPr>
          <w:rFonts w:ascii="Times New Roman" w:eastAsia="Times New Roman" w:hAnsi="Times New Roman" w:cs="Times New Roman"/>
          <w:color w:val="000000"/>
          <w:lang w:eastAsia="en-GB"/>
        </w:rPr>
        <w:t>, para. 173</w:t>
      </w:r>
      <w:r w:rsidR="00350CF2">
        <w:rPr>
          <w:rFonts w:ascii="Times New Roman" w:eastAsia="Times New Roman" w:hAnsi="Times New Roman" w:cs="Times New Roman"/>
          <w:color w:val="000000"/>
          <w:lang w:eastAsia="en-GB"/>
        </w:rPr>
        <w:t>)</w:t>
      </w:r>
      <w:r w:rsidRPr="00505CB9">
        <w:rPr>
          <w:rFonts w:ascii="Times New Roman" w:hAnsi="Times New Roman" w:cs="Times New Roman"/>
        </w:rPr>
        <w:t>.</w:t>
      </w:r>
    </w:p>
    <w:p w14:paraId="44D8F0A0" w14:textId="77777777" w:rsidR="00CA5958" w:rsidRPr="00505CB9" w:rsidRDefault="00CA5958" w:rsidP="00CA5958">
      <w:pPr>
        <w:pStyle w:val="ListParagraph"/>
        <w:rPr>
          <w:rFonts w:ascii="Times New Roman" w:hAnsi="Times New Roman" w:cs="Times New Roman"/>
          <w:lang w:val="en-US"/>
        </w:rPr>
      </w:pPr>
    </w:p>
    <w:p w14:paraId="39BFABDB" w14:textId="6EFC4DFD" w:rsidR="00CA5958" w:rsidRPr="00505CB9" w:rsidRDefault="00CA5958" w:rsidP="00CA5958">
      <w:pPr>
        <w:pStyle w:val="ListParagraph"/>
        <w:numPr>
          <w:ilvl w:val="0"/>
          <w:numId w:val="1"/>
        </w:numPr>
        <w:rPr>
          <w:rFonts w:ascii="Times New Roman" w:hAnsi="Times New Roman" w:cs="Times New Roman"/>
          <w:lang w:val="en-US"/>
        </w:rPr>
      </w:pPr>
      <w:r w:rsidRPr="00505CB9">
        <w:rPr>
          <w:rFonts w:ascii="Times New Roman" w:hAnsi="Times New Roman" w:cs="Times New Roman"/>
        </w:rPr>
        <w:t xml:space="preserve">Insider sources reported that </w:t>
      </w:r>
      <w:r w:rsidRPr="00505CB9">
        <w:rPr>
          <w:rFonts w:ascii="Times New Roman" w:hAnsi="Times New Roman" w:cs="Times New Roman"/>
          <w:b/>
        </w:rPr>
        <w:t>Supreme Tribunal justices routinely receive orders on how to decide judgements, at times directly from senior government figures</w:t>
      </w:r>
      <w:r w:rsidR="00D45294">
        <w:rPr>
          <w:rFonts w:ascii="Times New Roman" w:hAnsi="Times New Roman" w:cs="Times New Roman"/>
          <w:b/>
        </w:rPr>
        <w:t xml:space="preserve"> </w:t>
      </w:r>
      <w:r w:rsidR="00D45294">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2E6627">
        <w:rPr>
          <w:rFonts w:ascii="Times New Roman" w:eastAsia="Times New Roman" w:hAnsi="Times New Roman" w:cs="Times New Roman"/>
          <w:color w:val="000000"/>
          <w:lang w:eastAsia="en-GB"/>
        </w:rPr>
        <w:t>, para. 132</w:t>
      </w:r>
      <w:r w:rsidR="00D45294">
        <w:rPr>
          <w:rFonts w:ascii="Times New Roman" w:eastAsia="Times New Roman" w:hAnsi="Times New Roman" w:cs="Times New Roman"/>
          <w:color w:val="000000"/>
          <w:lang w:eastAsia="en-GB"/>
        </w:rPr>
        <w:t>)</w:t>
      </w:r>
      <w:r w:rsidRPr="00505CB9">
        <w:rPr>
          <w:rFonts w:ascii="Times New Roman" w:hAnsi="Times New Roman" w:cs="Times New Roman"/>
        </w:rPr>
        <w:t xml:space="preserve">. </w:t>
      </w:r>
    </w:p>
    <w:p w14:paraId="7F3DC8EB" w14:textId="77777777" w:rsidR="006319A4" w:rsidRPr="00505CB9" w:rsidRDefault="006319A4" w:rsidP="006319A4">
      <w:pPr>
        <w:pStyle w:val="ListParagraph"/>
        <w:rPr>
          <w:rFonts w:ascii="Times New Roman" w:hAnsi="Times New Roman" w:cs="Times New Roman"/>
          <w:lang w:val="en-US"/>
        </w:rPr>
      </w:pPr>
    </w:p>
    <w:p w14:paraId="095E3C59" w14:textId="36459D77" w:rsidR="006319A4" w:rsidRPr="00505CB9" w:rsidRDefault="006319A4" w:rsidP="00CA5958">
      <w:pPr>
        <w:pStyle w:val="ListParagraph"/>
        <w:numPr>
          <w:ilvl w:val="0"/>
          <w:numId w:val="1"/>
        </w:numPr>
        <w:rPr>
          <w:rFonts w:ascii="Times New Roman" w:hAnsi="Times New Roman" w:cs="Times New Roman"/>
          <w:b/>
          <w:lang w:val="en-US"/>
        </w:rPr>
      </w:pPr>
      <w:r w:rsidRPr="00505CB9">
        <w:rPr>
          <w:rFonts w:ascii="Times New Roman" w:hAnsi="Times New Roman" w:cs="Times New Roman"/>
          <w:b/>
        </w:rPr>
        <w:t>One hundred per cent of respondents to the Mission’s questionnaire said that the process of appointment of judges in Venezuela has not been in accordance with the law</w:t>
      </w:r>
      <w:r w:rsidR="00D45294">
        <w:rPr>
          <w:rFonts w:ascii="Times New Roman" w:hAnsi="Times New Roman" w:cs="Times New Roman"/>
          <w:b/>
        </w:rPr>
        <w:t xml:space="preserve"> </w:t>
      </w:r>
      <w:r w:rsidR="00D45294">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2E6627">
        <w:rPr>
          <w:rFonts w:ascii="Times New Roman" w:eastAsia="Times New Roman" w:hAnsi="Times New Roman" w:cs="Times New Roman"/>
          <w:color w:val="000000"/>
          <w:lang w:eastAsia="en-GB"/>
        </w:rPr>
        <w:t>, para. 100</w:t>
      </w:r>
      <w:r w:rsidR="00D45294">
        <w:rPr>
          <w:rFonts w:ascii="Times New Roman" w:eastAsia="Times New Roman" w:hAnsi="Times New Roman" w:cs="Times New Roman"/>
          <w:color w:val="000000"/>
          <w:lang w:eastAsia="en-GB"/>
        </w:rPr>
        <w:t>)</w:t>
      </w:r>
      <w:r w:rsidRPr="00D45294">
        <w:rPr>
          <w:rFonts w:ascii="Times New Roman" w:hAnsi="Times New Roman" w:cs="Times New Roman"/>
        </w:rPr>
        <w:t>.</w:t>
      </w:r>
    </w:p>
    <w:p w14:paraId="5AA6462A" w14:textId="77777777" w:rsidR="00BE02BD" w:rsidRPr="00505CB9" w:rsidRDefault="00BE02BD" w:rsidP="00BE02BD">
      <w:pPr>
        <w:pStyle w:val="ListParagraph"/>
        <w:rPr>
          <w:rFonts w:ascii="Times New Roman" w:hAnsi="Times New Roman" w:cs="Times New Roman"/>
          <w:lang w:val="en-US"/>
        </w:rPr>
      </w:pPr>
    </w:p>
    <w:p w14:paraId="0BD2DDF7" w14:textId="2FECDBFD" w:rsidR="00C70469" w:rsidRPr="00505CB9" w:rsidRDefault="00F525E0" w:rsidP="00C70469">
      <w:pPr>
        <w:pStyle w:val="ListParagraph"/>
        <w:numPr>
          <w:ilvl w:val="0"/>
          <w:numId w:val="1"/>
        </w:numPr>
        <w:rPr>
          <w:rFonts w:ascii="Times New Roman" w:hAnsi="Times New Roman" w:cs="Times New Roman"/>
          <w:lang w:val="en-US"/>
        </w:rPr>
      </w:pPr>
      <w:r w:rsidRPr="00505CB9">
        <w:rPr>
          <w:rFonts w:ascii="Times New Roman" w:hAnsi="Times New Roman" w:cs="Times New Roman"/>
          <w:b/>
        </w:rPr>
        <w:t>Nearly half of the</w:t>
      </w:r>
      <w:r w:rsidR="00C70469" w:rsidRPr="00505CB9">
        <w:rPr>
          <w:rFonts w:ascii="Times New Roman" w:hAnsi="Times New Roman" w:cs="Times New Roman"/>
          <w:b/>
        </w:rPr>
        <w:t xml:space="preserve"> 86</w:t>
      </w:r>
      <w:r w:rsidR="002E6627">
        <w:rPr>
          <w:rFonts w:ascii="Times New Roman" w:hAnsi="Times New Roman" w:cs="Times New Roman"/>
          <w:b/>
        </w:rPr>
        <w:t xml:space="preserve"> former</w:t>
      </w:r>
      <w:r w:rsidR="00C70469" w:rsidRPr="00505CB9">
        <w:rPr>
          <w:rFonts w:ascii="Times New Roman" w:hAnsi="Times New Roman" w:cs="Times New Roman"/>
          <w:b/>
        </w:rPr>
        <w:t xml:space="preserve"> judges </w:t>
      </w:r>
      <w:r w:rsidRPr="00505CB9">
        <w:rPr>
          <w:rFonts w:ascii="Times New Roman" w:hAnsi="Times New Roman" w:cs="Times New Roman"/>
          <w:b/>
        </w:rPr>
        <w:t xml:space="preserve">and prosecutors surveyed by the Mission, </w:t>
      </w:r>
      <w:r w:rsidR="00EB5CB0">
        <w:rPr>
          <w:rFonts w:ascii="Times New Roman" w:hAnsi="Times New Roman" w:cs="Times New Roman"/>
          <w:b/>
        </w:rPr>
        <w:t>along with</w:t>
      </w:r>
      <w:r w:rsidRPr="00505CB9">
        <w:rPr>
          <w:rFonts w:ascii="Times New Roman" w:hAnsi="Times New Roman" w:cs="Times New Roman"/>
          <w:b/>
        </w:rPr>
        <w:t xml:space="preserve"> many of their family members, have had to leave Venezuela fearing for their safety</w:t>
      </w:r>
      <w:r w:rsidR="00D45294">
        <w:rPr>
          <w:rFonts w:ascii="Times New Roman" w:hAnsi="Times New Roman" w:cs="Times New Roman"/>
          <w:b/>
        </w:rPr>
        <w:t xml:space="preserve"> </w:t>
      </w:r>
      <w:r w:rsidR="00D45294">
        <w:rPr>
          <w:rFonts w:ascii="Times New Roman" w:hAnsi="Times New Roman" w:cs="Times New Roman"/>
        </w:rPr>
        <w:t>(</w:t>
      </w:r>
      <w:r w:rsidR="00FE3B9D">
        <w:rPr>
          <w:rFonts w:ascii="Times New Roman" w:eastAsia="Times New Roman" w:hAnsi="Times New Roman" w:cs="Times New Roman"/>
          <w:color w:val="000000"/>
          <w:lang w:eastAsia="en-GB"/>
        </w:rPr>
        <w:t>A/HRC/48/CRP.5</w:t>
      </w:r>
      <w:r w:rsidR="00D45294">
        <w:rPr>
          <w:rFonts w:ascii="Times New Roman" w:eastAsia="Times New Roman" w:hAnsi="Times New Roman" w:cs="Times New Roman"/>
          <w:color w:val="000000"/>
          <w:lang w:eastAsia="en-GB"/>
        </w:rPr>
        <w:t xml:space="preserve">, para. </w:t>
      </w:r>
      <w:r w:rsidR="009869B9">
        <w:rPr>
          <w:rFonts w:ascii="Times New Roman" w:eastAsia="Times New Roman" w:hAnsi="Times New Roman" w:cs="Times New Roman"/>
          <w:color w:val="000000"/>
          <w:lang w:eastAsia="en-GB"/>
        </w:rPr>
        <w:t>161</w:t>
      </w:r>
      <w:r w:rsidR="00D45294">
        <w:rPr>
          <w:rFonts w:ascii="Times New Roman" w:eastAsia="Times New Roman" w:hAnsi="Times New Roman" w:cs="Times New Roman"/>
          <w:color w:val="000000"/>
          <w:lang w:eastAsia="en-GB"/>
        </w:rPr>
        <w:t>)</w:t>
      </w:r>
      <w:r w:rsidRPr="00505CB9">
        <w:rPr>
          <w:rFonts w:ascii="Times New Roman" w:hAnsi="Times New Roman" w:cs="Times New Roman"/>
        </w:rPr>
        <w:t>; many others declined to speak to the Mission out of fear of reprisals</w:t>
      </w:r>
      <w:r w:rsidR="00D45294">
        <w:rPr>
          <w:rFonts w:ascii="Times New Roman" w:hAnsi="Times New Roman" w:cs="Times New Roman"/>
        </w:rPr>
        <w:t xml:space="preserve"> (</w:t>
      </w:r>
      <w:r w:rsidR="00FE3B9D">
        <w:rPr>
          <w:rFonts w:ascii="Times New Roman" w:eastAsia="Times New Roman" w:hAnsi="Times New Roman" w:cs="Times New Roman"/>
          <w:color w:val="000000"/>
          <w:lang w:eastAsia="en-GB"/>
        </w:rPr>
        <w:t>A/HRC/48/CRP.5</w:t>
      </w:r>
      <w:r w:rsidR="002E6627">
        <w:rPr>
          <w:rFonts w:ascii="Times New Roman" w:eastAsia="Times New Roman" w:hAnsi="Times New Roman" w:cs="Times New Roman"/>
          <w:color w:val="000000"/>
          <w:lang w:eastAsia="en-GB"/>
        </w:rPr>
        <w:t xml:space="preserve">, para. </w:t>
      </w:r>
      <w:r w:rsidR="00300246">
        <w:rPr>
          <w:rFonts w:ascii="Times New Roman" w:eastAsia="Times New Roman" w:hAnsi="Times New Roman" w:cs="Times New Roman"/>
          <w:color w:val="000000"/>
          <w:lang w:eastAsia="en-GB"/>
        </w:rPr>
        <w:t>161</w:t>
      </w:r>
      <w:r w:rsidR="00D45294">
        <w:rPr>
          <w:rFonts w:ascii="Times New Roman" w:eastAsia="Times New Roman" w:hAnsi="Times New Roman" w:cs="Times New Roman"/>
          <w:color w:val="000000"/>
          <w:lang w:eastAsia="en-GB"/>
        </w:rPr>
        <w:t>)</w:t>
      </w:r>
      <w:r w:rsidRPr="00505CB9">
        <w:rPr>
          <w:rFonts w:ascii="Times New Roman" w:hAnsi="Times New Roman" w:cs="Times New Roman"/>
        </w:rPr>
        <w:t>.</w:t>
      </w:r>
      <w:r w:rsidRPr="00505CB9">
        <w:rPr>
          <w:rFonts w:ascii="Times New Roman" w:hAnsi="Times New Roman" w:cs="Times New Roman"/>
        </w:rPr>
        <w:br/>
      </w:r>
    </w:p>
    <w:p w14:paraId="3A7D0A4E" w14:textId="6E2F5ED3" w:rsidR="00F318C6" w:rsidRPr="00505CB9" w:rsidRDefault="00176ED6" w:rsidP="00F318C6">
      <w:pPr>
        <w:rPr>
          <w:rFonts w:ascii="Times New Roman" w:hAnsi="Times New Roman" w:cs="Times New Roman"/>
          <w:lang w:val="en-US"/>
        </w:rPr>
      </w:pPr>
      <w:r w:rsidRPr="00505CB9">
        <w:rPr>
          <w:rFonts w:ascii="Times New Roman" w:hAnsi="Times New Roman" w:cs="Times New Roman"/>
          <w:lang w:val="en-US"/>
        </w:rPr>
        <w:t>/ENDS</w:t>
      </w:r>
    </w:p>
    <w:sectPr w:rsidR="00F318C6" w:rsidRPr="00505C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7B3C6" w14:textId="77777777" w:rsidR="00213477" w:rsidRDefault="00213477" w:rsidP="00701306">
      <w:pPr>
        <w:spacing w:after="0" w:line="240" w:lineRule="auto"/>
      </w:pPr>
      <w:r>
        <w:separator/>
      </w:r>
    </w:p>
  </w:endnote>
  <w:endnote w:type="continuationSeparator" w:id="0">
    <w:p w14:paraId="2D7FBC17" w14:textId="77777777" w:rsidR="00213477" w:rsidRDefault="00213477" w:rsidP="0070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E23A6" w14:textId="77777777" w:rsidR="00213477" w:rsidRDefault="00213477" w:rsidP="00701306">
      <w:pPr>
        <w:spacing w:after="0" w:line="240" w:lineRule="auto"/>
      </w:pPr>
      <w:r>
        <w:separator/>
      </w:r>
    </w:p>
  </w:footnote>
  <w:footnote w:type="continuationSeparator" w:id="0">
    <w:p w14:paraId="6FE4191A" w14:textId="77777777" w:rsidR="00213477" w:rsidRDefault="00213477" w:rsidP="00701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00DDB"/>
    <w:multiLevelType w:val="hybridMultilevel"/>
    <w:tmpl w:val="DE527910"/>
    <w:lvl w:ilvl="0" w:tplc="DAC67458">
      <w:start w:val="1"/>
      <w:numFmt w:val="decimal"/>
      <w:lvlText w:val="%1."/>
      <w:lvlJc w:val="left"/>
      <w:pPr>
        <w:ind w:left="2345" w:hanging="360"/>
      </w:pPr>
      <w:rPr>
        <w:i w:val="0"/>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FC36E8"/>
    <w:multiLevelType w:val="hybridMultilevel"/>
    <w:tmpl w:val="051C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D25647"/>
    <w:multiLevelType w:val="hybridMultilevel"/>
    <w:tmpl w:val="74DA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D30243"/>
    <w:multiLevelType w:val="hybridMultilevel"/>
    <w:tmpl w:val="B568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C3095"/>
    <w:multiLevelType w:val="hybridMultilevel"/>
    <w:tmpl w:val="34FE511E"/>
    <w:lvl w:ilvl="0" w:tplc="52783060">
      <w:start w:val="1"/>
      <w:numFmt w:val="decimal"/>
      <w:lvlText w:val="%1."/>
      <w:lvlJc w:val="left"/>
      <w:pPr>
        <w:tabs>
          <w:tab w:val="num" w:pos="2126"/>
        </w:tabs>
        <w:ind w:left="1701" w:firstLine="0"/>
      </w:pPr>
      <w:rPr>
        <w:rFonts w:ascii="Times New Roman" w:hAnsi="Times New Roman" w:cs="Times New Roman" w:hint="default"/>
        <w:b w:val="0"/>
        <w:i w:val="0"/>
        <w:sz w:val="24"/>
        <w:szCs w:val="24"/>
        <w:lang w:val="en-G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yMzYwNDI0NTYwM7FU0lEKTi0uzszPAykwrAUAguMHOiwAAAA="/>
  </w:docVars>
  <w:rsids>
    <w:rsidRoot w:val="00F93DCD"/>
    <w:rsid w:val="0002089E"/>
    <w:rsid w:val="00056BCC"/>
    <w:rsid w:val="0006064E"/>
    <w:rsid w:val="000A02F1"/>
    <w:rsid w:val="000B1BA4"/>
    <w:rsid w:val="000C7E2D"/>
    <w:rsid w:val="000E02CE"/>
    <w:rsid w:val="000E04FD"/>
    <w:rsid w:val="000E6B27"/>
    <w:rsid w:val="00102591"/>
    <w:rsid w:val="0013225E"/>
    <w:rsid w:val="00133810"/>
    <w:rsid w:val="00136097"/>
    <w:rsid w:val="0014241A"/>
    <w:rsid w:val="00176ED6"/>
    <w:rsid w:val="00181C21"/>
    <w:rsid w:val="00187076"/>
    <w:rsid w:val="001A240B"/>
    <w:rsid w:val="001B750E"/>
    <w:rsid w:val="001C40B0"/>
    <w:rsid w:val="001D31FF"/>
    <w:rsid w:val="001D4A94"/>
    <w:rsid w:val="002125B4"/>
    <w:rsid w:val="00213477"/>
    <w:rsid w:val="00217311"/>
    <w:rsid w:val="002248E2"/>
    <w:rsid w:val="002265B9"/>
    <w:rsid w:val="002454F9"/>
    <w:rsid w:val="00251E81"/>
    <w:rsid w:val="0027094C"/>
    <w:rsid w:val="00280858"/>
    <w:rsid w:val="002911E1"/>
    <w:rsid w:val="002A7F2E"/>
    <w:rsid w:val="002B269B"/>
    <w:rsid w:val="002B683F"/>
    <w:rsid w:val="002E1512"/>
    <w:rsid w:val="002E6627"/>
    <w:rsid w:val="002F4F6C"/>
    <w:rsid w:val="00300246"/>
    <w:rsid w:val="00305F16"/>
    <w:rsid w:val="0031022A"/>
    <w:rsid w:val="00310A77"/>
    <w:rsid w:val="003242A8"/>
    <w:rsid w:val="0032675C"/>
    <w:rsid w:val="00345EFB"/>
    <w:rsid w:val="00350CF2"/>
    <w:rsid w:val="00380197"/>
    <w:rsid w:val="00392B63"/>
    <w:rsid w:val="003A22F6"/>
    <w:rsid w:val="003A4758"/>
    <w:rsid w:val="003A754C"/>
    <w:rsid w:val="003A7CAA"/>
    <w:rsid w:val="003C7969"/>
    <w:rsid w:val="003D1AF4"/>
    <w:rsid w:val="003D6087"/>
    <w:rsid w:val="003E29CD"/>
    <w:rsid w:val="003E7430"/>
    <w:rsid w:val="003E78EA"/>
    <w:rsid w:val="003F1FB9"/>
    <w:rsid w:val="003F2F69"/>
    <w:rsid w:val="003F451E"/>
    <w:rsid w:val="003F759F"/>
    <w:rsid w:val="004411AE"/>
    <w:rsid w:val="00476A67"/>
    <w:rsid w:val="00490BCB"/>
    <w:rsid w:val="004A6FA3"/>
    <w:rsid w:val="004B527A"/>
    <w:rsid w:val="004B77B9"/>
    <w:rsid w:val="004D0553"/>
    <w:rsid w:val="004D60AF"/>
    <w:rsid w:val="004F0047"/>
    <w:rsid w:val="00503137"/>
    <w:rsid w:val="00504363"/>
    <w:rsid w:val="00505CB9"/>
    <w:rsid w:val="00524F1D"/>
    <w:rsid w:val="0053096A"/>
    <w:rsid w:val="00546648"/>
    <w:rsid w:val="005628BC"/>
    <w:rsid w:val="00565AA5"/>
    <w:rsid w:val="00574E77"/>
    <w:rsid w:val="00577D47"/>
    <w:rsid w:val="00580328"/>
    <w:rsid w:val="005838CA"/>
    <w:rsid w:val="00594ECE"/>
    <w:rsid w:val="005C54E7"/>
    <w:rsid w:val="005D6D25"/>
    <w:rsid w:val="00613E2E"/>
    <w:rsid w:val="0062048E"/>
    <w:rsid w:val="006319A4"/>
    <w:rsid w:val="006319ED"/>
    <w:rsid w:val="00632225"/>
    <w:rsid w:val="00634F36"/>
    <w:rsid w:val="00650687"/>
    <w:rsid w:val="00661E13"/>
    <w:rsid w:val="00680E31"/>
    <w:rsid w:val="006B7FE1"/>
    <w:rsid w:val="006C3BE8"/>
    <w:rsid w:val="006E2440"/>
    <w:rsid w:val="006F7DD1"/>
    <w:rsid w:val="00701306"/>
    <w:rsid w:val="00705BAD"/>
    <w:rsid w:val="00731AEA"/>
    <w:rsid w:val="007563CB"/>
    <w:rsid w:val="00756E52"/>
    <w:rsid w:val="007656CD"/>
    <w:rsid w:val="00793679"/>
    <w:rsid w:val="00794219"/>
    <w:rsid w:val="007A4766"/>
    <w:rsid w:val="007B64BB"/>
    <w:rsid w:val="007D20A5"/>
    <w:rsid w:val="007D442C"/>
    <w:rsid w:val="007D5AB3"/>
    <w:rsid w:val="007F2EB6"/>
    <w:rsid w:val="007F4369"/>
    <w:rsid w:val="00800940"/>
    <w:rsid w:val="00811914"/>
    <w:rsid w:val="0082074C"/>
    <w:rsid w:val="008222EB"/>
    <w:rsid w:val="00826BC9"/>
    <w:rsid w:val="0085201F"/>
    <w:rsid w:val="00852023"/>
    <w:rsid w:val="00862D56"/>
    <w:rsid w:val="00874C5B"/>
    <w:rsid w:val="008A4682"/>
    <w:rsid w:val="008C295C"/>
    <w:rsid w:val="008D59D3"/>
    <w:rsid w:val="008D5D3C"/>
    <w:rsid w:val="009072C5"/>
    <w:rsid w:val="00937101"/>
    <w:rsid w:val="0094403C"/>
    <w:rsid w:val="00974F33"/>
    <w:rsid w:val="00975DC2"/>
    <w:rsid w:val="009869B9"/>
    <w:rsid w:val="009D1450"/>
    <w:rsid w:val="009E4C55"/>
    <w:rsid w:val="009E696E"/>
    <w:rsid w:val="009E6B75"/>
    <w:rsid w:val="009E73A6"/>
    <w:rsid w:val="00A1021F"/>
    <w:rsid w:val="00A26AAB"/>
    <w:rsid w:val="00A442CA"/>
    <w:rsid w:val="00A45CC7"/>
    <w:rsid w:val="00A613CF"/>
    <w:rsid w:val="00A677B6"/>
    <w:rsid w:val="00A67E4C"/>
    <w:rsid w:val="00A70CBB"/>
    <w:rsid w:val="00A77C7E"/>
    <w:rsid w:val="00A84DBB"/>
    <w:rsid w:val="00A855F0"/>
    <w:rsid w:val="00A930F7"/>
    <w:rsid w:val="00AA47D7"/>
    <w:rsid w:val="00AA78AB"/>
    <w:rsid w:val="00AE523F"/>
    <w:rsid w:val="00AF2764"/>
    <w:rsid w:val="00B074D7"/>
    <w:rsid w:val="00B21CE4"/>
    <w:rsid w:val="00B23F5A"/>
    <w:rsid w:val="00B345F9"/>
    <w:rsid w:val="00B35845"/>
    <w:rsid w:val="00B37B8D"/>
    <w:rsid w:val="00B41ED4"/>
    <w:rsid w:val="00B4540D"/>
    <w:rsid w:val="00B8328B"/>
    <w:rsid w:val="00B935F8"/>
    <w:rsid w:val="00B9493F"/>
    <w:rsid w:val="00BE02BD"/>
    <w:rsid w:val="00BF2337"/>
    <w:rsid w:val="00C0451D"/>
    <w:rsid w:val="00C04E9A"/>
    <w:rsid w:val="00C06701"/>
    <w:rsid w:val="00C549AC"/>
    <w:rsid w:val="00C70469"/>
    <w:rsid w:val="00C70C93"/>
    <w:rsid w:val="00C920A0"/>
    <w:rsid w:val="00CA5958"/>
    <w:rsid w:val="00CA7823"/>
    <w:rsid w:val="00CC3F78"/>
    <w:rsid w:val="00CD0672"/>
    <w:rsid w:val="00D03AF7"/>
    <w:rsid w:val="00D261F9"/>
    <w:rsid w:val="00D34C6A"/>
    <w:rsid w:val="00D411D4"/>
    <w:rsid w:val="00D45294"/>
    <w:rsid w:val="00D85468"/>
    <w:rsid w:val="00DA21DD"/>
    <w:rsid w:val="00DC1FC1"/>
    <w:rsid w:val="00DD7FBA"/>
    <w:rsid w:val="00DE55F6"/>
    <w:rsid w:val="00DF7620"/>
    <w:rsid w:val="00E05DBC"/>
    <w:rsid w:val="00E37C9B"/>
    <w:rsid w:val="00E41D65"/>
    <w:rsid w:val="00E4437E"/>
    <w:rsid w:val="00E47955"/>
    <w:rsid w:val="00E6589C"/>
    <w:rsid w:val="00E669D0"/>
    <w:rsid w:val="00E70AAB"/>
    <w:rsid w:val="00E86032"/>
    <w:rsid w:val="00E90A1B"/>
    <w:rsid w:val="00E95A0B"/>
    <w:rsid w:val="00EB12AB"/>
    <w:rsid w:val="00EB1FA5"/>
    <w:rsid w:val="00EB5CB0"/>
    <w:rsid w:val="00EB71B3"/>
    <w:rsid w:val="00EC34BD"/>
    <w:rsid w:val="00ED16AE"/>
    <w:rsid w:val="00ED3EBD"/>
    <w:rsid w:val="00EE293D"/>
    <w:rsid w:val="00EF6696"/>
    <w:rsid w:val="00F07917"/>
    <w:rsid w:val="00F12023"/>
    <w:rsid w:val="00F1534C"/>
    <w:rsid w:val="00F215F8"/>
    <w:rsid w:val="00F21F4B"/>
    <w:rsid w:val="00F31710"/>
    <w:rsid w:val="00F318C6"/>
    <w:rsid w:val="00F525E0"/>
    <w:rsid w:val="00F62714"/>
    <w:rsid w:val="00F64828"/>
    <w:rsid w:val="00F6626C"/>
    <w:rsid w:val="00F753C8"/>
    <w:rsid w:val="00F93DCD"/>
    <w:rsid w:val="00F96FC3"/>
    <w:rsid w:val="00FB22A9"/>
    <w:rsid w:val="00FB7124"/>
    <w:rsid w:val="00FC5E30"/>
    <w:rsid w:val="00FE3B9D"/>
    <w:rsid w:val="00FE7D88"/>
    <w:rsid w:val="00FF0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1F5F"/>
  <w15:chartTrackingRefBased/>
  <w15:docId w15:val="{607467A2-6B5F-4CF6-95F7-677F16EB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CD"/>
    <w:pPr>
      <w:ind w:left="720"/>
      <w:contextualSpacing/>
    </w:pPr>
  </w:style>
  <w:style w:type="character" w:styleId="CommentReference">
    <w:name w:val="annotation reference"/>
    <w:basedOn w:val="DefaultParagraphFont"/>
    <w:uiPriority w:val="99"/>
    <w:semiHidden/>
    <w:unhideWhenUsed/>
    <w:rsid w:val="00F93DCD"/>
    <w:rPr>
      <w:sz w:val="16"/>
      <w:szCs w:val="16"/>
    </w:rPr>
  </w:style>
  <w:style w:type="paragraph" w:styleId="CommentText">
    <w:name w:val="annotation text"/>
    <w:basedOn w:val="Normal"/>
    <w:link w:val="CommentTextChar"/>
    <w:uiPriority w:val="99"/>
    <w:unhideWhenUsed/>
    <w:rsid w:val="00F93DCD"/>
    <w:pPr>
      <w:spacing w:line="240" w:lineRule="auto"/>
    </w:pPr>
    <w:rPr>
      <w:sz w:val="20"/>
      <w:szCs w:val="20"/>
    </w:rPr>
  </w:style>
  <w:style w:type="character" w:customStyle="1" w:styleId="CommentTextChar">
    <w:name w:val="Comment Text Char"/>
    <w:basedOn w:val="DefaultParagraphFont"/>
    <w:link w:val="CommentText"/>
    <w:uiPriority w:val="99"/>
    <w:rsid w:val="00F93DCD"/>
    <w:rPr>
      <w:sz w:val="20"/>
      <w:szCs w:val="20"/>
    </w:rPr>
  </w:style>
  <w:style w:type="paragraph" w:styleId="BalloonText">
    <w:name w:val="Balloon Text"/>
    <w:basedOn w:val="Normal"/>
    <w:link w:val="BalloonTextChar"/>
    <w:uiPriority w:val="99"/>
    <w:semiHidden/>
    <w:unhideWhenUsed/>
    <w:rsid w:val="00F93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CD"/>
    <w:rPr>
      <w:rFonts w:ascii="Segoe UI" w:hAnsi="Segoe UI" w:cs="Segoe UI"/>
      <w:sz w:val="18"/>
      <w:szCs w:val="18"/>
    </w:rPr>
  </w:style>
  <w:style w:type="paragraph" w:styleId="FootnoteText">
    <w:name w:val="footnote text"/>
    <w:aliases w:val="5_G,Voetnoottekst1,Char1,FA Fu1,Footnote Text Char Char Char1,Footnote Text Char Char Char Char1,Footnote Text Char Char1,Footnote Text Char Char Char Char Char1,5_GR,Fodnotetekst Tegn1,Fodnotetekst Tegn Tegn,Char,Footnote reference,FA Fu"/>
    <w:basedOn w:val="Normal"/>
    <w:link w:val="FootnoteTextChar"/>
    <w:unhideWhenUsed/>
    <w:qFormat/>
    <w:rsid w:val="00701306"/>
    <w:pPr>
      <w:spacing w:after="0" w:line="240" w:lineRule="auto"/>
    </w:pPr>
    <w:rPr>
      <w:sz w:val="20"/>
      <w:szCs w:val="20"/>
    </w:rPr>
  </w:style>
  <w:style w:type="character" w:customStyle="1" w:styleId="FootnoteTextChar">
    <w:name w:val="Footnote Text Char"/>
    <w:aliases w:val="5_G Char,Voetnoottekst1 Char,Char1 Char,FA Fu1 Char,Footnote Text Char Char Char1 Char,Footnote Text Char Char Char Char1 Char,Footnote Text Char Char1 Char,Footnote Text Char Char Char Char Char1 Char,5_GR Char,Char Char,FA Fu Char"/>
    <w:basedOn w:val="DefaultParagraphFont"/>
    <w:link w:val="FootnoteText"/>
    <w:qFormat/>
    <w:rsid w:val="00701306"/>
    <w:rPr>
      <w:sz w:val="20"/>
      <w:szCs w:val="20"/>
    </w:rPr>
  </w:style>
  <w:style w:type="character" w:styleId="FootnoteReference">
    <w:name w:val="footnote reference"/>
    <w:aliases w:val="4_G,4_G Char Char,Footnote number,Footnotes refss,Footnote Ref,16 Point,Superscript 6 Point,ftref,Footnote Refernece,Appel note de bas de p.,[0],Texto de nota al pie,referencia nota al pie,Footnote text,callout,Ref,de nota al pie,f"/>
    <w:basedOn w:val="DefaultParagraphFont"/>
    <w:link w:val="BVIfnrCarCar"/>
    <w:uiPriority w:val="99"/>
    <w:unhideWhenUsed/>
    <w:qFormat/>
    <w:rsid w:val="00701306"/>
    <w:rPr>
      <w:vertAlign w:val="superscript"/>
    </w:rPr>
  </w:style>
  <w:style w:type="paragraph" w:customStyle="1" w:styleId="BVIfnrCarCar">
    <w:name w:val="BVI fnr Car Car"/>
    <w:aliases w:val="BVI fnr Car,BVI fnr Car Car Car Car,BVI fnr"/>
    <w:basedOn w:val="Normal"/>
    <w:link w:val="FootnoteReference"/>
    <w:uiPriority w:val="99"/>
    <w:rsid w:val="00701306"/>
    <w:pPr>
      <w:spacing w:line="240" w:lineRule="exact"/>
    </w:pPr>
    <w:rPr>
      <w:vertAlign w:val="superscript"/>
    </w:rPr>
  </w:style>
  <w:style w:type="character" w:styleId="Hyperlink">
    <w:name w:val="Hyperlink"/>
    <w:basedOn w:val="DefaultParagraphFont"/>
    <w:uiPriority w:val="99"/>
    <w:unhideWhenUsed/>
    <w:rsid w:val="0070130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C34BD"/>
    <w:rPr>
      <w:b/>
      <w:bCs/>
    </w:rPr>
  </w:style>
  <w:style w:type="character" w:customStyle="1" w:styleId="CommentSubjectChar">
    <w:name w:val="Comment Subject Char"/>
    <w:basedOn w:val="CommentTextChar"/>
    <w:link w:val="CommentSubject"/>
    <w:uiPriority w:val="99"/>
    <w:semiHidden/>
    <w:rsid w:val="00EC34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64006">
      <w:bodyDiv w:val="1"/>
      <w:marLeft w:val="0"/>
      <w:marRight w:val="0"/>
      <w:marTop w:val="0"/>
      <w:marBottom w:val="0"/>
      <w:divBdr>
        <w:top w:val="none" w:sz="0" w:space="0" w:color="auto"/>
        <w:left w:val="none" w:sz="0" w:space="0" w:color="auto"/>
        <w:bottom w:val="none" w:sz="0" w:space="0" w:color="auto"/>
        <w:right w:val="none" w:sz="0" w:space="0" w:color="auto"/>
      </w:divBdr>
      <w:divsChild>
        <w:div w:id="755975835">
          <w:marLeft w:val="0"/>
          <w:marRight w:val="0"/>
          <w:marTop w:val="0"/>
          <w:marBottom w:val="0"/>
          <w:divBdr>
            <w:top w:val="none" w:sz="0" w:space="0" w:color="auto"/>
            <w:left w:val="none" w:sz="0" w:space="0" w:color="auto"/>
            <w:bottom w:val="none" w:sz="0" w:space="0" w:color="auto"/>
            <w:right w:val="none" w:sz="0" w:space="0" w:color="auto"/>
          </w:divBdr>
        </w:div>
        <w:div w:id="1041783703">
          <w:marLeft w:val="0"/>
          <w:marRight w:val="0"/>
          <w:marTop w:val="0"/>
          <w:marBottom w:val="0"/>
          <w:divBdr>
            <w:top w:val="none" w:sz="0" w:space="0" w:color="auto"/>
            <w:left w:val="none" w:sz="0" w:space="0" w:color="auto"/>
            <w:bottom w:val="none" w:sz="0" w:space="0" w:color="auto"/>
            <w:right w:val="none" w:sz="0" w:space="0" w:color="auto"/>
          </w:divBdr>
        </w:div>
        <w:div w:id="1084839426">
          <w:marLeft w:val="0"/>
          <w:marRight w:val="0"/>
          <w:marTop w:val="0"/>
          <w:marBottom w:val="0"/>
          <w:divBdr>
            <w:top w:val="none" w:sz="0" w:space="0" w:color="auto"/>
            <w:left w:val="none" w:sz="0" w:space="0" w:color="auto"/>
            <w:bottom w:val="none" w:sz="0" w:space="0" w:color="auto"/>
            <w:right w:val="none" w:sz="0" w:space="0" w:color="auto"/>
          </w:divBdr>
        </w:div>
      </w:divsChild>
    </w:div>
    <w:div w:id="80959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Documents/Countries/VE/A_HRC_44_20_AdvanceUneditedVersion.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ndocs.org/en/A/HRC/45/33"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059FA7-4EBC-4FC2-8585-F0759B1D1501}"/>
</file>

<file path=customXml/itemProps2.xml><?xml version="1.0" encoding="utf-8"?>
<ds:datastoreItem xmlns:ds="http://schemas.openxmlformats.org/officeDocument/2006/customXml" ds:itemID="{90D8280D-AC0E-41DD-AA2B-CC12B110D7D3}"/>
</file>

<file path=customXml/itemProps3.xml><?xml version="1.0" encoding="utf-8"?>
<ds:datastoreItem xmlns:ds="http://schemas.openxmlformats.org/officeDocument/2006/customXml" ds:itemID="{2FB732D0-5935-4028-9E9F-0B91F81E2B5B}"/>
</file>

<file path=docProps/app.xml><?xml version="1.0" encoding="utf-8"?>
<Properties xmlns="http://schemas.openxmlformats.org/officeDocument/2006/extended-properties" xmlns:vt="http://schemas.openxmlformats.org/officeDocument/2006/docPropsVTypes">
  <Template>Normal.dotm</Template>
  <TotalTime>0</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OHCHR-User</dc:creator>
  <cp:keywords/>
  <dc:description/>
  <cp:lastModifiedBy>Matthew Reuben Brown</cp:lastModifiedBy>
  <cp:revision>2</cp:revision>
  <dcterms:created xsi:type="dcterms:W3CDTF">2021-09-16T10:50:00Z</dcterms:created>
  <dcterms:modified xsi:type="dcterms:W3CDTF">2021-09-16T10:50:00Z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