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A60" w:rsidRDefault="00CE28CE" w:rsidP="00E80A60">
      <w:pPr>
        <w:widowControl w:val="0"/>
        <w:suppressAutoHyphens/>
        <w:spacing w:after="0" w:line="360" w:lineRule="auto"/>
        <w:jc w:val="both"/>
        <w:rPr>
          <w:rFonts w:eastAsia="Andale Sans UI" w:cs="Times New Roman"/>
          <w:b/>
          <w:kern w:val="1"/>
          <w:sz w:val="24"/>
          <w:szCs w:val="24"/>
        </w:rPr>
      </w:pPr>
      <w:r>
        <w:rPr>
          <w:rFonts w:eastAsia="Andale Sans UI" w:cs="Times New Roman"/>
          <w:b/>
          <w:kern w:val="1"/>
          <w:sz w:val="24"/>
          <w:szCs w:val="24"/>
        </w:rPr>
        <w:t>Enfoque jurídico</w:t>
      </w:r>
      <w:r w:rsidR="00E80A60" w:rsidRPr="00E80A60">
        <w:rPr>
          <w:rFonts w:eastAsia="Andale Sans UI" w:cs="Times New Roman"/>
          <w:b/>
          <w:kern w:val="1"/>
          <w:sz w:val="24"/>
          <w:szCs w:val="24"/>
        </w:rPr>
        <w:t xml:space="preserve"> del Sistema Interamericano </w:t>
      </w:r>
      <w:r>
        <w:rPr>
          <w:rFonts w:eastAsia="Andale Sans UI" w:cs="Times New Roman"/>
          <w:b/>
          <w:kern w:val="1"/>
          <w:sz w:val="24"/>
          <w:szCs w:val="24"/>
        </w:rPr>
        <w:t>sobre</w:t>
      </w:r>
      <w:r w:rsidR="00E80A60" w:rsidRPr="00E80A60">
        <w:rPr>
          <w:rFonts w:eastAsia="Andale Sans UI" w:cs="Times New Roman"/>
          <w:b/>
          <w:kern w:val="1"/>
          <w:sz w:val="24"/>
          <w:szCs w:val="24"/>
        </w:rPr>
        <w:t xml:space="preserve"> </w:t>
      </w:r>
      <w:r w:rsidR="002D4A88">
        <w:rPr>
          <w:rFonts w:eastAsia="Andale Sans UI" w:cs="Times New Roman"/>
          <w:b/>
          <w:kern w:val="1"/>
          <w:sz w:val="24"/>
          <w:szCs w:val="24"/>
        </w:rPr>
        <w:t xml:space="preserve">minorías y </w:t>
      </w:r>
      <w:r w:rsidR="00E80A60" w:rsidRPr="00E80A60">
        <w:rPr>
          <w:rFonts w:eastAsia="Andale Sans UI" w:cs="Times New Roman"/>
          <w:b/>
          <w:kern w:val="1"/>
          <w:sz w:val="24"/>
          <w:szCs w:val="24"/>
        </w:rPr>
        <w:t>personas en situación de m</w:t>
      </w:r>
      <w:r w:rsidR="00E80A60">
        <w:rPr>
          <w:rFonts w:eastAsia="Andale Sans UI" w:cs="Times New Roman"/>
          <w:b/>
          <w:kern w:val="1"/>
          <w:sz w:val="24"/>
          <w:szCs w:val="24"/>
        </w:rPr>
        <w:t>ovilidad en contextos de crisis</w:t>
      </w:r>
      <w:r w:rsidR="00194FEC">
        <w:rPr>
          <w:rFonts w:eastAsia="Andale Sans UI" w:cs="Times New Roman"/>
          <w:b/>
          <w:kern w:val="1"/>
          <w:sz w:val="24"/>
          <w:szCs w:val="24"/>
        </w:rPr>
        <w:t xml:space="preserve"> humanitaria</w:t>
      </w:r>
    </w:p>
    <w:p w:rsidR="005451D0" w:rsidRDefault="005451D0" w:rsidP="00E80A60">
      <w:pPr>
        <w:widowControl w:val="0"/>
        <w:suppressAutoHyphens/>
        <w:spacing w:after="0" w:line="360" w:lineRule="auto"/>
        <w:jc w:val="both"/>
        <w:rPr>
          <w:rFonts w:eastAsia="Andale Sans UI" w:cs="Times New Roman"/>
          <w:b/>
          <w:kern w:val="1"/>
          <w:sz w:val="24"/>
          <w:szCs w:val="24"/>
        </w:rPr>
      </w:pPr>
    </w:p>
    <w:p w:rsidR="005451D0" w:rsidRPr="00E80A60" w:rsidRDefault="005451D0" w:rsidP="00E80A60">
      <w:pPr>
        <w:widowControl w:val="0"/>
        <w:suppressAutoHyphens/>
        <w:spacing w:after="0" w:line="360" w:lineRule="auto"/>
        <w:jc w:val="both"/>
        <w:rPr>
          <w:rFonts w:eastAsia="Andale Sans UI" w:cs="Times New Roman"/>
          <w:kern w:val="1"/>
          <w:sz w:val="24"/>
          <w:szCs w:val="24"/>
        </w:rPr>
      </w:pPr>
      <w:r>
        <w:rPr>
          <w:rFonts w:eastAsia="Andale Sans UI" w:cs="Times New Roman"/>
          <w:b/>
          <w:kern w:val="1"/>
          <w:sz w:val="24"/>
          <w:szCs w:val="24"/>
        </w:rPr>
        <w:tab/>
      </w:r>
      <w:r>
        <w:rPr>
          <w:rFonts w:eastAsia="Andale Sans UI" w:cs="Times New Roman"/>
          <w:b/>
          <w:kern w:val="1"/>
          <w:sz w:val="24"/>
          <w:szCs w:val="24"/>
        </w:rPr>
        <w:tab/>
      </w:r>
      <w:r>
        <w:rPr>
          <w:rFonts w:eastAsia="Andale Sans UI" w:cs="Times New Roman"/>
          <w:b/>
          <w:kern w:val="1"/>
          <w:sz w:val="24"/>
          <w:szCs w:val="24"/>
        </w:rPr>
        <w:tab/>
      </w:r>
      <w:r>
        <w:rPr>
          <w:rFonts w:eastAsia="Andale Sans UI" w:cs="Times New Roman"/>
          <w:b/>
          <w:kern w:val="1"/>
          <w:sz w:val="24"/>
          <w:szCs w:val="24"/>
        </w:rPr>
        <w:tab/>
      </w:r>
      <w:r>
        <w:rPr>
          <w:rFonts w:eastAsia="Andale Sans UI" w:cs="Times New Roman"/>
          <w:b/>
          <w:kern w:val="1"/>
          <w:sz w:val="24"/>
          <w:szCs w:val="24"/>
        </w:rPr>
        <w:tab/>
      </w:r>
      <w:r>
        <w:rPr>
          <w:rFonts w:eastAsia="Andale Sans UI" w:cs="Times New Roman"/>
          <w:b/>
          <w:kern w:val="1"/>
          <w:sz w:val="24"/>
          <w:szCs w:val="24"/>
        </w:rPr>
        <w:tab/>
      </w:r>
      <w:r>
        <w:rPr>
          <w:rFonts w:eastAsia="Andale Sans UI" w:cs="Times New Roman"/>
          <w:b/>
          <w:kern w:val="1"/>
          <w:sz w:val="24"/>
          <w:szCs w:val="24"/>
        </w:rPr>
        <w:tab/>
      </w:r>
      <w:r>
        <w:rPr>
          <w:rFonts w:eastAsia="Andale Sans UI" w:cs="Times New Roman"/>
          <w:b/>
          <w:kern w:val="1"/>
          <w:sz w:val="24"/>
          <w:szCs w:val="24"/>
        </w:rPr>
        <w:tab/>
        <w:t>Felipe González</w:t>
      </w:r>
      <w:r w:rsidR="00FB6AA2">
        <w:rPr>
          <w:rStyle w:val="Refdenotaalpie"/>
          <w:rFonts w:eastAsia="Andale Sans UI" w:cs="Times New Roman"/>
          <w:b/>
          <w:kern w:val="1"/>
          <w:sz w:val="24"/>
          <w:szCs w:val="24"/>
        </w:rPr>
        <w:footnoteReference w:id="1"/>
      </w:r>
    </w:p>
    <w:p w:rsidR="00E80A60" w:rsidRDefault="00E80A60" w:rsidP="00F2193E">
      <w:pPr>
        <w:widowControl w:val="0"/>
        <w:suppressAutoHyphens/>
        <w:spacing w:after="0" w:line="360" w:lineRule="auto"/>
        <w:ind w:firstLine="708"/>
        <w:jc w:val="both"/>
        <w:rPr>
          <w:rFonts w:eastAsia="Andale Sans UI" w:cs="Times New Roman"/>
          <w:kern w:val="1"/>
          <w:sz w:val="24"/>
          <w:szCs w:val="24"/>
        </w:rPr>
      </w:pPr>
    </w:p>
    <w:p w:rsidR="00E80A60" w:rsidRDefault="00E80A60" w:rsidP="00F2193E">
      <w:pPr>
        <w:widowControl w:val="0"/>
        <w:suppressAutoHyphens/>
        <w:spacing w:after="0" w:line="360" w:lineRule="auto"/>
        <w:ind w:firstLine="708"/>
        <w:jc w:val="both"/>
        <w:rPr>
          <w:rFonts w:eastAsia="Andale Sans UI" w:cs="Times New Roman"/>
          <w:kern w:val="1"/>
          <w:sz w:val="24"/>
          <w:szCs w:val="24"/>
        </w:rPr>
      </w:pPr>
      <w:r>
        <w:rPr>
          <w:rFonts w:eastAsia="Andale Sans UI" w:cs="Times New Roman"/>
          <w:kern w:val="1"/>
          <w:sz w:val="24"/>
          <w:szCs w:val="24"/>
        </w:rPr>
        <w:t xml:space="preserve">El Sistema Interamericano posee un conjunto de instrumentos (tratados y declaraciones) que emplea </w:t>
      </w:r>
      <w:r w:rsidR="000C49E5">
        <w:rPr>
          <w:rFonts w:eastAsia="Andale Sans UI" w:cs="Times New Roman"/>
          <w:kern w:val="1"/>
          <w:sz w:val="24"/>
          <w:szCs w:val="24"/>
        </w:rPr>
        <w:t xml:space="preserve">en relación con las minorías, especialmente cuando ellas se hallan en situación de movilidad, voluntaria o forzada. </w:t>
      </w:r>
      <w:r>
        <w:rPr>
          <w:rFonts w:eastAsia="Andale Sans UI" w:cs="Times New Roman"/>
          <w:kern w:val="1"/>
          <w:sz w:val="24"/>
          <w:szCs w:val="24"/>
        </w:rPr>
        <w:t>Además, utiliza los instrumentos de la ONU para interpretar el senti</w:t>
      </w:r>
      <w:r w:rsidR="00705FDD">
        <w:rPr>
          <w:rFonts w:eastAsia="Andale Sans UI" w:cs="Times New Roman"/>
          <w:kern w:val="1"/>
          <w:sz w:val="24"/>
          <w:szCs w:val="24"/>
        </w:rPr>
        <w:t>do y alcance de los instrumento</w:t>
      </w:r>
      <w:r>
        <w:rPr>
          <w:rFonts w:eastAsia="Andale Sans UI" w:cs="Times New Roman"/>
          <w:kern w:val="1"/>
          <w:sz w:val="24"/>
          <w:szCs w:val="24"/>
        </w:rPr>
        <w:t>s interamericano</w:t>
      </w:r>
      <w:r w:rsidR="00705FDD">
        <w:rPr>
          <w:rFonts w:eastAsia="Andale Sans UI" w:cs="Times New Roman"/>
          <w:kern w:val="1"/>
          <w:sz w:val="24"/>
          <w:szCs w:val="24"/>
        </w:rPr>
        <w:t>s</w:t>
      </w:r>
      <w:r>
        <w:rPr>
          <w:rFonts w:eastAsia="Andale Sans UI" w:cs="Times New Roman"/>
          <w:kern w:val="1"/>
          <w:sz w:val="24"/>
          <w:szCs w:val="24"/>
        </w:rPr>
        <w:t>.</w:t>
      </w:r>
      <w:r w:rsidR="00662C55">
        <w:rPr>
          <w:rFonts w:eastAsia="Andale Sans UI" w:cs="Times New Roman"/>
          <w:kern w:val="1"/>
          <w:sz w:val="24"/>
          <w:szCs w:val="24"/>
        </w:rPr>
        <w:t xml:space="preserve"> </w:t>
      </w:r>
    </w:p>
    <w:p w:rsidR="003831AA" w:rsidRPr="003831AA" w:rsidRDefault="00E80A60" w:rsidP="003831AA">
      <w:pPr>
        <w:pStyle w:val="NormalWeb"/>
        <w:spacing w:before="90" w:after="45" w:line="360" w:lineRule="auto"/>
        <w:ind w:left="75" w:right="75" w:firstLine="633"/>
        <w:jc w:val="both"/>
        <w:rPr>
          <w:rFonts w:ascii="Calibri" w:hAnsi="Calibri" w:cs="Tahoma"/>
          <w:color w:val="000000"/>
          <w:lang w:val="es-ES"/>
        </w:rPr>
      </w:pPr>
      <w:r w:rsidRPr="003831AA">
        <w:rPr>
          <w:rFonts w:eastAsia="Andale Sans UI"/>
          <w:kern w:val="1"/>
          <w:lang w:val="es-ES"/>
        </w:rPr>
        <w:t xml:space="preserve">Cabe resaltar, en primer lugar, que la </w:t>
      </w:r>
      <w:r w:rsidR="003831AA">
        <w:rPr>
          <w:rFonts w:eastAsia="Andale Sans UI"/>
          <w:kern w:val="1"/>
          <w:lang w:val="es-ES"/>
        </w:rPr>
        <w:t xml:space="preserve">Declaración Americana de Derechos y Deberes del Hombre consagra el derecho </w:t>
      </w:r>
      <w:r w:rsidR="00705FDD">
        <w:rPr>
          <w:rFonts w:eastAsia="Andale Sans UI"/>
          <w:kern w:val="1"/>
          <w:lang w:val="es-ES"/>
        </w:rPr>
        <w:t>de</w:t>
      </w:r>
      <w:r w:rsidR="003831AA">
        <w:rPr>
          <w:rFonts w:eastAsia="Andale Sans UI"/>
          <w:kern w:val="1"/>
          <w:lang w:val="es-ES"/>
        </w:rPr>
        <w:t xml:space="preserve"> asilo y que la </w:t>
      </w:r>
      <w:r w:rsidRPr="003831AA">
        <w:rPr>
          <w:rFonts w:eastAsia="Andale Sans UI"/>
          <w:kern w:val="1"/>
          <w:lang w:val="es-ES"/>
        </w:rPr>
        <w:t xml:space="preserve">Convención Americana </w:t>
      </w:r>
      <w:r w:rsidR="003831AA">
        <w:rPr>
          <w:rFonts w:eastAsia="Andale Sans UI"/>
          <w:kern w:val="1"/>
          <w:lang w:val="es-ES"/>
        </w:rPr>
        <w:t xml:space="preserve">sobre Derechos Humanos </w:t>
      </w:r>
      <w:r w:rsidRPr="003831AA">
        <w:rPr>
          <w:rFonts w:eastAsia="Andale Sans UI"/>
          <w:kern w:val="1"/>
          <w:lang w:val="es-ES"/>
        </w:rPr>
        <w:t xml:space="preserve">se refiere de manera detallada </w:t>
      </w:r>
      <w:r w:rsidR="003831AA">
        <w:rPr>
          <w:rFonts w:eastAsia="Andale Sans UI"/>
          <w:kern w:val="1"/>
          <w:lang w:val="es-ES"/>
        </w:rPr>
        <w:t>al derecho de circulac</w:t>
      </w:r>
      <w:r w:rsidR="00705FDD">
        <w:rPr>
          <w:rFonts w:eastAsia="Andale Sans UI"/>
          <w:kern w:val="1"/>
          <w:lang w:val="es-ES"/>
        </w:rPr>
        <w:t>ión y residencia</w:t>
      </w:r>
      <w:r w:rsidR="003831AA">
        <w:rPr>
          <w:rFonts w:eastAsia="Andale Sans UI"/>
          <w:kern w:val="1"/>
          <w:lang w:val="es-ES"/>
        </w:rPr>
        <w:t xml:space="preserve"> en su ar</w:t>
      </w:r>
      <w:r w:rsidR="00A82089">
        <w:rPr>
          <w:rFonts w:eastAsia="Andale Sans UI"/>
          <w:kern w:val="1"/>
          <w:lang w:val="es-ES"/>
        </w:rPr>
        <w:t>t.22, reconociendo, entre otros</w:t>
      </w:r>
      <w:r w:rsidR="00705FDD">
        <w:rPr>
          <w:rFonts w:eastAsia="Andale Sans UI"/>
          <w:kern w:val="1"/>
          <w:lang w:val="es-ES"/>
        </w:rPr>
        <w:t>,</w:t>
      </w:r>
      <w:r w:rsidR="00A82089">
        <w:rPr>
          <w:rFonts w:eastAsia="Andale Sans UI"/>
          <w:kern w:val="1"/>
          <w:lang w:val="es-ES"/>
        </w:rPr>
        <w:t xml:space="preserve"> </w:t>
      </w:r>
      <w:r w:rsidR="003831AA" w:rsidRPr="003831AA">
        <w:rPr>
          <w:rFonts w:ascii="Calibri" w:eastAsia="Andale Sans UI" w:hAnsi="Calibri" w:cs="Arial"/>
          <w:iCs/>
          <w:kern w:val="1"/>
          <w:lang w:val="es-ES"/>
        </w:rPr>
        <w:t xml:space="preserve">el derecho de asilo </w:t>
      </w:r>
      <w:r w:rsidR="00A82089">
        <w:rPr>
          <w:rFonts w:ascii="Calibri" w:eastAsia="Andale Sans UI" w:hAnsi="Calibri" w:cs="Arial"/>
          <w:iCs/>
          <w:kern w:val="1"/>
          <w:lang w:val="es-ES"/>
        </w:rPr>
        <w:t>(</w:t>
      </w:r>
      <w:r w:rsidR="006A57AE">
        <w:rPr>
          <w:rFonts w:ascii="Calibri" w:eastAsia="Andale Sans UI" w:hAnsi="Calibri" w:cs="Arial"/>
          <w:iCs/>
          <w:kern w:val="1"/>
          <w:lang w:val="es-ES"/>
        </w:rPr>
        <w:t xml:space="preserve">numeral </w:t>
      </w:r>
      <w:r w:rsidR="00A82089">
        <w:rPr>
          <w:rFonts w:ascii="Calibri" w:eastAsia="Andale Sans UI" w:hAnsi="Calibri" w:cs="Arial"/>
          <w:iCs/>
          <w:kern w:val="1"/>
          <w:lang w:val="es-ES"/>
        </w:rPr>
        <w:t xml:space="preserve">7) </w:t>
      </w:r>
      <w:r w:rsidR="003831AA" w:rsidRPr="003831AA">
        <w:rPr>
          <w:rFonts w:ascii="Calibri" w:eastAsia="Andale Sans UI" w:hAnsi="Calibri" w:cs="Arial"/>
          <w:iCs/>
          <w:kern w:val="1"/>
          <w:lang w:val="es-ES"/>
        </w:rPr>
        <w:t xml:space="preserve">y </w:t>
      </w:r>
      <w:r w:rsidR="00705FDD">
        <w:rPr>
          <w:rFonts w:ascii="Calibri" w:eastAsia="Andale Sans UI" w:hAnsi="Calibri" w:cs="Arial"/>
          <w:iCs/>
          <w:kern w:val="1"/>
          <w:lang w:val="es-ES"/>
        </w:rPr>
        <w:t>consag</w:t>
      </w:r>
      <w:r w:rsidR="00761C61">
        <w:rPr>
          <w:rFonts w:ascii="Calibri" w:eastAsia="Andale Sans UI" w:hAnsi="Calibri" w:cs="Arial"/>
          <w:iCs/>
          <w:kern w:val="1"/>
          <w:lang w:val="es-ES"/>
        </w:rPr>
        <w:t xml:space="preserve">rando expresamente el </w:t>
      </w:r>
      <w:r w:rsidR="00705FDD">
        <w:rPr>
          <w:rFonts w:ascii="Calibri" w:eastAsia="Andale Sans UI" w:hAnsi="Calibri" w:cs="Arial"/>
          <w:iCs/>
          <w:kern w:val="1"/>
          <w:lang w:val="es-ES"/>
        </w:rPr>
        <w:t>principio</w:t>
      </w:r>
      <w:r w:rsidR="00761C61">
        <w:rPr>
          <w:rFonts w:ascii="Calibri" w:eastAsia="Andale Sans UI" w:hAnsi="Calibri" w:cs="Arial"/>
          <w:iCs/>
          <w:kern w:val="1"/>
          <w:lang w:val="es-ES"/>
        </w:rPr>
        <w:t xml:space="preserve"> de no devolución, al </w:t>
      </w:r>
      <w:r w:rsidR="00A82089">
        <w:rPr>
          <w:rFonts w:ascii="Calibri" w:eastAsia="Andale Sans UI" w:hAnsi="Calibri" w:cs="Arial"/>
          <w:iCs/>
          <w:kern w:val="1"/>
          <w:lang w:val="es-ES"/>
        </w:rPr>
        <w:t>señala</w:t>
      </w:r>
      <w:r w:rsidR="00761C61">
        <w:rPr>
          <w:rFonts w:ascii="Calibri" w:eastAsia="Andale Sans UI" w:hAnsi="Calibri" w:cs="Arial"/>
          <w:iCs/>
          <w:kern w:val="1"/>
          <w:lang w:val="es-ES"/>
        </w:rPr>
        <w:t>r</w:t>
      </w:r>
      <w:r w:rsidR="003831AA" w:rsidRPr="003831AA">
        <w:rPr>
          <w:rFonts w:ascii="Calibri" w:eastAsia="Andale Sans UI" w:hAnsi="Calibri" w:cs="Arial"/>
          <w:iCs/>
          <w:kern w:val="1"/>
          <w:lang w:val="es-ES"/>
        </w:rPr>
        <w:t xml:space="preserve"> que “</w:t>
      </w:r>
      <w:r w:rsidR="00A82089">
        <w:rPr>
          <w:rFonts w:ascii="Calibri" w:eastAsia="Andale Sans UI" w:hAnsi="Calibri" w:cs="Arial"/>
          <w:iCs/>
          <w:kern w:val="1"/>
          <w:lang w:val="es-ES"/>
        </w:rPr>
        <w:t>[e]</w:t>
      </w:r>
      <w:r w:rsidR="003831AA" w:rsidRPr="003831AA">
        <w:rPr>
          <w:rFonts w:ascii="Calibri" w:hAnsi="Calibri" w:cs="Tahoma"/>
          <w:color w:val="000000"/>
          <w:lang w:val="es-ES"/>
        </w:rPr>
        <w:t>n ningún caso el extranjero puede ser expulsado o devuelto a otro país, sea o no de origen, donde su derecho a la vida o a la libertad personal está en riesgo de violación a causa de raza, nacionalidad, religión, condición social o de sus opi</w:t>
      </w:r>
      <w:r w:rsidR="00761C61">
        <w:rPr>
          <w:rFonts w:ascii="Calibri" w:hAnsi="Calibri" w:cs="Tahoma"/>
          <w:color w:val="000000"/>
          <w:lang w:val="es-ES"/>
        </w:rPr>
        <w:t>niones políticas</w:t>
      </w:r>
      <w:r w:rsidR="003831AA" w:rsidRPr="003831AA">
        <w:rPr>
          <w:rFonts w:ascii="Calibri" w:hAnsi="Calibri" w:cs="Tahoma"/>
          <w:color w:val="000000"/>
          <w:lang w:val="es-ES"/>
        </w:rPr>
        <w:t xml:space="preserve">” </w:t>
      </w:r>
      <w:r w:rsidR="00761C61">
        <w:rPr>
          <w:rFonts w:ascii="Calibri" w:hAnsi="Calibri" w:cs="Tahoma"/>
          <w:color w:val="000000"/>
          <w:lang w:val="es-ES"/>
        </w:rPr>
        <w:t>(</w:t>
      </w:r>
      <w:r w:rsidR="006A57AE">
        <w:rPr>
          <w:rFonts w:ascii="Calibri" w:hAnsi="Calibri" w:cs="Tahoma"/>
          <w:color w:val="000000"/>
          <w:lang w:val="es-ES"/>
        </w:rPr>
        <w:t xml:space="preserve">numeral </w:t>
      </w:r>
      <w:r w:rsidR="00761C61">
        <w:rPr>
          <w:rFonts w:ascii="Calibri" w:hAnsi="Calibri" w:cs="Tahoma"/>
          <w:color w:val="000000"/>
          <w:lang w:val="es-ES"/>
        </w:rPr>
        <w:t>8). En el n</w:t>
      </w:r>
      <w:r w:rsidR="003831AA">
        <w:rPr>
          <w:rFonts w:ascii="Calibri" w:hAnsi="Calibri" w:cs="Tahoma"/>
          <w:color w:val="000000"/>
          <w:lang w:val="es-ES"/>
        </w:rPr>
        <w:t xml:space="preserve">umeral 9, </w:t>
      </w:r>
      <w:r w:rsidR="00761C61">
        <w:rPr>
          <w:rFonts w:ascii="Calibri" w:hAnsi="Calibri" w:cs="Tahoma"/>
          <w:color w:val="000000"/>
          <w:lang w:val="es-ES"/>
        </w:rPr>
        <w:t xml:space="preserve">establece la </w:t>
      </w:r>
      <w:r w:rsidR="003831AA">
        <w:rPr>
          <w:rFonts w:ascii="Calibri" w:hAnsi="Calibri" w:cs="Tahoma"/>
          <w:color w:val="000000"/>
          <w:lang w:val="es-ES"/>
        </w:rPr>
        <w:t>prohibició</w:t>
      </w:r>
      <w:r w:rsidR="00761C61">
        <w:rPr>
          <w:rFonts w:ascii="Calibri" w:hAnsi="Calibri" w:cs="Tahoma"/>
          <w:color w:val="000000"/>
          <w:lang w:val="es-ES"/>
        </w:rPr>
        <w:t>n</w:t>
      </w:r>
      <w:r w:rsidR="003831AA">
        <w:rPr>
          <w:rFonts w:ascii="Calibri" w:hAnsi="Calibri" w:cs="Tahoma"/>
          <w:color w:val="000000"/>
          <w:lang w:val="es-ES"/>
        </w:rPr>
        <w:t xml:space="preserve"> de expulsiones colectivas.</w:t>
      </w:r>
    </w:p>
    <w:p w:rsidR="00FA7B89" w:rsidRPr="00F2193E" w:rsidRDefault="00E80A60" w:rsidP="00F2193E">
      <w:pPr>
        <w:widowControl w:val="0"/>
        <w:suppressAutoHyphens/>
        <w:spacing w:after="0" w:line="360" w:lineRule="auto"/>
        <w:ind w:firstLine="708"/>
        <w:jc w:val="both"/>
        <w:rPr>
          <w:rFonts w:eastAsia="Andale Sans UI" w:cs="Times New Roman"/>
          <w:color w:val="000000"/>
          <w:kern w:val="1"/>
          <w:sz w:val="24"/>
          <w:szCs w:val="24"/>
        </w:rPr>
      </w:pPr>
      <w:r>
        <w:rPr>
          <w:rFonts w:eastAsia="Andale Sans UI" w:cs="Times New Roman"/>
          <w:kern w:val="1"/>
          <w:sz w:val="24"/>
          <w:szCs w:val="24"/>
        </w:rPr>
        <w:t>Asimismo, es necesario subrayar la importancia de l</w:t>
      </w:r>
      <w:r w:rsidR="00F34493">
        <w:rPr>
          <w:rFonts w:eastAsia="Andale Sans UI" w:cs="Times New Roman"/>
          <w:kern w:val="1"/>
          <w:sz w:val="24"/>
          <w:szCs w:val="24"/>
        </w:rPr>
        <w:t xml:space="preserve">a </w:t>
      </w:r>
      <w:r w:rsidR="00F348F0" w:rsidRPr="00F2193E">
        <w:rPr>
          <w:rFonts w:eastAsia="Andale Sans UI" w:cs="Times New Roman"/>
          <w:kern w:val="1"/>
          <w:sz w:val="24"/>
          <w:szCs w:val="24"/>
        </w:rPr>
        <w:t>Declaración de Cartagena de Derecho de los Refugiados</w:t>
      </w:r>
      <w:r>
        <w:rPr>
          <w:rFonts w:eastAsia="Andale Sans UI" w:cs="Times New Roman"/>
          <w:kern w:val="1"/>
          <w:sz w:val="24"/>
          <w:szCs w:val="24"/>
        </w:rPr>
        <w:t xml:space="preserve"> para el sistema interamericano. </w:t>
      </w:r>
      <w:r w:rsidR="00F348F0" w:rsidRPr="00F2193E">
        <w:rPr>
          <w:rFonts w:eastAsia="Andale Sans UI" w:cs="Times New Roman"/>
          <w:kern w:val="1"/>
          <w:sz w:val="24"/>
          <w:szCs w:val="24"/>
        </w:rPr>
        <w:t xml:space="preserve">Aunque </w:t>
      </w:r>
      <w:r w:rsidR="00474C45">
        <w:rPr>
          <w:rFonts w:eastAsia="Andale Sans UI" w:cs="Times New Roman"/>
          <w:kern w:val="1"/>
          <w:sz w:val="24"/>
          <w:szCs w:val="24"/>
        </w:rPr>
        <w:t>ell</w:t>
      </w:r>
      <w:r>
        <w:rPr>
          <w:rFonts w:eastAsia="Andale Sans UI" w:cs="Times New Roman"/>
          <w:kern w:val="1"/>
          <w:sz w:val="24"/>
          <w:szCs w:val="24"/>
        </w:rPr>
        <w:t>a n</w:t>
      </w:r>
      <w:r w:rsidR="00F348F0" w:rsidRPr="00F2193E">
        <w:rPr>
          <w:rFonts w:eastAsia="Andale Sans UI" w:cs="Times New Roman"/>
          <w:kern w:val="1"/>
          <w:sz w:val="24"/>
          <w:szCs w:val="24"/>
        </w:rPr>
        <w:t>o es propiamente un instrumento de</w:t>
      </w:r>
      <w:r w:rsidR="00705FDD">
        <w:rPr>
          <w:rFonts w:eastAsia="Andale Sans UI" w:cs="Times New Roman"/>
          <w:kern w:val="1"/>
          <w:sz w:val="24"/>
          <w:szCs w:val="24"/>
        </w:rPr>
        <w:t xml:space="preserve"> dicho sistema</w:t>
      </w:r>
      <w:r w:rsidR="00F348F0" w:rsidRPr="00F2193E">
        <w:rPr>
          <w:rFonts w:eastAsia="Andale Sans UI" w:cs="Times New Roman"/>
          <w:kern w:val="1"/>
          <w:sz w:val="24"/>
          <w:szCs w:val="24"/>
        </w:rPr>
        <w:t>, la Asamblea General de la O</w:t>
      </w:r>
      <w:r w:rsidR="00F34493">
        <w:rPr>
          <w:rFonts w:eastAsia="Andale Sans UI" w:cs="Times New Roman"/>
          <w:kern w:val="1"/>
          <w:sz w:val="24"/>
          <w:szCs w:val="24"/>
        </w:rPr>
        <w:t>EA</w:t>
      </w:r>
      <w:r w:rsidR="00F348F0" w:rsidRPr="00F2193E">
        <w:rPr>
          <w:rFonts w:eastAsia="Andale Sans UI" w:cs="Times New Roman"/>
          <w:kern w:val="1"/>
          <w:sz w:val="24"/>
          <w:szCs w:val="24"/>
        </w:rPr>
        <w:t xml:space="preserve"> la endosó, llamando a los Estados miembros a implementarla. </w:t>
      </w:r>
      <w:r w:rsidR="00474C45">
        <w:rPr>
          <w:rFonts w:eastAsia="Andale Sans UI" w:cs="Times New Roman"/>
          <w:kern w:val="1"/>
          <w:sz w:val="24"/>
          <w:szCs w:val="24"/>
        </w:rPr>
        <w:t xml:space="preserve">Su aspecto central es que ella contiene una </w:t>
      </w:r>
      <w:r w:rsidR="00F348F0" w:rsidRPr="00F2193E">
        <w:rPr>
          <w:rFonts w:eastAsia="Andale Sans UI" w:cs="Times New Roman"/>
          <w:kern w:val="1"/>
          <w:sz w:val="24"/>
          <w:szCs w:val="24"/>
        </w:rPr>
        <w:t>"definición ampliada" del c</w:t>
      </w:r>
      <w:r w:rsidR="00474C45">
        <w:rPr>
          <w:rFonts w:eastAsia="Andale Sans UI" w:cs="Times New Roman"/>
          <w:kern w:val="1"/>
          <w:sz w:val="24"/>
          <w:szCs w:val="24"/>
        </w:rPr>
        <w:t xml:space="preserve">oncepto de refugiado, incorporando </w:t>
      </w:r>
      <w:r w:rsidR="00F348F0" w:rsidRPr="00F2193E">
        <w:rPr>
          <w:rFonts w:eastAsia="Andale Sans UI" w:cs="Times New Roman"/>
          <w:kern w:val="1"/>
          <w:sz w:val="24"/>
          <w:szCs w:val="24"/>
        </w:rPr>
        <w:t xml:space="preserve">elementos objetivos, </w:t>
      </w:r>
      <w:r w:rsidR="00474C45">
        <w:rPr>
          <w:rFonts w:eastAsia="Andale Sans UI" w:cs="Times New Roman"/>
          <w:kern w:val="1"/>
          <w:sz w:val="24"/>
          <w:szCs w:val="24"/>
        </w:rPr>
        <w:t xml:space="preserve">yendo </w:t>
      </w:r>
      <w:r w:rsidR="00F348F0" w:rsidRPr="00F2193E">
        <w:rPr>
          <w:rFonts w:eastAsia="Andale Sans UI" w:cs="Times New Roman"/>
          <w:kern w:val="1"/>
          <w:sz w:val="24"/>
          <w:szCs w:val="24"/>
        </w:rPr>
        <w:t>más allá de las situaciones de "fundado temor" a que se refiere la Convención sobre el Estatuto de los Refugiados de Naciones Unidas de 1951</w:t>
      </w:r>
      <w:r w:rsidR="00474C45">
        <w:rPr>
          <w:rFonts w:eastAsia="Andale Sans UI" w:cs="Times New Roman"/>
          <w:kern w:val="1"/>
          <w:sz w:val="24"/>
          <w:szCs w:val="24"/>
        </w:rPr>
        <w:t xml:space="preserve">. Así, ella incluye </w:t>
      </w:r>
      <w:r w:rsidR="00F348F0" w:rsidRPr="00F2193E">
        <w:rPr>
          <w:rFonts w:eastAsia="Andale Sans UI" w:cs="Times New Roman"/>
          <w:kern w:val="1"/>
          <w:sz w:val="24"/>
          <w:szCs w:val="24"/>
        </w:rPr>
        <w:t>“a las</w:t>
      </w:r>
      <w:r w:rsidR="00F348F0" w:rsidRPr="00F2193E">
        <w:rPr>
          <w:rFonts w:eastAsia="Andale Sans UI" w:cs="Times New Roman"/>
          <w:color w:val="000000"/>
          <w:kern w:val="1"/>
          <w:sz w:val="24"/>
          <w:szCs w:val="24"/>
        </w:rPr>
        <w:t xml:space="preserve"> personas que han huido de sus países porque su vida, seguridad o libertad han sido amenazadas por la violencia generalizada, la agresión extranjera, los conflictos internos, la violación masiva de los derechos humanos u otras circunstancias que hayan perturbado gravemente el orden público.”</w:t>
      </w:r>
      <w:r w:rsidR="00FA7B89" w:rsidRPr="00F2193E">
        <w:rPr>
          <w:rStyle w:val="Refdenotaalfinal"/>
          <w:rFonts w:eastAsia="Andale Sans UI" w:cs="Times New Roman"/>
          <w:color w:val="000000"/>
          <w:kern w:val="1"/>
          <w:sz w:val="24"/>
          <w:szCs w:val="24"/>
        </w:rPr>
        <w:endnoteReference w:id="1"/>
      </w:r>
    </w:p>
    <w:p w:rsidR="00FA7B89" w:rsidRPr="00F2193E" w:rsidRDefault="00FA7B89" w:rsidP="00705FDD">
      <w:pPr>
        <w:widowControl w:val="0"/>
        <w:suppressAutoHyphens/>
        <w:spacing w:after="0" w:line="360" w:lineRule="auto"/>
        <w:ind w:firstLine="708"/>
        <w:jc w:val="both"/>
        <w:rPr>
          <w:rFonts w:eastAsia="Andale Sans UI" w:cs="Times New Roman"/>
          <w:color w:val="000000"/>
          <w:kern w:val="1"/>
          <w:sz w:val="24"/>
          <w:szCs w:val="24"/>
        </w:rPr>
      </w:pPr>
      <w:r>
        <w:rPr>
          <w:color w:val="000000"/>
          <w:sz w:val="24"/>
          <w:szCs w:val="24"/>
        </w:rPr>
        <w:t>Cabe destacar que l</w:t>
      </w:r>
      <w:r w:rsidRPr="00F2193E">
        <w:rPr>
          <w:sz w:val="24"/>
          <w:szCs w:val="24"/>
          <w:lang w:val="es-ES_tradnl"/>
        </w:rPr>
        <w:t xml:space="preserve">a normativa interna de </w:t>
      </w:r>
      <w:r w:rsidRPr="006A57AE">
        <w:rPr>
          <w:b/>
          <w:sz w:val="24"/>
          <w:szCs w:val="24"/>
          <w:lang w:val="es-ES_tradnl"/>
        </w:rPr>
        <w:t>16 Estados de la región</w:t>
      </w:r>
      <w:r w:rsidRPr="00F2193E">
        <w:rPr>
          <w:sz w:val="24"/>
          <w:szCs w:val="24"/>
          <w:lang w:val="es-ES_tradnl"/>
        </w:rPr>
        <w:t xml:space="preserve"> incluye la </w:t>
      </w:r>
      <w:r w:rsidRPr="00F2193E">
        <w:rPr>
          <w:sz w:val="24"/>
          <w:szCs w:val="24"/>
          <w:lang w:val="es-ES_tradnl"/>
        </w:rPr>
        <w:lastRenderedPageBreak/>
        <w:t>definición ampliada de refugiado recomendada por la Declaración de Cartagena sobre los Refugiados</w:t>
      </w:r>
    </w:p>
    <w:p w:rsidR="00FA7B89" w:rsidRPr="00F2193E" w:rsidRDefault="00FA7B89" w:rsidP="00474C45">
      <w:pPr>
        <w:widowControl w:val="0"/>
        <w:suppressAutoHyphens/>
        <w:spacing w:after="0" w:line="360" w:lineRule="auto"/>
        <w:jc w:val="both"/>
        <w:rPr>
          <w:rFonts w:eastAsia="Andale Sans UI" w:cs="Times New Roman"/>
          <w:color w:val="000000"/>
          <w:kern w:val="1"/>
          <w:sz w:val="24"/>
          <w:szCs w:val="24"/>
        </w:rPr>
      </w:pPr>
      <w:r>
        <w:rPr>
          <w:rFonts w:eastAsia="Andale Sans UI" w:cs="Times New Roman"/>
          <w:color w:val="000000"/>
          <w:kern w:val="1"/>
          <w:sz w:val="24"/>
          <w:szCs w:val="24"/>
        </w:rPr>
        <w:tab/>
        <w:t>La Corte Interamericana, a través de una serie de sentencias y opiniones consultivas, y la Comisión Interamericana, por medio de informes sobre países, casos y, más recientemente un informe sobre estándares interamericanos en la materia, se han referido extensamente al tema. Aquí destacaré algunos de los aspectos más relevantes.</w:t>
      </w:r>
    </w:p>
    <w:p w:rsidR="00FA7B89" w:rsidRDefault="00FA7B89" w:rsidP="00A232CD">
      <w:pPr>
        <w:pStyle w:val="NormalWeb"/>
        <w:shd w:val="clear" w:color="auto" w:fill="FFFFFF"/>
        <w:autoSpaceDE w:val="0"/>
        <w:autoSpaceDN w:val="0"/>
        <w:adjustRightInd w:val="0"/>
        <w:jc w:val="both"/>
        <w:rPr>
          <w:rFonts w:asciiTheme="minorHAnsi" w:hAnsiTheme="minorHAnsi"/>
          <w:lang w:val="es-ES_tradnl"/>
        </w:rPr>
      </w:pPr>
    </w:p>
    <w:p w:rsidR="00FA7B89" w:rsidRPr="00F2193E" w:rsidRDefault="00FB6AA2" w:rsidP="00F2193E">
      <w:pPr>
        <w:spacing w:after="0" w:line="360" w:lineRule="auto"/>
        <w:jc w:val="both"/>
        <w:rPr>
          <w:rFonts w:cs="Times New Roman"/>
          <w:sz w:val="24"/>
          <w:szCs w:val="24"/>
        </w:rPr>
      </w:pPr>
      <w:r>
        <w:rPr>
          <w:rFonts w:cs="Times New Roman"/>
          <w:sz w:val="24"/>
          <w:szCs w:val="24"/>
        </w:rPr>
        <w:t>La Corte Interamericana ha señalado que l</w:t>
      </w:r>
      <w:r w:rsidR="00FA7B89" w:rsidRPr="00F2193E">
        <w:rPr>
          <w:rFonts w:cs="Times New Roman"/>
          <w:sz w:val="24"/>
          <w:szCs w:val="24"/>
        </w:rPr>
        <w:t>as garantías mínimas al debido proceso se aplican a cualquier persona, con independencia de su edad y condición de estancia en el país, lo que significa que una persona migrante en situación irregular en un país se encuentra en situación de igualdad con otros justiciables para defender sus derechos e intereses. Por tanto, el Estado debe respetar y asegurar dichas garantías mínimas en todo proceso, l</w:t>
      </w:r>
      <w:r w:rsidR="00FA7B89">
        <w:rPr>
          <w:rFonts w:cs="Times New Roman"/>
          <w:sz w:val="24"/>
          <w:szCs w:val="24"/>
        </w:rPr>
        <w:t>o cual implica:</w:t>
      </w:r>
    </w:p>
    <w:p w:rsidR="00FA7B89" w:rsidRPr="00F2193E" w:rsidRDefault="00FA7B89" w:rsidP="00F2193E">
      <w:pPr>
        <w:pStyle w:val="Prrafodelista"/>
        <w:numPr>
          <w:ilvl w:val="0"/>
          <w:numId w:val="1"/>
        </w:numPr>
        <w:spacing w:line="360" w:lineRule="auto"/>
        <w:jc w:val="both"/>
        <w:rPr>
          <w:rFonts w:cs="Times New Roman"/>
          <w:sz w:val="24"/>
          <w:szCs w:val="24"/>
        </w:rPr>
      </w:pPr>
      <w:r w:rsidRPr="00F2193E">
        <w:rPr>
          <w:rFonts w:cs="Times New Roman"/>
          <w:sz w:val="24"/>
          <w:szCs w:val="24"/>
        </w:rPr>
        <w:t>Derecho a ser notificado de la existencia de un procedimiento y de la decisión que se adopte en el marco del proceso migratorio</w:t>
      </w:r>
    </w:p>
    <w:p w:rsidR="00FA7B89" w:rsidRPr="00F2193E" w:rsidRDefault="00FA7B89" w:rsidP="00F2193E">
      <w:pPr>
        <w:pStyle w:val="Prrafodelista"/>
        <w:numPr>
          <w:ilvl w:val="0"/>
          <w:numId w:val="1"/>
        </w:numPr>
        <w:spacing w:line="360" w:lineRule="auto"/>
        <w:jc w:val="both"/>
        <w:rPr>
          <w:rFonts w:cs="Times New Roman"/>
          <w:sz w:val="24"/>
          <w:szCs w:val="24"/>
        </w:rPr>
      </w:pPr>
      <w:r w:rsidRPr="00F2193E">
        <w:rPr>
          <w:rFonts w:cs="Times New Roman"/>
          <w:sz w:val="24"/>
          <w:szCs w:val="24"/>
        </w:rPr>
        <w:t>Derecho a que los procesos migratorios sean llevados por un funcionario o juez especializado</w:t>
      </w:r>
    </w:p>
    <w:p w:rsidR="00FA7B89" w:rsidRPr="00F2193E" w:rsidRDefault="00FA7B89" w:rsidP="00F2193E">
      <w:pPr>
        <w:pStyle w:val="Prrafodelista"/>
        <w:numPr>
          <w:ilvl w:val="0"/>
          <w:numId w:val="1"/>
        </w:numPr>
        <w:spacing w:line="360" w:lineRule="auto"/>
        <w:jc w:val="both"/>
        <w:rPr>
          <w:rFonts w:cs="Times New Roman"/>
          <w:sz w:val="24"/>
          <w:szCs w:val="24"/>
        </w:rPr>
      </w:pPr>
      <w:r w:rsidRPr="00F2193E">
        <w:rPr>
          <w:rFonts w:cs="Times New Roman"/>
          <w:sz w:val="24"/>
          <w:szCs w:val="24"/>
        </w:rPr>
        <w:t>Derecho  a ser oído y a participar en las diferentes etapas procesales</w:t>
      </w:r>
    </w:p>
    <w:p w:rsidR="00FA7B89" w:rsidRPr="00F2193E" w:rsidRDefault="00FA7B89" w:rsidP="00F2193E">
      <w:pPr>
        <w:pStyle w:val="Prrafodelista"/>
        <w:numPr>
          <w:ilvl w:val="0"/>
          <w:numId w:val="1"/>
        </w:numPr>
        <w:spacing w:line="360" w:lineRule="auto"/>
        <w:jc w:val="both"/>
        <w:rPr>
          <w:rFonts w:cs="Times New Roman"/>
          <w:sz w:val="24"/>
          <w:szCs w:val="24"/>
        </w:rPr>
      </w:pPr>
      <w:r w:rsidRPr="00F2193E">
        <w:rPr>
          <w:rFonts w:cs="Times New Roman"/>
          <w:sz w:val="24"/>
          <w:szCs w:val="24"/>
        </w:rPr>
        <w:t>Derecho a ser asistido gratuitamente por un traductor y/o intérprete</w:t>
      </w:r>
    </w:p>
    <w:p w:rsidR="00FA7B89" w:rsidRPr="00F2193E" w:rsidRDefault="00FA7B89" w:rsidP="00F2193E">
      <w:pPr>
        <w:pStyle w:val="Prrafodelista"/>
        <w:numPr>
          <w:ilvl w:val="0"/>
          <w:numId w:val="1"/>
        </w:numPr>
        <w:spacing w:line="360" w:lineRule="auto"/>
        <w:jc w:val="both"/>
        <w:rPr>
          <w:rFonts w:cs="Times New Roman"/>
          <w:sz w:val="24"/>
          <w:szCs w:val="24"/>
        </w:rPr>
      </w:pPr>
      <w:r w:rsidRPr="00F2193E">
        <w:rPr>
          <w:rFonts w:cs="Times New Roman"/>
          <w:sz w:val="24"/>
          <w:szCs w:val="24"/>
        </w:rPr>
        <w:t>Acceso efectivo a la comunicación y asistencia consular</w:t>
      </w:r>
    </w:p>
    <w:p w:rsidR="00FA7B89" w:rsidRPr="00F2193E" w:rsidRDefault="00FA7B89" w:rsidP="00F2193E">
      <w:pPr>
        <w:pStyle w:val="Prrafodelista"/>
        <w:numPr>
          <w:ilvl w:val="0"/>
          <w:numId w:val="1"/>
        </w:numPr>
        <w:spacing w:line="360" w:lineRule="auto"/>
        <w:jc w:val="both"/>
        <w:rPr>
          <w:rFonts w:cs="Times New Roman"/>
          <w:sz w:val="24"/>
          <w:szCs w:val="24"/>
        </w:rPr>
      </w:pPr>
      <w:r w:rsidRPr="00F2193E">
        <w:rPr>
          <w:rFonts w:cs="Times New Roman"/>
          <w:sz w:val="24"/>
          <w:szCs w:val="24"/>
        </w:rPr>
        <w:t>Derecho a ser asistido por un representante legal y a comunicarse libremente con dicho representante</w:t>
      </w:r>
    </w:p>
    <w:p w:rsidR="00FA7B89" w:rsidRPr="00F2193E" w:rsidRDefault="00FA7B89" w:rsidP="00F2193E">
      <w:pPr>
        <w:pStyle w:val="Prrafodelista"/>
        <w:numPr>
          <w:ilvl w:val="0"/>
          <w:numId w:val="1"/>
        </w:numPr>
        <w:spacing w:line="360" w:lineRule="auto"/>
        <w:jc w:val="both"/>
        <w:rPr>
          <w:rFonts w:cs="Times New Roman"/>
          <w:sz w:val="24"/>
          <w:szCs w:val="24"/>
        </w:rPr>
      </w:pPr>
      <w:r w:rsidRPr="00F2193E">
        <w:rPr>
          <w:rFonts w:cs="Times New Roman"/>
          <w:sz w:val="24"/>
          <w:szCs w:val="24"/>
        </w:rPr>
        <w:t>Derecho a que la decisión que se adopte sea debidamente fundamentada</w:t>
      </w:r>
    </w:p>
    <w:p w:rsidR="00FA7B89" w:rsidRPr="00F2193E" w:rsidRDefault="00FA7B89" w:rsidP="00F2193E">
      <w:pPr>
        <w:pStyle w:val="Prrafodelista"/>
        <w:numPr>
          <w:ilvl w:val="0"/>
          <w:numId w:val="1"/>
        </w:numPr>
        <w:spacing w:line="360" w:lineRule="auto"/>
        <w:jc w:val="both"/>
        <w:rPr>
          <w:rFonts w:cs="Times New Roman"/>
          <w:sz w:val="24"/>
          <w:szCs w:val="24"/>
        </w:rPr>
      </w:pPr>
      <w:r w:rsidRPr="00F2193E">
        <w:rPr>
          <w:rFonts w:cs="Times New Roman"/>
          <w:sz w:val="24"/>
          <w:szCs w:val="24"/>
        </w:rPr>
        <w:t>Derecho a recurrir la decisión ante un juez o tribunal superior con efectos suspensivos</w:t>
      </w:r>
    </w:p>
    <w:p w:rsidR="00FA7B89" w:rsidRPr="00F2193E" w:rsidRDefault="00FA7B89" w:rsidP="00F2193E">
      <w:pPr>
        <w:pStyle w:val="Prrafodelista"/>
        <w:numPr>
          <w:ilvl w:val="0"/>
          <w:numId w:val="1"/>
        </w:numPr>
        <w:spacing w:line="360" w:lineRule="auto"/>
        <w:jc w:val="both"/>
        <w:rPr>
          <w:rFonts w:cs="Times New Roman"/>
          <w:sz w:val="24"/>
          <w:szCs w:val="24"/>
        </w:rPr>
      </w:pPr>
      <w:r w:rsidRPr="00F2193E">
        <w:rPr>
          <w:rFonts w:cs="Times New Roman"/>
          <w:sz w:val="24"/>
          <w:szCs w:val="24"/>
        </w:rPr>
        <w:t>Plazo razonable de duración del proceso</w:t>
      </w:r>
    </w:p>
    <w:p w:rsidR="00FA7B89" w:rsidRPr="00F2193E" w:rsidRDefault="00FA7B89" w:rsidP="00E270D8">
      <w:pPr>
        <w:spacing w:line="360" w:lineRule="auto"/>
        <w:jc w:val="both"/>
        <w:rPr>
          <w:rFonts w:cs="Times New Roman"/>
          <w:sz w:val="24"/>
          <w:szCs w:val="24"/>
        </w:rPr>
      </w:pPr>
      <w:r>
        <w:rPr>
          <w:rFonts w:cs="Times New Roman"/>
          <w:sz w:val="24"/>
          <w:szCs w:val="24"/>
        </w:rPr>
        <w:t>Respecto de la d</w:t>
      </w:r>
      <w:r w:rsidRPr="00F2193E">
        <w:rPr>
          <w:rFonts w:cs="Times New Roman"/>
          <w:sz w:val="24"/>
          <w:szCs w:val="24"/>
        </w:rPr>
        <w:t xml:space="preserve">etención </w:t>
      </w:r>
      <w:r>
        <w:rPr>
          <w:rFonts w:cs="Times New Roman"/>
          <w:sz w:val="24"/>
          <w:szCs w:val="24"/>
        </w:rPr>
        <w:t xml:space="preserve">por razones </w:t>
      </w:r>
      <w:r w:rsidRPr="00F2193E">
        <w:rPr>
          <w:rFonts w:cs="Times New Roman"/>
          <w:sz w:val="24"/>
          <w:szCs w:val="24"/>
        </w:rPr>
        <w:t>migratoria</w:t>
      </w:r>
      <w:r>
        <w:rPr>
          <w:rFonts w:cs="Times New Roman"/>
          <w:sz w:val="24"/>
          <w:szCs w:val="24"/>
        </w:rPr>
        <w:t xml:space="preserve">s, la Corte Interamericana en su Opinión Consultiva sobre niñez migrante observa que </w:t>
      </w:r>
      <w:r w:rsidRPr="00F2193E">
        <w:rPr>
          <w:rFonts w:cs="Times New Roman"/>
          <w:sz w:val="24"/>
          <w:szCs w:val="24"/>
        </w:rPr>
        <w:t xml:space="preserve">“los Estados no pueden recurrir a </w:t>
      </w:r>
      <w:r w:rsidRPr="00F2193E">
        <w:rPr>
          <w:rFonts w:cs="Times New Roman"/>
          <w:sz w:val="24"/>
          <w:szCs w:val="24"/>
          <w:lang w:val="es-CR"/>
        </w:rPr>
        <w:t xml:space="preserve">la privación de libertad de niñas </w:t>
      </w:r>
      <w:r w:rsidRPr="00F2193E">
        <w:rPr>
          <w:rFonts w:cs="Times New Roman"/>
          <w:sz w:val="24"/>
          <w:szCs w:val="24"/>
        </w:rPr>
        <w:t xml:space="preserve">o niños que se encuentran junto a sus progenitores, así como de aquellos que se encuentran no acompañados o separados de sus progenitores, para cautelar los fines de un proceso migratorio ni tampoco pueden fundamentar tal medida en el incumplimiento de los requisitos para ingresar y </w:t>
      </w:r>
      <w:r w:rsidRPr="00F2193E">
        <w:rPr>
          <w:rFonts w:cs="Times New Roman"/>
          <w:sz w:val="24"/>
          <w:szCs w:val="24"/>
        </w:rPr>
        <w:lastRenderedPageBreak/>
        <w:t>permanecer en un país, en el hecho de que la niña o el niño se encuentre solo o separado de su familia, o en la finalidad de asegurar la unidad familiar, toda vez que pueden y deben disponer de alternativas menos lesivas y, al mismo tiempo, proteger de forma prioritaria e integral los derechos de la niña o del niño.”</w:t>
      </w:r>
      <w:r w:rsidRPr="00F2193E">
        <w:rPr>
          <w:rStyle w:val="Refdenotaalfinal"/>
          <w:rFonts w:cs="Times New Roman"/>
          <w:sz w:val="24"/>
          <w:szCs w:val="24"/>
        </w:rPr>
        <w:endnoteReference w:id="2"/>
      </w:r>
    </w:p>
    <w:p w:rsidR="00FA7B89" w:rsidRPr="00F2193E" w:rsidRDefault="00FA7B89" w:rsidP="00474C45">
      <w:pPr>
        <w:tabs>
          <w:tab w:val="left" w:pos="1440"/>
        </w:tabs>
        <w:spacing w:after="0" w:line="360" w:lineRule="auto"/>
        <w:jc w:val="both"/>
        <w:rPr>
          <w:rFonts w:cs="MinionMM"/>
          <w:sz w:val="24"/>
          <w:szCs w:val="24"/>
          <w:lang w:val="es-ES_tradnl"/>
        </w:rPr>
      </w:pPr>
      <w:r>
        <w:rPr>
          <w:rFonts w:eastAsia="TimesNewRoman" w:cs="Arial"/>
          <w:kern w:val="1"/>
          <w:sz w:val="24"/>
          <w:szCs w:val="24"/>
        </w:rPr>
        <w:t xml:space="preserve">En relación con los </w:t>
      </w:r>
      <w:r w:rsidRPr="000D0491">
        <w:rPr>
          <w:rFonts w:eastAsia="TimesNewRoman" w:cs="Arial"/>
          <w:b/>
          <w:kern w:val="1"/>
          <w:sz w:val="24"/>
          <w:szCs w:val="24"/>
        </w:rPr>
        <w:t>desplazados internos</w:t>
      </w:r>
      <w:r>
        <w:rPr>
          <w:rFonts w:eastAsia="TimesNewRoman" w:cs="Arial"/>
          <w:kern w:val="1"/>
          <w:sz w:val="24"/>
          <w:szCs w:val="24"/>
        </w:rPr>
        <w:t xml:space="preserve">, la Comisión Interamericana de Derechos Humanos, en un informe sobre estándares interamericanos sobre movilidad humana publicado recientemente, señala que </w:t>
      </w:r>
      <w:r w:rsidRPr="00F2193E">
        <w:rPr>
          <w:sz w:val="24"/>
          <w:szCs w:val="24"/>
          <w:lang w:val="es-ES_tradnl"/>
        </w:rPr>
        <w:t>el desplazam</w:t>
      </w:r>
      <w:r>
        <w:rPr>
          <w:sz w:val="24"/>
          <w:szCs w:val="24"/>
          <w:lang w:val="es-ES_tradnl"/>
        </w:rPr>
        <w:t xml:space="preserve">iento forzado interno afecta  </w:t>
      </w:r>
      <w:r w:rsidRPr="00F2193E">
        <w:rPr>
          <w:sz w:val="24"/>
          <w:szCs w:val="24"/>
          <w:lang w:val="es-ES_tradnl"/>
        </w:rPr>
        <w:t xml:space="preserve"> múltiples derechos humanos</w:t>
      </w:r>
      <w:r>
        <w:rPr>
          <w:sz w:val="24"/>
          <w:szCs w:val="24"/>
          <w:lang w:val="es-ES_tradnl"/>
        </w:rPr>
        <w:t xml:space="preserve">, tales como </w:t>
      </w:r>
      <w:r w:rsidRPr="00F2193E">
        <w:rPr>
          <w:rFonts w:cs="MinionMM"/>
          <w:sz w:val="24"/>
          <w:szCs w:val="24"/>
          <w:lang w:val="es-ES_tradnl"/>
        </w:rPr>
        <w:t>el derecho de circular libremente en</w:t>
      </w:r>
      <w:r>
        <w:rPr>
          <w:rFonts w:cs="MinionMM"/>
          <w:sz w:val="24"/>
          <w:szCs w:val="24"/>
          <w:lang w:val="es-ES_tradnl"/>
        </w:rPr>
        <w:t xml:space="preserve"> el territorio del Estado; </w:t>
      </w:r>
      <w:r w:rsidRPr="00F2193E">
        <w:rPr>
          <w:rFonts w:cs="MinionMM"/>
          <w:sz w:val="24"/>
          <w:szCs w:val="24"/>
          <w:lang w:val="es-ES_tradnl"/>
        </w:rPr>
        <w:t>el derecho de escoger libremente el lugar de residencia; el dere</w:t>
      </w:r>
      <w:r>
        <w:rPr>
          <w:rFonts w:cs="MinionMM"/>
          <w:sz w:val="24"/>
          <w:szCs w:val="24"/>
          <w:lang w:val="es-ES_tradnl"/>
        </w:rPr>
        <w:t>cho a la integridad personal;</w:t>
      </w:r>
      <w:r w:rsidRPr="00F2193E">
        <w:rPr>
          <w:rFonts w:cs="MinionMM"/>
          <w:sz w:val="24"/>
          <w:szCs w:val="24"/>
          <w:lang w:val="es-ES_tradnl"/>
        </w:rPr>
        <w:t xml:space="preserve"> el derecho a la vida privada y familiar; el derecho a la propiedad; y  el derecho al trabajo. </w:t>
      </w:r>
      <w:r>
        <w:rPr>
          <w:rFonts w:cs="MinionMM"/>
          <w:sz w:val="24"/>
          <w:szCs w:val="24"/>
          <w:lang w:val="es-ES_tradnl"/>
        </w:rPr>
        <w:t>Añade la CIDH que “e</w:t>
      </w:r>
      <w:r w:rsidRPr="00F2193E">
        <w:rPr>
          <w:rFonts w:cs="MinionMM"/>
          <w:sz w:val="24"/>
          <w:szCs w:val="24"/>
          <w:lang w:val="es-ES_tradnl"/>
        </w:rPr>
        <w:t>n el caso de los niños, las niñas y los adolescentes, derechos específicos son, además, el derecho a no ser separados de la familia, el derecho a una especial protección y cuidado, y el derecho a la educación. En el caso de las mujeres, el derecho a la adopción de medidas por la vulnerabilidad a la violencia por su condición de desplazadas. En el caso de comunidades y pueblos indígenas y afrodescendientes, el derecho a sus tierras y territorios ancestrales y tradicionales, y el derecho a su cultura.”</w:t>
      </w:r>
      <w:r>
        <w:rPr>
          <w:rStyle w:val="Refdenotaalfinal"/>
          <w:rFonts w:cs="MinionMM"/>
          <w:sz w:val="24"/>
          <w:szCs w:val="24"/>
          <w:lang w:val="es-ES_tradnl"/>
        </w:rPr>
        <w:endnoteReference w:id="3"/>
      </w:r>
    </w:p>
    <w:p w:rsidR="00FA7B89" w:rsidRDefault="00FA7B89" w:rsidP="00662C55">
      <w:pPr>
        <w:spacing w:after="0" w:line="360" w:lineRule="auto"/>
        <w:jc w:val="both"/>
        <w:rPr>
          <w:rFonts w:cs="MinionMM"/>
          <w:sz w:val="24"/>
          <w:szCs w:val="24"/>
          <w:lang w:val="es-ES_tradnl"/>
        </w:rPr>
      </w:pPr>
    </w:p>
    <w:p w:rsidR="00FA7B89" w:rsidRPr="00F2193E" w:rsidRDefault="00FA7B89" w:rsidP="00662C55">
      <w:pPr>
        <w:spacing w:after="0" w:line="360" w:lineRule="auto"/>
        <w:jc w:val="both"/>
        <w:rPr>
          <w:sz w:val="24"/>
          <w:szCs w:val="24"/>
          <w:lang w:val="es-ES_tradnl"/>
        </w:rPr>
      </w:pPr>
      <w:r>
        <w:rPr>
          <w:rFonts w:cs="MinionMM"/>
          <w:sz w:val="24"/>
          <w:szCs w:val="24"/>
          <w:lang w:val="es-ES_tradnl"/>
        </w:rPr>
        <w:t xml:space="preserve">También es relevante la cuestión de </w:t>
      </w:r>
      <w:r w:rsidRPr="000D0491">
        <w:rPr>
          <w:rFonts w:cs="MinionMM"/>
          <w:b/>
          <w:sz w:val="24"/>
          <w:szCs w:val="24"/>
          <w:lang w:val="es-ES_tradnl"/>
        </w:rPr>
        <w:t>los desplazados y  el cambio climático.</w:t>
      </w:r>
      <w:r>
        <w:rPr>
          <w:rFonts w:cs="MinionMM"/>
          <w:sz w:val="24"/>
          <w:szCs w:val="24"/>
          <w:lang w:val="es-ES_tradnl"/>
        </w:rPr>
        <w:t xml:space="preserve"> La CIDH ha valorado “</w:t>
      </w:r>
      <w:r w:rsidRPr="00F2193E">
        <w:rPr>
          <w:sz w:val="24"/>
          <w:szCs w:val="24"/>
          <w:lang w:val="es-ES_tradnl"/>
        </w:rPr>
        <w:t>el reconocimiento que hicieron los Estados de América Latina y el Caribe en la Declaración de Brasil de 2014 con relación a los desafíos que plantean el cambio climático y los desastres naturales, así como el desplazamiento de personas que estos fenómenos generen en la región.”</w:t>
      </w:r>
      <w:r>
        <w:rPr>
          <w:rStyle w:val="Refdenotaalfinal"/>
          <w:sz w:val="24"/>
          <w:szCs w:val="24"/>
          <w:lang w:val="es-ES_tradnl"/>
        </w:rPr>
        <w:endnoteReference w:id="4"/>
      </w:r>
      <w:r>
        <w:rPr>
          <w:sz w:val="24"/>
          <w:szCs w:val="24"/>
          <w:lang w:val="es-ES_tradnl"/>
        </w:rPr>
        <w:t xml:space="preserve"> El cambio climático y diversos desastres naturales ocurridos en los últimos años han provocado desplazamiento interno y migración internacional, desde países sin servicios adecuados ni políticas de desarrollo sostenible.</w:t>
      </w:r>
    </w:p>
    <w:p w:rsidR="00FA7B89" w:rsidRDefault="00FA7B89" w:rsidP="00010A67">
      <w:pPr>
        <w:tabs>
          <w:tab w:val="num" w:pos="900"/>
        </w:tabs>
        <w:spacing w:after="0" w:line="360" w:lineRule="auto"/>
        <w:jc w:val="both"/>
        <w:rPr>
          <w:sz w:val="24"/>
          <w:szCs w:val="24"/>
          <w:lang w:val="es-ES_tradnl"/>
        </w:rPr>
      </w:pPr>
    </w:p>
    <w:p w:rsidR="00F34493" w:rsidRDefault="00FA7B89" w:rsidP="00010A67">
      <w:pPr>
        <w:tabs>
          <w:tab w:val="num" w:pos="900"/>
        </w:tabs>
        <w:spacing w:after="0" w:line="360" w:lineRule="auto"/>
        <w:jc w:val="both"/>
        <w:rPr>
          <w:sz w:val="24"/>
          <w:szCs w:val="24"/>
          <w:lang w:val="es-ES_tradnl"/>
        </w:rPr>
      </w:pPr>
      <w:r>
        <w:rPr>
          <w:sz w:val="24"/>
          <w:szCs w:val="24"/>
          <w:lang w:val="es-ES_tradnl"/>
        </w:rPr>
        <w:t xml:space="preserve">Finalmente, respecto de las </w:t>
      </w:r>
      <w:r w:rsidRPr="00B7350F">
        <w:rPr>
          <w:b/>
          <w:sz w:val="24"/>
          <w:szCs w:val="24"/>
          <w:lang w:val="es-ES_tradnl"/>
        </w:rPr>
        <w:t>personas apátridas</w:t>
      </w:r>
      <w:r>
        <w:rPr>
          <w:sz w:val="24"/>
          <w:szCs w:val="24"/>
          <w:lang w:val="es-ES_tradnl"/>
        </w:rPr>
        <w:t xml:space="preserve">, </w:t>
      </w:r>
      <w:r w:rsidRPr="00F2193E">
        <w:rPr>
          <w:sz w:val="24"/>
          <w:szCs w:val="24"/>
          <w:lang w:val="es-ES_tradnl"/>
        </w:rPr>
        <w:t xml:space="preserve">la migración, </w:t>
      </w:r>
      <w:r>
        <w:rPr>
          <w:sz w:val="24"/>
          <w:szCs w:val="24"/>
          <w:lang w:val="es-ES_tradnl"/>
        </w:rPr>
        <w:t xml:space="preserve">a menudo </w:t>
      </w:r>
      <w:r w:rsidRPr="00F2193E">
        <w:rPr>
          <w:sz w:val="24"/>
          <w:szCs w:val="24"/>
          <w:lang w:val="es-ES_tradnl"/>
        </w:rPr>
        <w:t xml:space="preserve">forzada, </w:t>
      </w:r>
      <w:r>
        <w:rPr>
          <w:sz w:val="24"/>
          <w:szCs w:val="24"/>
          <w:lang w:val="es-ES_tradnl"/>
        </w:rPr>
        <w:t xml:space="preserve">pone en riesgo en la región a numerosas personas, </w:t>
      </w:r>
      <w:r w:rsidRPr="00F2193E">
        <w:rPr>
          <w:sz w:val="24"/>
          <w:szCs w:val="24"/>
          <w:lang w:val="es-ES_tradnl"/>
        </w:rPr>
        <w:t xml:space="preserve">especialmente </w:t>
      </w:r>
      <w:r>
        <w:rPr>
          <w:sz w:val="24"/>
          <w:szCs w:val="24"/>
          <w:lang w:val="es-ES_tradnl"/>
        </w:rPr>
        <w:t xml:space="preserve">a </w:t>
      </w:r>
      <w:r w:rsidRPr="00F2193E">
        <w:rPr>
          <w:sz w:val="24"/>
          <w:szCs w:val="24"/>
          <w:lang w:val="es-ES_tradnl"/>
        </w:rPr>
        <w:t xml:space="preserve">niños y niñas, </w:t>
      </w:r>
      <w:r>
        <w:rPr>
          <w:sz w:val="24"/>
          <w:szCs w:val="24"/>
          <w:lang w:val="es-ES_tradnl"/>
        </w:rPr>
        <w:t xml:space="preserve">de llegar a serlo, al no contar con un </w:t>
      </w:r>
      <w:r w:rsidRPr="00F2193E">
        <w:rPr>
          <w:sz w:val="24"/>
          <w:szCs w:val="24"/>
          <w:lang w:val="es-ES_tradnl"/>
        </w:rPr>
        <w:t>registro de nacimiento</w:t>
      </w:r>
      <w:r>
        <w:rPr>
          <w:sz w:val="24"/>
          <w:szCs w:val="24"/>
          <w:lang w:val="es-ES_tradnl"/>
        </w:rPr>
        <w:t>. T</w:t>
      </w:r>
      <w:r w:rsidRPr="00F2193E">
        <w:rPr>
          <w:sz w:val="24"/>
          <w:szCs w:val="24"/>
          <w:lang w:val="es-ES_tradnl"/>
        </w:rPr>
        <w:t xml:space="preserve">ambién </w:t>
      </w:r>
      <w:r>
        <w:rPr>
          <w:sz w:val="24"/>
          <w:szCs w:val="24"/>
          <w:lang w:val="es-ES_tradnl"/>
        </w:rPr>
        <w:t xml:space="preserve">hay casos de </w:t>
      </w:r>
      <w:proofErr w:type="spellStart"/>
      <w:r w:rsidRPr="00F2193E">
        <w:rPr>
          <w:sz w:val="24"/>
          <w:szCs w:val="24"/>
          <w:lang w:val="es-ES_tradnl"/>
        </w:rPr>
        <w:t>apatridia</w:t>
      </w:r>
      <w:proofErr w:type="spellEnd"/>
      <w:r w:rsidRPr="00F2193E">
        <w:rPr>
          <w:sz w:val="24"/>
          <w:szCs w:val="24"/>
          <w:lang w:val="es-ES_tradnl"/>
        </w:rPr>
        <w:t xml:space="preserve"> </w:t>
      </w:r>
      <w:r>
        <w:rPr>
          <w:sz w:val="24"/>
          <w:szCs w:val="24"/>
          <w:lang w:val="es-ES_tradnl"/>
        </w:rPr>
        <w:t xml:space="preserve">por </w:t>
      </w:r>
      <w:r w:rsidRPr="00F2193E">
        <w:rPr>
          <w:sz w:val="24"/>
          <w:szCs w:val="24"/>
          <w:lang w:val="es-ES_tradnl"/>
        </w:rPr>
        <w:t>la situación de los hijos de naci</w:t>
      </w:r>
      <w:r>
        <w:rPr>
          <w:sz w:val="24"/>
          <w:szCs w:val="24"/>
          <w:lang w:val="es-ES_tradnl"/>
        </w:rPr>
        <w:t xml:space="preserve">onales nacidos en el extranjero. </w:t>
      </w:r>
      <w:r w:rsidRPr="00F2193E">
        <w:rPr>
          <w:sz w:val="24"/>
          <w:szCs w:val="24"/>
          <w:lang w:val="es-ES_tradnl"/>
        </w:rPr>
        <w:t xml:space="preserve">La Comisión </w:t>
      </w:r>
      <w:r>
        <w:rPr>
          <w:sz w:val="24"/>
          <w:szCs w:val="24"/>
          <w:lang w:val="es-ES_tradnl"/>
        </w:rPr>
        <w:lastRenderedPageBreak/>
        <w:t>Interamericana considera que “</w:t>
      </w:r>
      <w:r w:rsidRPr="00F2193E">
        <w:rPr>
          <w:sz w:val="24"/>
          <w:szCs w:val="24"/>
          <w:lang w:val="es-ES_tradnl"/>
        </w:rPr>
        <w:t xml:space="preserve">las situaciones de </w:t>
      </w:r>
      <w:proofErr w:type="spellStart"/>
      <w:r w:rsidRPr="00F2193E">
        <w:rPr>
          <w:sz w:val="24"/>
          <w:szCs w:val="24"/>
          <w:lang w:val="es-ES_tradnl"/>
        </w:rPr>
        <w:t>apatridia</w:t>
      </w:r>
      <w:proofErr w:type="spellEnd"/>
      <w:r w:rsidRPr="00F2193E">
        <w:rPr>
          <w:sz w:val="24"/>
          <w:szCs w:val="24"/>
          <w:lang w:val="es-ES_tradnl"/>
        </w:rPr>
        <w:t xml:space="preserve"> en las Américas son excepcionales gracias a </w:t>
      </w:r>
      <w:r w:rsidRPr="00F2193E">
        <w:rPr>
          <w:sz w:val="24"/>
          <w:szCs w:val="24"/>
        </w:rPr>
        <w:t xml:space="preserve">la aplicación combinada del principio de </w:t>
      </w:r>
      <w:proofErr w:type="spellStart"/>
      <w:r w:rsidRPr="00F2193E">
        <w:rPr>
          <w:i/>
          <w:sz w:val="24"/>
          <w:szCs w:val="24"/>
        </w:rPr>
        <w:t>ius</w:t>
      </w:r>
      <w:proofErr w:type="spellEnd"/>
      <w:r w:rsidRPr="00F2193E">
        <w:rPr>
          <w:i/>
          <w:sz w:val="24"/>
          <w:szCs w:val="24"/>
        </w:rPr>
        <w:t xml:space="preserve"> </w:t>
      </w:r>
      <w:proofErr w:type="spellStart"/>
      <w:r w:rsidRPr="00F2193E">
        <w:rPr>
          <w:i/>
          <w:sz w:val="24"/>
          <w:szCs w:val="24"/>
        </w:rPr>
        <w:t>soli</w:t>
      </w:r>
      <w:proofErr w:type="spellEnd"/>
      <w:r w:rsidRPr="00F2193E">
        <w:rPr>
          <w:sz w:val="24"/>
          <w:szCs w:val="24"/>
        </w:rPr>
        <w:t xml:space="preserve"> y del principio de </w:t>
      </w:r>
      <w:proofErr w:type="spellStart"/>
      <w:r w:rsidRPr="00F2193E">
        <w:rPr>
          <w:i/>
          <w:sz w:val="24"/>
          <w:szCs w:val="24"/>
        </w:rPr>
        <w:t>ius</w:t>
      </w:r>
      <w:proofErr w:type="spellEnd"/>
      <w:r w:rsidRPr="00F2193E">
        <w:rPr>
          <w:i/>
          <w:sz w:val="24"/>
          <w:szCs w:val="24"/>
        </w:rPr>
        <w:t xml:space="preserve"> </w:t>
      </w:r>
      <w:proofErr w:type="spellStart"/>
      <w:r w:rsidRPr="00F2193E">
        <w:rPr>
          <w:i/>
          <w:sz w:val="24"/>
          <w:szCs w:val="24"/>
        </w:rPr>
        <w:t>sanguinis</w:t>
      </w:r>
      <w:proofErr w:type="spellEnd"/>
      <w:r w:rsidRPr="00F2193E">
        <w:rPr>
          <w:sz w:val="24"/>
          <w:szCs w:val="24"/>
        </w:rPr>
        <w:t xml:space="preserve"> en la mayoría de los Estados Miembros de la OEA. No obstante</w:t>
      </w:r>
      <w:r>
        <w:rPr>
          <w:sz w:val="24"/>
          <w:szCs w:val="24"/>
        </w:rPr>
        <w:t xml:space="preserve"> –añade-</w:t>
      </w:r>
      <w:r w:rsidRPr="00F2193E">
        <w:rPr>
          <w:sz w:val="24"/>
          <w:szCs w:val="24"/>
        </w:rPr>
        <w:t xml:space="preserve">, </w:t>
      </w:r>
      <w:r>
        <w:rPr>
          <w:sz w:val="24"/>
          <w:szCs w:val="24"/>
        </w:rPr>
        <w:t xml:space="preserve">como se señala en la Declaración de Brasil, </w:t>
      </w:r>
      <w:r w:rsidRPr="00F2193E">
        <w:rPr>
          <w:sz w:val="24"/>
          <w:szCs w:val="24"/>
          <w:lang w:val="es-ES_tradnl"/>
        </w:rPr>
        <w:t xml:space="preserve">subsisten vacíos legislativos y omisiones en la práctica estatal a nivel regional para prevenir la </w:t>
      </w:r>
      <w:proofErr w:type="spellStart"/>
      <w:r w:rsidRPr="00F2193E">
        <w:rPr>
          <w:sz w:val="24"/>
          <w:szCs w:val="24"/>
          <w:lang w:val="es-ES_tradnl"/>
        </w:rPr>
        <w:t>apatridia</w:t>
      </w:r>
      <w:proofErr w:type="spellEnd"/>
      <w:r w:rsidRPr="00F2193E">
        <w:rPr>
          <w:sz w:val="24"/>
          <w:szCs w:val="24"/>
          <w:lang w:val="es-ES_tradnl"/>
        </w:rPr>
        <w:t>.</w:t>
      </w:r>
      <w:r>
        <w:rPr>
          <w:sz w:val="24"/>
          <w:szCs w:val="24"/>
          <w:lang w:val="es-ES_tradnl"/>
        </w:rPr>
        <w:t>”</w:t>
      </w:r>
      <w:r>
        <w:rPr>
          <w:rStyle w:val="Refdenotaalfinal"/>
          <w:sz w:val="24"/>
          <w:szCs w:val="24"/>
          <w:lang w:val="es-ES_tradnl"/>
        </w:rPr>
        <w:endnoteReference w:id="5"/>
      </w:r>
      <w:r>
        <w:rPr>
          <w:sz w:val="24"/>
          <w:szCs w:val="24"/>
          <w:lang w:val="es-ES_tradnl"/>
        </w:rPr>
        <w:t xml:space="preserve"> Por último, o</w:t>
      </w:r>
      <w:r w:rsidR="00C439DD" w:rsidRPr="00F2193E">
        <w:rPr>
          <w:sz w:val="24"/>
          <w:szCs w:val="24"/>
          <w:lang w:val="es-ES_tradnl"/>
        </w:rPr>
        <w:t xml:space="preserve">tro </w:t>
      </w:r>
      <w:r w:rsidR="00A07077">
        <w:rPr>
          <w:sz w:val="24"/>
          <w:szCs w:val="24"/>
          <w:lang w:val="es-ES_tradnl"/>
        </w:rPr>
        <w:t xml:space="preserve">serio problema que advierte la Comisión Interamericana se refiere a </w:t>
      </w:r>
      <w:r w:rsidR="00C439DD" w:rsidRPr="00F2193E">
        <w:rPr>
          <w:sz w:val="24"/>
          <w:szCs w:val="24"/>
          <w:lang w:val="es-ES_tradnl"/>
        </w:rPr>
        <w:t xml:space="preserve">leyes sobre nacionalidad </w:t>
      </w:r>
      <w:r w:rsidR="00E83D39">
        <w:rPr>
          <w:sz w:val="24"/>
          <w:szCs w:val="24"/>
          <w:lang w:val="es-ES_tradnl"/>
        </w:rPr>
        <w:t xml:space="preserve">en algunos países </w:t>
      </w:r>
      <w:r w:rsidR="00C439DD" w:rsidRPr="00F2193E">
        <w:rPr>
          <w:sz w:val="24"/>
          <w:szCs w:val="24"/>
          <w:lang w:val="es-ES_tradnl"/>
        </w:rPr>
        <w:t xml:space="preserve">que no reconocen la igualdad de las mujeres </w:t>
      </w:r>
      <w:r w:rsidR="00E83D39">
        <w:rPr>
          <w:sz w:val="24"/>
          <w:szCs w:val="24"/>
          <w:lang w:val="es-ES_tradnl"/>
        </w:rPr>
        <w:t>en relación con</w:t>
      </w:r>
      <w:r w:rsidR="00C439DD" w:rsidRPr="00F2193E">
        <w:rPr>
          <w:sz w:val="24"/>
          <w:szCs w:val="24"/>
          <w:lang w:val="es-ES_tradnl"/>
        </w:rPr>
        <w:t xml:space="preserve"> los hombres </w:t>
      </w:r>
      <w:r w:rsidR="00E83D39">
        <w:rPr>
          <w:sz w:val="24"/>
          <w:szCs w:val="24"/>
          <w:lang w:val="es-ES_tradnl"/>
        </w:rPr>
        <w:t xml:space="preserve">para el otorgamiento </w:t>
      </w:r>
      <w:r w:rsidR="00C439DD" w:rsidRPr="00F2193E">
        <w:rPr>
          <w:sz w:val="24"/>
          <w:szCs w:val="24"/>
          <w:lang w:val="es-ES_tradnl"/>
        </w:rPr>
        <w:t>de la nacionalidad a sus hijos.</w:t>
      </w:r>
    </w:p>
    <w:sectPr w:rsidR="00F3449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5A" w:rsidRDefault="00927D5A" w:rsidP="00F348F0">
      <w:pPr>
        <w:spacing w:after="0" w:line="240" w:lineRule="auto"/>
      </w:pPr>
      <w:r>
        <w:separator/>
      </w:r>
    </w:p>
  </w:endnote>
  <w:endnote w:type="continuationSeparator" w:id="0">
    <w:p w:rsidR="00927D5A" w:rsidRDefault="00927D5A" w:rsidP="00F348F0">
      <w:pPr>
        <w:spacing w:after="0" w:line="240" w:lineRule="auto"/>
      </w:pPr>
      <w:r>
        <w:continuationSeparator/>
      </w:r>
    </w:p>
  </w:endnote>
  <w:endnote w:id="1">
    <w:p w:rsidR="00FA7B89" w:rsidRPr="00B7350F" w:rsidRDefault="00FA7B89" w:rsidP="00F348F0">
      <w:pPr>
        <w:pStyle w:val="Textonotaalfinal"/>
        <w:rPr>
          <w:rFonts w:ascii="Times New Roman" w:hAnsi="Times New Roman" w:cs="Times New Roman"/>
        </w:rPr>
      </w:pPr>
      <w:r w:rsidRPr="00325F5C">
        <w:rPr>
          <w:rStyle w:val="Refdenotaalfinal"/>
          <w:rFonts w:ascii="Times New Roman" w:hAnsi="Times New Roman" w:cs="Times New Roman"/>
        </w:rPr>
        <w:endnoteRef/>
      </w:r>
      <w:r w:rsidRPr="00325F5C">
        <w:rPr>
          <w:rFonts w:ascii="Times New Roman" w:hAnsi="Times New Roman" w:cs="Times New Roman"/>
        </w:rPr>
        <w:t xml:space="preserve"> </w:t>
      </w:r>
      <w:r w:rsidRPr="00B7350F">
        <w:rPr>
          <w:rFonts w:ascii="Times New Roman" w:hAnsi="Times New Roman" w:cs="Times New Roman"/>
        </w:rPr>
        <w:t xml:space="preserve"> Declaración de Cartagena, Sección III, conclusión tercera.</w:t>
      </w:r>
    </w:p>
  </w:endnote>
  <w:endnote w:id="2">
    <w:p w:rsidR="00FA7B89" w:rsidRPr="00B7350F" w:rsidRDefault="00FA7B89" w:rsidP="00C24FEE">
      <w:pPr>
        <w:pStyle w:val="Textonotaalfinal"/>
        <w:jc w:val="both"/>
        <w:rPr>
          <w:rFonts w:ascii="Times New Roman" w:hAnsi="Times New Roman" w:cs="Times New Roman"/>
        </w:rPr>
      </w:pPr>
      <w:r w:rsidRPr="00B7350F">
        <w:rPr>
          <w:rStyle w:val="Refdenotaalfinal"/>
          <w:rFonts w:ascii="Times New Roman" w:hAnsi="Times New Roman" w:cs="Times New Roman"/>
        </w:rPr>
        <w:endnoteRef/>
      </w:r>
      <w:r w:rsidRPr="00B7350F">
        <w:rPr>
          <w:rFonts w:ascii="Times New Roman" w:hAnsi="Times New Roman" w:cs="Times New Roman"/>
        </w:rPr>
        <w:t xml:space="preserve"> Corte IDH, Opinión Consultiva OC-21/14, de 19 de agosto de 2014,</w:t>
      </w:r>
      <w:r w:rsidRPr="00B7350F">
        <w:rPr>
          <w:rFonts w:ascii="Times New Roman" w:hAnsi="Times New Roman" w:cs="Times New Roman"/>
          <w:lang w:val="es-ES_tradnl"/>
        </w:rPr>
        <w:t xml:space="preserve"> párr.</w:t>
      </w:r>
      <w:r w:rsidRPr="00B7350F">
        <w:rPr>
          <w:rFonts w:ascii="Times New Roman" w:hAnsi="Times New Roman" w:cs="Times New Roman"/>
        </w:rPr>
        <w:t xml:space="preserve"> 160.</w:t>
      </w:r>
    </w:p>
  </w:endnote>
  <w:endnote w:id="3">
    <w:p w:rsidR="00FA7B89" w:rsidRPr="00B7350F" w:rsidRDefault="00FA7B89" w:rsidP="00B7350F">
      <w:pPr>
        <w:pStyle w:val="Textonotaalfinal"/>
        <w:jc w:val="both"/>
        <w:rPr>
          <w:rFonts w:ascii="Times New Roman" w:hAnsi="Times New Roman" w:cs="Times New Roman"/>
        </w:rPr>
      </w:pPr>
      <w:r w:rsidRPr="00B7350F">
        <w:rPr>
          <w:rStyle w:val="Refdenotaalfinal"/>
          <w:rFonts w:ascii="Times New Roman" w:hAnsi="Times New Roman" w:cs="Times New Roman"/>
        </w:rPr>
        <w:endnoteRef/>
      </w:r>
      <w:r w:rsidRPr="00B7350F">
        <w:rPr>
          <w:rFonts w:ascii="Times New Roman" w:hAnsi="Times New Roman" w:cs="Times New Roman"/>
        </w:rPr>
        <w:t xml:space="preserve"> Comisión Interamericana de Derechos Humanos, Informe Movilidad Humana: Estándares Interamericanos, 2016, párrafo 235.</w:t>
      </w:r>
    </w:p>
  </w:endnote>
  <w:endnote w:id="4">
    <w:p w:rsidR="00FA7B89" w:rsidRPr="00B7350F" w:rsidRDefault="00FA7B89">
      <w:pPr>
        <w:pStyle w:val="Textonotaalfinal"/>
        <w:rPr>
          <w:rFonts w:ascii="Times New Roman" w:hAnsi="Times New Roman" w:cs="Times New Roman"/>
        </w:rPr>
      </w:pPr>
      <w:r w:rsidRPr="00B7350F">
        <w:rPr>
          <w:rStyle w:val="Refdenotaalfinal"/>
          <w:rFonts w:ascii="Times New Roman" w:hAnsi="Times New Roman" w:cs="Times New Roman"/>
        </w:rPr>
        <w:endnoteRef/>
      </w:r>
      <w:r w:rsidRPr="00B7350F">
        <w:rPr>
          <w:rFonts w:ascii="Times New Roman" w:hAnsi="Times New Roman" w:cs="Times New Roman"/>
        </w:rPr>
        <w:t xml:space="preserve"> Ibíd., párrafo 64.</w:t>
      </w:r>
    </w:p>
  </w:endnote>
  <w:endnote w:id="5">
    <w:p w:rsidR="00FA7B89" w:rsidRDefault="00FA7B89">
      <w:pPr>
        <w:pStyle w:val="Textonotaalfinal"/>
      </w:pPr>
      <w:r w:rsidRPr="00B7350F">
        <w:rPr>
          <w:rStyle w:val="Refdenotaalfinal"/>
          <w:rFonts w:ascii="Times New Roman" w:hAnsi="Times New Roman" w:cs="Times New Roman"/>
        </w:rPr>
        <w:endnoteRef/>
      </w:r>
      <w:r w:rsidRPr="00B7350F">
        <w:rPr>
          <w:rFonts w:ascii="Times New Roman" w:hAnsi="Times New Roman" w:cs="Times New Roman"/>
        </w:rPr>
        <w:t xml:space="preserve"> Ibíd., párrafo 56.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ndale Sans UI">
    <w:altName w:val="Arial Unicode MS"/>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inionMM">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5A" w:rsidRDefault="00927D5A" w:rsidP="00F348F0">
      <w:pPr>
        <w:spacing w:after="0" w:line="240" w:lineRule="auto"/>
      </w:pPr>
      <w:r>
        <w:separator/>
      </w:r>
    </w:p>
  </w:footnote>
  <w:footnote w:type="continuationSeparator" w:id="0">
    <w:p w:rsidR="00927D5A" w:rsidRDefault="00927D5A" w:rsidP="00F348F0">
      <w:pPr>
        <w:spacing w:after="0" w:line="240" w:lineRule="auto"/>
      </w:pPr>
      <w:r>
        <w:continuationSeparator/>
      </w:r>
    </w:p>
  </w:footnote>
  <w:footnote w:id="1">
    <w:p w:rsidR="00FB6AA2" w:rsidRDefault="00FB6AA2">
      <w:pPr>
        <w:pStyle w:val="Textonotapie"/>
      </w:pPr>
      <w:r>
        <w:rPr>
          <w:rStyle w:val="Refdenotaalpie"/>
        </w:rPr>
        <w:footnoteRef/>
      </w:r>
      <w:r>
        <w:rPr>
          <w:rStyle w:val="Refdenotaalpie"/>
        </w:rPr>
        <w:footnoteRef/>
      </w:r>
      <w:r>
        <w:t xml:space="preserve"> Ex Presidente y ex Relator sobre Migrantes, Comisión Interamericana de Derechos Humanos. Profesor de Derecho Internacional Público en la Universidad Diego Portales, en Santiago de Chile.</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6D1"/>
    <w:multiLevelType w:val="hybridMultilevel"/>
    <w:tmpl w:val="341EAF94"/>
    <w:lvl w:ilvl="0" w:tplc="04090017">
      <w:start w:val="1"/>
      <w:numFmt w:val="decimal"/>
      <w:lvlText w:val="%1."/>
      <w:lvlJc w:val="left"/>
      <w:pPr>
        <w:tabs>
          <w:tab w:val="num" w:pos="720"/>
        </w:tabs>
        <w:ind w:firstLine="720"/>
      </w:pPr>
      <w:rPr>
        <w:rFonts w:cs="Times New Roman" w:hint="default"/>
        <w:b w:val="0"/>
        <w:i w:val="0"/>
        <w:color w:val="auto"/>
        <w:sz w:val="20"/>
        <w:szCs w:val="20"/>
      </w:rPr>
    </w:lvl>
    <w:lvl w:ilvl="1" w:tplc="04090019">
      <w:start w:val="69"/>
      <w:numFmt w:val="decimal"/>
      <w:lvlText w:val="%2."/>
      <w:lvlJc w:val="left"/>
      <w:pPr>
        <w:tabs>
          <w:tab w:val="num" w:pos="2520"/>
        </w:tabs>
        <w:ind w:left="2520" w:hanging="144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4F66880E">
      <w:start w:val="1"/>
      <w:numFmt w:val="decimal"/>
      <w:lvlText w:val="%4."/>
      <w:lvlJc w:val="left"/>
      <w:pPr>
        <w:tabs>
          <w:tab w:val="num" w:pos="2880"/>
        </w:tabs>
        <w:ind w:left="2880" w:hanging="360"/>
      </w:pPr>
      <w:rPr>
        <w:rFonts w:asciiTheme="minorHAnsi" w:eastAsia="MS ??" w:hAnsiTheme="minorHAnsi"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60612A60"/>
    <w:multiLevelType w:val="hybridMultilevel"/>
    <w:tmpl w:val="E1B6AE52"/>
    <w:lvl w:ilvl="0" w:tplc="04090017">
      <w:start w:val="1"/>
      <w:numFmt w:val="decimal"/>
      <w:lvlText w:val="%1."/>
      <w:lvlJc w:val="left"/>
      <w:pPr>
        <w:tabs>
          <w:tab w:val="num" w:pos="720"/>
        </w:tabs>
        <w:ind w:firstLine="720"/>
      </w:pPr>
      <w:rPr>
        <w:rFonts w:cs="Times New Roman" w:hint="default"/>
        <w:b w:val="0"/>
        <w:i w:val="0"/>
        <w:color w:val="auto"/>
        <w:sz w:val="20"/>
        <w:szCs w:val="20"/>
      </w:rPr>
    </w:lvl>
    <w:lvl w:ilvl="1" w:tplc="F4888800">
      <w:start w:val="1"/>
      <w:numFmt w:val="decimal"/>
      <w:lvlText w:val="%2."/>
      <w:lvlJc w:val="left"/>
      <w:pPr>
        <w:tabs>
          <w:tab w:val="num" w:pos="2520"/>
        </w:tabs>
        <w:ind w:left="2520" w:hanging="1440"/>
      </w:pPr>
      <w:rPr>
        <w:rFonts w:ascii="Cambria" w:eastAsia="MS ??" w:hAnsi="Cambria"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6398041A"/>
    <w:multiLevelType w:val="hybridMultilevel"/>
    <w:tmpl w:val="68EEF4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F0"/>
    <w:rsid w:val="00010A67"/>
    <w:rsid w:val="000149FD"/>
    <w:rsid w:val="00052D76"/>
    <w:rsid w:val="00057B9C"/>
    <w:rsid w:val="000C49E5"/>
    <w:rsid w:val="000D0491"/>
    <w:rsid w:val="00112CBA"/>
    <w:rsid w:val="00192AC1"/>
    <w:rsid w:val="00194FEC"/>
    <w:rsid w:val="001B3AED"/>
    <w:rsid w:val="001B48D9"/>
    <w:rsid w:val="001F38E5"/>
    <w:rsid w:val="001F6523"/>
    <w:rsid w:val="00270B9C"/>
    <w:rsid w:val="002D4A88"/>
    <w:rsid w:val="003003AD"/>
    <w:rsid w:val="003831AA"/>
    <w:rsid w:val="003E0668"/>
    <w:rsid w:val="004334F2"/>
    <w:rsid w:val="00474C45"/>
    <w:rsid w:val="005451D0"/>
    <w:rsid w:val="00662C55"/>
    <w:rsid w:val="006A57AE"/>
    <w:rsid w:val="006B2BEA"/>
    <w:rsid w:val="00705FDD"/>
    <w:rsid w:val="00717753"/>
    <w:rsid w:val="00761C61"/>
    <w:rsid w:val="00813429"/>
    <w:rsid w:val="00831BD4"/>
    <w:rsid w:val="00870E27"/>
    <w:rsid w:val="008F44D3"/>
    <w:rsid w:val="00914339"/>
    <w:rsid w:val="00927D5A"/>
    <w:rsid w:val="00990E99"/>
    <w:rsid w:val="009F4106"/>
    <w:rsid w:val="00A07077"/>
    <w:rsid w:val="00A232CD"/>
    <w:rsid w:val="00A62874"/>
    <w:rsid w:val="00A65684"/>
    <w:rsid w:val="00A82089"/>
    <w:rsid w:val="00B7350F"/>
    <w:rsid w:val="00BC2544"/>
    <w:rsid w:val="00C07350"/>
    <w:rsid w:val="00C07AF2"/>
    <w:rsid w:val="00C14CF6"/>
    <w:rsid w:val="00C24FEE"/>
    <w:rsid w:val="00C439DD"/>
    <w:rsid w:val="00C47170"/>
    <w:rsid w:val="00CE28CE"/>
    <w:rsid w:val="00D31624"/>
    <w:rsid w:val="00D35C37"/>
    <w:rsid w:val="00D806ED"/>
    <w:rsid w:val="00D94A8A"/>
    <w:rsid w:val="00E270D8"/>
    <w:rsid w:val="00E80A60"/>
    <w:rsid w:val="00E83D39"/>
    <w:rsid w:val="00EC6B5A"/>
    <w:rsid w:val="00ED3925"/>
    <w:rsid w:val="00F151E7"/>
    <w:rsid w:val="00F2193E"/>
    <w:rsid w:val="00F22860"/>
    <w:rsid w:val="00F34493"/>
    <w:rsid w:val="00F348F0"/>
    <w:rsid w:val="00FA7B89"/>
    <w:rsid w:val="00FB6A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1,footnote tex"/>
    <w:basedOn w:val="Normal"/>
    <w:link w:val="TextonotapieCar"/>
    <w:unhideWhenUsed/>
    <w:qFormat/>
    <w:rsid w:val="00F348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348F0"/>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Ref. de nota al"/>
    <w:basedOn w:val="Fuentedeprrafopredeter"/>
    <w:link w:val="FootnotesrefssChar1Char"/>
    <w:unhideWhenUsed/>
    <w:qFormat/>
    <w:rsid w:val="00F348F0"/>
    <w:rPr>
      <w:vertAlign w:val="superscript"/>
    </w:rPr>
  </w:style>
  <w:style w:type="paragraph" w:styleId="Prrafodelista">
    <w:name w:val="List Paragraph"/>
    <w:basedOn w:val="Normal"/>
    <w:uiPriority w:val="34"/>
    <w:qFormat/>
    <w:rsid w:val="00112CBA"/>
    <w:pPr>
      <w:ind w:left="720"/>
      <w:contextualSpacing/>
    </w:pPr>
  </w:style>
  <w:style w:type="character" w:customStyle="1" w:styleId="Caracteresdenotaalpie">
    <w:name w:val="Caracteres de nota al pie"/>
    <w:rsid w:val="00813429"/>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Refdenotaalpie"/>
    <w:uiPriority w:val="99"/>
    <w:qFormat/>
    <w:rsid w:val="001F6523"/>
    <w:pPr>
      <w:spacing w:after="160" w:line="240" w:lineRule="exact"/>
    </w:pPr>
    <w:rPr>
      <w:vertAlign w:val="superscript"/>
    </w:rPr>
  </w:style>
  <w:style w:type="character" w:styleId="Textoennegrita">
    <w:name w:val="Strong"/>
    <w:uiPriority w:val="22"/>
    <w:qFormat/>
    <w:rsid w:val="001F6523"/>
    <w:rPr>
      <w:b/>
      <w:bCs/>
    </w:rPr>
  </w:style>
  <w:style w:type="paragraph" w:styleId="NormalWeb">
    <w:name w:val="Normal (Web)"/>
    <w:basedOn w:val="Normal"/>
    <w:uiPriority w:val="99"/>
    <w:rsid w:val="00A65684"/>
    <w:pPr>
      <w:spacing w:after="0" w:line="240" w:lineRule="auto"/>
    </w:pPr>
    <w:rPr>
      <w:rFonts w:ascii="Times New Roman" w:eastAsia="MS ??" w:hAnsi="Times New Roman" w:cs="Times New Roman"/>
      <w:sz w:val="24"/>
      <w:szCs w:val="24"/>
      <w:lang w:val="en-US"/>
    </w:rPr>
  </w:style>
  <w:style w:type="paragraph" w:styleId="Textonotaalfinal">
    <w:name w:val="endnote text"/>
    <w:basedOn w:val="Normal"/>
    <w:link w:val="TextonotaalfinalCar"/>
    <w:uiPriority w:val="99"/>
    <w:semiHidden/>
    <w:unhideWhenUsed/>
    <w:rsid w:val="00FA7B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A7B89"/>
    <w:rPr>
      <w:sz w:val="20"/>
      <w:szCs w:val="20"/>
    </w:rPr>
  </w:style>
  <w:style w:type="character" w:styleId="Refdenotaalfinal">
    <w:name w:val="endnote reference"/>
    <w:basedOn w:val="Fuentedeprrafopredeter"/>
    <w:uiPriority w:val="99"/>
    <w:semiHidden/>
    <w:unhideWhenUsed/>
    <w:rsid w:val="00FA7B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1,footnote tex"/>
    <w:basedOn w:val="Normal"/>
    <w:link w:val="TextonotapieCar"/>
    <w:unhideWhenUsed/>
    <w:qFormat/>
    <w:rsid w:val="00F348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348F0"/>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Ref. de nota al"/>
    <w:basedOn w:val="Fuentedeprrafopredeter"/>
    <w:link w:val="FootnotesrefssChar1Char"/>
    <w:unhideWhenUsed/>
    <w:qFormat/>
    <w:rsid w:val="00F348F0"/>
    <w:rPr>
      <w:vertAlign w:val="superscript"/>
    </w:rPr>
  </w:style>
  <w:style w:type="paragraph" w:styleId="Prrafodelista">
    <w:name w:val="List Paragraph"/>
    <w:basedOn w:val="Normal"/>
    <w:uiPriority w:val="34"/>
    <w:qFormat/>
    <w:rsid w:val="00112CBA"/>
    <w:pPr>
      <w:ind w:left="720"/>
      <w:contextualSpacing/>
    </w:pPr>
  </w:style>
  <w:style w:type="character" w:customStyle="1" w:styleId="Caracteresdenotaalpie">
    <w:name w:val="Caracteres de nota al pie"/>
    <w:rsid w:val="00813429"/>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Refdenotaalpie"/>
    <w:uiPriority w:val="99"/>
    <w:qFormat/>
    <w:rsid w:val="001F6523"/>
    <w:pPr>
      <w:spacing w:after="160" w:line="240" w:lineRule="exact"/>
    </w:pPr>
    <w:rPr>
      <w:vertAlign w:val="superscript"/>
    </w:rPr>
  </w:style>
  <w:style w:type="character" w:styleId="Textoennegrita">
    <w:name w:val="Strong"/>
    <w:uiPriority w:val="22"/>
    <w:qFormat/>
    <w:rsid w:val="001F6523"/>
    <w:rPr>
      <w:b/>
      <w:bCs/>
    </w:rPr>
  </w:style>
  <w:style w:type="paragraph" w:styleId="NormalWeb">
    <w:name w:val="Normal (Web)"/>
    <w:basedOn w:val="Normal"/>
    <w:uiPriority w:val="99"/>
    <w:rsid w:val="00A65684"/>
    <w:pPr>
      <w:spacing w:after="0" w:line="240" w:lineRule="auto"/>
    </w:pPr>
    <w:rPr>
      <w:rFonts w:ascii="Times New Roman" w:eastAsia="MS ??" w:hAnsi="Times New Roman" w:cs="Times New Roman"/>
      <w:sz w:val="24"/>
      <w:szCs w:val="24"/>
      <w:lang w:val="en-US"/>
    </w:rPr>
  </w:style>
  <w:style w:type="paragraph" w:styleId="Textonotaalfinal">
    <w:name w:val="endnote text"/>
    <w:basedOn w:val="Normal"/>
    <w:link w:val="TextonotaalfinalCar"/>
    <w:uiPriority w:val="99"/>
    <w:semiHidden/>
    <w:unhideWhenUsed/>
    <w:rsid w:val="00FA7B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A7B89"/>
    <w:rPr>
      <w:sz w:val="20"/>
      <w:szCs w:val="20"/>
    </w:rPr>
  </w:style>
  <w:style w:type="character" w:styleId="Refdenotaalfinal">
    <w:name w:val="endnote reference"/>
    <w:basedOn w:val="Fuentedeprrafopredeter"/>
    <w:uiPriority w:val="99"/>
    <w:semiHidden/>
    <w:unhideWhenUsed/>
    <w:rsid w:val="00FA7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A540D0-C97E-45B9-BF97-A2C87E05766B}"/>
</file>

<file path=customXml/itemProps2.xml><?xml version="1.0" encoding="utf-8"?>
<ds:datastoreItem xmlns:ds="http://schemas.openxmlformats.org/officeDocument/2006/customXml" ds:itemID="{440BCE45-63D3-4411-942D-F5E60C5EE3EE}"/>
</file>

<file path=customXml/itemProps3.xml><?xml version="1.0" encoding="utf-8"?>
<ds:datastoreItem xmlns:ds="http://schemas.openxmlformats.org/officeDocument/2006/customXml" ds:itemID="{BF0640C0-9371-4025-8906-C5E92A1F3E19}"/>
</file>

<file path=customXml/itemProps4.xml><?xml version="1.0" encoding="utf-8"?>
<ds:datastoreItem xmlns:ds="http://schemas.openxmlformats.org/officeDocument/2006/customXml" ds:itemID="{F416FB42-39EB-4BD5-9443-809DC3F451E2}"/>
</file>

<file path=docProps/app.xml><?xml version="1.0" encoding="utf-8"?>
<Properties xmlns="http://schemas.openxmlformats.org/officeDocument/2006/extended-properties" xmlns:vt="http://schemas.openxmlformats.org/officeDocument/2006/docPropsVTypes">
  <Template>Normal</Template>
  <TotalTime>3</TotalTime>
  <Pages>4</Pages>
  <Words>1116</Words>
  <Characters>6142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dcterms:created xsi:type="dcterms:W3CDTF">2016-12-01T19:01:00Z</dcterms:created>
  <dcterms:modified xsi:type="dcterms:W3CDTF">2016-12-01T19:03:00Z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