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0A" w:rsidRPr="00737D49" w:rsidRDefault="007E1A0A" w:rsidP="007E1A0A">
      <w:pPr>
        <w:pStyle w:val="Heading6"/>
        <w:spacing w:before="0" w:after="0"/>
        <w:jc w:val="center"/>
        <w:rPr>
          <w:sz w:val="26"/>
          <w:szCs w:val="26"/>
        </w:rPr>
      </w:pPr>
      <w:bookmarkStart w:id="0" w:name="_GoBack"/>
      <w:bookmarkEnd w:id="0"/>
      <w:r w:rsidRPr="00737D49">
        <w:rPr>
          <w:sz w:val="26"/>
          <w:szCs w:val="26"/>
        </w:rPr>
        <w:t>INTERNATIONAL SOLIDARITY &amp; HUMAN RIGHTS INSTITUTE (ISHRI)</w:t>
      </w:r>
      <w:r w:rsidR="00EA137A">
        <w:rPr>
          <w:sz w:val="26"/>
          <w:szCs w:val="26"/>
        </w:rPr>
        <w:t xml:space="preserve"> &amp; SOCIETY OF CATHOLCI SOCIAL SCIENTISTS (SCSS)</w:t>
      </w:r>
    </w:p>
    <w:p w:rsidR="00532D18" w:rsidRDefault="001D06B2" w:rsidP="001D06B2">
      <w:pPr>
        <w:pStyle w:val="NoSpacing"/>
        <w:rPr>
          <w:sz w:val="20"/>
          <w:szCs w:val="20"/>
        </w:rPr>
      </w:pPr>
      <w:r>
        <w:rPr>
          <w:sz w:val="20"/>
          <w:szCs w:val="20"/>
        </w:rPr>
        <w:tab/>
      </w:r>
      <w:r>
        <w:rPr>
          <w:sz w:val="20"/>
          <w:szCs w:val="20"/>
        </w:rPr>
        <w:tab/>
        <w:t xml:space="preserve">        </w:t>
      </w:r>
      <w:r>
        <w:rPr>
          <w:b/>
          <w:sz w:val="20"/>
          <w:szCs w:val="20"/>
        </w:rPr>
        <w:t xml:space="preserve"> </w:t>
      </w:r>
      <w:r w:rsidR="00532D18" w:rsidRPr="001F759E">
        <w:rPr>
          <w:sz w:val="20"/>
          <w:szCs w:val="20"/>
        </w:rPr>
        <w:t xml:space="preserve">1025 Commons Circle, Naples, FL 34119, USA  </w:t>
      </w:r>
      <w:r w:rsidR="00EA137A">
        <w:rPr>
          <w:sz w:val="20"/>
          <w:szCs w:val="20"/>
        </w:rPr>
        <w:t xml:space="preserve">      </w:t>
      </w:r>
      <w:r>
        <w:rPr>
          <w:sz w:val="20"/>
          <w:szCs w:val="20"/>
        </w:rPr>
        <w:tab/>
        <w:t xml:space="preserve">  </w:t>
      </w:r>
      <w:r w:rsidR="00532D18" w:rsidRPr="001F759E">
        <w:rPr>
          <w:sz w:val="20"/>
          <w:szCs w:val="20"/>
        </w:rPr>
        <w:t>Tel: (239) 687-5373</w:t>
      </w:r>
    </w:p>
    <w:p w:rsidR="00EA137A" w:rsidRPr="001F759E" w:rsidRDefault="001D06B2" w:rsidP="001D06B2">
      <w:pPr>
        <w:pStyle w:val="NoSpacing"/>
        <w:ind w:left="1020" w:firstLine="720"/>
        <w:rPr>
          <w:sz w:val="20"/>
          <w:szCs w:val="20"/>
        </w:rPr>
      </w:pPr>
      <w:r>
        <w:rPr>
          <w:sz w:val="20"/>
          <w:szCs w:val="20"/>
        </w:rPr>
        <w:t xml:space="preserve">   </w:t>
      </w:r>
      <w:r w:rsidR="00EA137A">
        <w:rPr>
          <w:sz w:val="20"/>
          <w:szCs w:val="20"/>
        </w:rPr>
        <w:t xml:space="preserve">100 University Blvd. Steubenville, OH 43910, USA </w:t>
      </w:r>
      <w:r>
        <w:rPr>
          <w:sz w:val="20"/>
          <w:szCs w:val="20"/>
        </w:rPr>
        <w:t xml:space="preserve">          </w:t>
      </w:r>
      <w:r w:rsidR="00EA137A">
        <w:rPr>
          <w:sz w:val="20"/>
          <w:szCs w:val="20"/>
        </w:rPr>
        <w:t>Tel: (740) 282-</w:t>
      </w:r>
      <w:r>
        <w:rPr>
          <w:sz w:val="20"/>
          <w:szCs w:val="20"/>
        </w:rPr>
        <w:t>6401</w:t>
      </w:r>
    </w:p>
    <w:p w:rsidR="00532D18" w:rsidRPr="001D06B2" w:rsidRDefault="001D06B2" w:rsidP="001D06B2">
      <w:pPr>
        <w:pStyle w:val="NoSpacing"/>
        <w:jc w:val="center"/>
        <w:rPr>
          <w:bCs/>
          <w:color w:val="0000FF"/>
          <w:sz w:val="20"/>
          <w:szCs w:val="20"/>
          <w:u w:val="single"/>
        </w:rPr>
      </w:pPr>
      <w:r>
        <w:rPr>
          <w:sz w:val="20"/>
          <w:szCs w:val="20"/>
        </w:rPr>
        <w:t xml:space="preserve"> </w:t>
      </w:r>
      <w:hyperlink r:id="rId7" w:history="1">
        <w:r w:rsidR="00532D18" w:rsidRPr="001D06B2">
          <w:rPr>
            <w:rStyle w:val="Hyperlink"/>
            <w:sz w:val="20"/>
            <w:szCs w:val="20"/>
          </w:rPr>
          <w:t>contact@ishri.net</w:t>
        </w:r>
      </w:hyperlink>
      <w:r w:rsidR="00532D18" w:rsidRPr="001D06B2">
        <w:rPr>
          <w:sz w:val="20"/>
          <w:szCs w:val="20"/>
        </w:rPr>
        <w:t xml:space="preserve">  </w:t>
      </w:r>
      <w:hyperlink r:id="rId8" w:history="1">
        <w:r w:rsidR="00532D18" w:rsidRPr="001D06B2">
          <w:rPr>
            <w:rStyle w:val="Hyperlink"/>
            <w:sz w:val="20"/>
            <w:szCs w:val="20"/>
          </w:rPr>
          <w:t>www.ngovoice.com</w:t>
        </w:r>
      </w:hyperlink>
      <w:r w:rsidRPr="001D06B2">
        <w:rPr>
          <w:sz w:val="20"/>
          <w:szCs w:val="20"/>
        </w:rPr>
        <w:t xml:space="preserve"> </w:t>
      </w:r>
      <w:hyperlink r:id="rId9" w:history="1">
        <w:r w:rsidRPr="001D06B2">
          <w:rPr>
            <w:rStyle w:val="Hyperlink"/>
            <w:sz w:val="20"/>
            <w:szCs w:val="20"/>
          </w:rPr>
          <w:t>catholicsocialscientists@gmail.com</w:t>
        </w:r>
      </w:hyperlink>
      <w:r w:rsidRPr="001D06B2">
        <w:rPr>
          <w:sz w:val="20"/>
          <w:szCs w:val="20"/>
        </w:rPr>
        <w:t xml:space="preserve"> </w:t>
      </w:r>
    </w:p>
    <w:p w:rsidR="00532D18" w:rsidRPr="0023219F" w:rsidRDefault="00532D18" w:rsidP="0023219F">
      <w:r>
        <w:rPr>
          <w:b/>
          <w:sz w:val="26"/>
          <w:szCs w:val="26"/>
        </w:rPr>
        <w:t>_____________________________________________________________________________</w:t>
      </w:r>
    </w:p>
    <w:p w:rsidR="00071F31" w:rsidRDefault="00071F31" w:rsidP="00071F31">
      <w:pPr>
        <w:pStyle w:val="NoSpacing"/>
        <w:rPr>
          <w:sz w:val="26"/>
          <w:szCs w:val="26"/>
        </w:rPr>
      </w:pPr>
      <w:r w:rsidRPr="00BC2F28">
        <w:rPr>
          <w:b/>
          <w:sz w:val="26"/>
          <w:szCs w:val="26"/>
        </w:rPr>
        <w:t>From:</w:t>
      </w:r>
      <w:r w:rsidRPr="00BC2F28">
        <w:rPr>
          <w:sz w:val="26"/>
          <w:szCs w:val="26"/>
        </w:rPr>
        <w:t xml:space="preserve"> D. Brian Scarnecchia, President and UN Counsel, ISHRI</w:t>
      </w:r>
      <w:r w:rsidR="00EA137A">
        <w:rPr>
          <w:sz w:val="26"/>
          <w:szCs w:val="26"/>
        </w:rPr>
        <w:t xml:space="preserve"> and as</w:t>
      </w:r>
    </w:p>
    <w:p w:rsidR="00EA137A" w:rsidRPr="00BC2F28" w:rsidRDefault="00EA137A" w:rsidP="00071F31">
      <w:pPr>
        <w:pStyle w:val="NoSpacing"/>
        <w:rPr>
          <w:sz w:val="26"/>
          <w:szCs w:val="26"/>
        </w:rPr>
      </w:pPr>
      <w:r>
        <w:rPr>
          <w:sz w:val="26"/>
          <w:szCs w:val="26"/>
        </w:rPr>
        <w:tab/>
        <w:t>Treasurer for Society of Catholic Social Scientists, SCSS</w:t>
      </w:r>
    </w:p>
    <w:p w:rsidR="00071F31" w:rsidRPr="00BC2F28" w:rsidRDefault="00071F31" w:rsidP="00071F31">
      <w:pPr>
        <w:pStyle w:val="NoSpacing"/>
        <w:rPr>
          <w:sz w:val="26"/>
          <w:szCs w:val="26"/>
        </w:rPr>
      </w:pPr>
      <w:r w:rsidRPr="00BC2F28">
        <w:rPr>
          <w:b/>
          <w:sz w:val="26"/>
          <w:szCs w:val="26"/>
        </w:rPr>
        <w:t>To:</w:t>
      </w:r>
      <w:r w:rsidRPr="00BC2F28">
        <w:rPr>
          <w:sz w:val="26"/>
          <w:szCs w:val="26"/>
        </w:rPr>
        <w:t xml:space="preserve"> </w:t>
      </w:r>
      <w:r w:rsidRPr="00BC2F28">
        <w:rPr>
          <w:sz w:val="26"/>
          <w:szCs w:val="26"/>
        </w:rPr>
        <w:tab/>
      </w:r>
      <w:r>
        <w:rPr>
          <w:sz w:val="26"/>
          <w:szCs w:val="26"/>
        </w:rPr>
        <w:t xml:space="preserve"> </w:t>
      </w:r>
      <w:r w:rsidRPr="00BC2F28">
        <w:rPr>
          <w:sz w:val="26"/>
          <w:szCs w:val="26"/>
        </w:rPr>
        <w:t>UN Human Rights Committee</w:t>
      </w:r>
    </w:p>
    <w:p w:rsidR="00071F31" w:rsidRPr="00BC2F28" w:rsidRDefault="00071F31" w:rsidP="00071F31">
      <w:pPr>
        <w:pStyle w:val="NoSpacing"/>
        <w:rPr>
          <w:sz w:val="26"/>
          <w:szCs w:val="26"/>
        </w:rPr>
      </w:pPr>
      <w:r w:rsidRPr="00BC2F28">
        <w:rPr>
          <w:b/>
          <w:sz w:val="26"/>
          <w:szCs w:val="26"/>
        </w:rPr>
        <w:t>Date:</w:t>
      </w:r>
      <w:r w:rsidRPr="00BC2F28">
        <w:rPr>
          <w:sz w:val="26"/>
          <w:szCs w:val="26"/>
        </w:rPr>
        <w:t xml:space="preserve"> </w:t>
      </w:r>
      <w:r w:rsidRPr="00BC2F28">
        <w:rPr>
          <w:sz w:val="26"/>
          <w:szCs w:val="26"/>
        </w:rPr>
        <w:tab/>
      </w:r>
      <w:r>
        <w:rPr>
          <w:sz w:val="26"/>
          <w:szCs w:val="26"/>
        </w:rPr>
        <w:t xml:space="preserve"> </w:t>
      </w:r>
      <w:r w:rsidR="00532D18">
        <w:rPr>
          <w:sz w:val="26"/>
          <w:szCs w:val="26"/>
        </w:rPr>
        <w:t>October 28</w:t>
      </w:r>
      <w:r w:rsidRPr="00BC2F28">
        <w:rPr>
          <w:sz w:val="26"/>
          <w:szCs w:val="26"/>
        </w:rPr>
        <w:t>, 2015</w:t>
      </w:r>
    </w:p>
    <w:p w:rsidR="00B4144A" w:rsidRDefault="00071F31" w:rsidP="00B4144A">
      <w:pPr>
        <w:pStyle w:val="NoSpacing"/>
        <w:ind w:left="720" w:hanging="720"/>
        <w:rPr>
          <w:b/>
          <w:sz w:val="26"/>
          <w:szCs w:val="26"/>
        </w:rPr>
      </w:pPr>
      <w:r w:rsidRPr="00BC2F28">
        <w:rPr>
          <w:b/>
          <w:sz w:val="26"/>
          <w:szCs w:val="26"/>
        </w:rPr>
        <w:t xml:space="preserve">Re: </w:t>
      </w:r>
      <w:r w:rsidRPr="00BC2F28">
        <w:rPr>
          <w:b/>
          <w:sz w:val="26"/>
          <w:szCs w:val="26"/>
        </w:rPr>
        <w:tab/>
      </w:r>
      <w:r>
        <w:rPr>
          <w:b/>
          <w:sz w:val="26"/>
          <w:szCs w:val="26"/>
        </w:rPr>
        <w:t xml:space="preserve"> </w:t>
      </w:r>
      <w:r w:rsidRPr="00BC2F28">
        <w:rPr>
          <w:b/>
          <w:sz w:val="26"/>
          <w:szCs w:val="26"/>
        </w:rPr>
        <w:t>NGO Re</w:t>
      </w:r>
      <w:r w:rsidR="007E1A0A">
        <w:rPr>
          <w:b/>
          <w:sz w:val="26"/>
          <w:szCs w:val="26"/>
        </w:rPr>
        <w:t>sponse to Draft General Comment</w:t>
      </w:r>
      <w:r w:rsidR="00B4144A">
        <w:rPr>
          <w:b/>
          <w:sz w:val="26"/>
          <w:szCs w:val="26"/>
        </w:rPr>
        <w:t xml:space="preserve"> on Human Rights Council resolution        29/22 on </w:t>
      </w:r>
      <w:r w:rsidR="00B4144A" w:rsidRPr="00BC2F28">
        <w:rPr>
          <w:b/>
          <w:sz w:val="26"/>
          <w:szCs w:val="26"/>
        </w:rPr>
        <w:t>“Protection of the Family”</w:t>
      </w:r>
    </w:p>
    <w:p w:rsidR="00532D18" w:rsidRPr="0023219F" w:rsidRDefault="00532D18" w:rsidP="007E1A0A">
      <w:pPr>
        <w:pStyle w:val="NoSpacing"/>
        <w:rPr>
          <w:sz w:val="26"/>
          <w:szCs w:val="26"/>
          <w:u w:val="single"/>
        </w:rPr>
      </w:pPr>
      <w:r w:rsidRPr="0023219F">
        <w:rPr>
          <w:sz w:val="26"/>
          <w:szCs w:val="26"/>
          <w:u w:val="single"/>
        </w:rPr>
        <w:t>_____________________________________________________________________________</w:t>
      </w:r>
    </w:p>
    <w:p w:rsidR="00071F31" w:rsidRDefault="00071F31" w:rsidP="00071F31">
      <w:pPr>
        <w:pStyle w:val="NoSpacing"/>
      </w:pPr>
    </w:p>
    <w:p w:rsidR="00071F31" w:rsidRPr="00071F31" w:rsidRDefault="00071F31" w:rsidP="00071F31">
      <w:pPr>
        <w:pStyle w:val="NoSpacing"/>
        <w:jc w:val="both"/>
        <w:rPr>
          <w:b/>
        </w:rPr>
      </w:pPr>
      <w:r w:rsidRPr="00366C64">
        <w:rPr>
          <w:b/>
        </w:rPr>
        <w:t>Introduction</w:t>
      </w:r>
    </w:p>
    <w:p w:rsidR="00071F31" w:rsidRDefault="00071F31" w:rsidP="00071F31">
      <w:pPr>
        <w:pStyle w:val="NoSpacing"/>
        <w:jc w:val="both"/>
      </w:pPr>
      <w:r w:rsidRPr="00071F31">
        <w:t>The International Solidarity and Human R</w:t>
      </w:r>
      <w:r w:rsidR="00EA137A">
        <w:t>ights Institute (ISHRI</w:t>
      </w:r>
      <w:r w:rsidRPr="00071F31">
        <w:t>)</w:t>
      </w:r>
      <w:r w:rsidR="00EA137A">
        <w:t xml:space="preserve"> and the Society of Catholic Social Scientists (SCSS) are</w:t>
      </w:r>
      <w:r w:rsidRPr="00071F31">
        <w:t xml:space="preserve"> committed to establishing solidarity among people worldwide by promoting authentic human rights based on Natural Law principles, as set forth in such documents as the </w:t>
      </w:r>
      <w:r w:rsidRPr="00071F31">
        <w:rPr>
          <w:i/>
          <w:iCs/>
        </w:rPr>
        <w:t>Declaration of Independence, the Universal Declaration of Human Rights</w:t>
      </w:r>
      <w:r w:rsidRPr="00071F31">
        <w:t xml:space="preserve">, and the </w:t>
      </w:r>
      <w:r w:rsidRPr="00071F31">
        <w:rPr>
          <w:i/>
          <w:iCs/>
        </w:rPr>
        <w:t>Charter of the Rights of the Family</w:t>
      </w:r>
      <w:r w:rsidR="00EA137A">
        <w:t>.  The mission of both organizations is</w:t>
      </w:r>
      <w:r w:rsidRPr="00071F31">
        <w:t xml:space="preserve"> informed and motivated by respect for the inherent dignity and equality of all human beings as endowed by God and as understood by the universal Teaching Office of the Catholic Church.</w:t>
      </w:r>
    </w:p>
    <w:p w:rsidR="00737D49" w:rsidRPr="00071F31" w:rsidRDefault="00737D49" w:rsidP="00071F31">
      <w:pPr>
        <w:pStyle w:val="NoSpacing"/>
        <w:jc w:val="both"/>
        <w:rPr>
          <w:b/>
        </w:rPr>
      </w:pPr>
    </w:p>
    <w:p w:rsidR="00071F31" w:rsidRPr="00071F31" w:rsidRDefault="00EA137A" w:rsidP="00071F31">
      <w:pPr>
        <w:jc w:val="both"/>
        <w:rPr>
          <w:rFonts w:ascii="Times New Roman" w:hAnsi="Times New Roman" w:cs="Times New Roman"/>
          <w:sz w:val="24"/>
          <w:szCs w:val="24"/>
        </w:rPr>
      </w:pPr>
      <w:r>
        <w:rPr>
          <w:rFonts w:ascii="Times New Roman" w:hAnsi="Times New Roman" w:cs="Times New Roman"/>
          <w:sz w:val="24"/>
          <w:szCs w:val="24"/>
        </w:rPr>
        <w:t xml:space="preserve">The </w:t>
      </w:r>
      <w:r w:rsidR="00071F31" w:rsidRPr="00071F31">
        <w:rPr>
          <w:rFonts w:ascii="Times New Roman" w:hAnsi="Times New Roman" w:cs="Times New Roman"/>
          <w:sz w:val="24"/>
          <w:szCs w:val="24"/>
        </w:rPr>
        <w:t xml:space="preserve">work </w:t>
      </w:r>
      <w:r>
        <w:rPr>
          <w:rFonts w:ascii="Times New Roman" w:hAnsi="Times New Roman" w:cs="Times New Roman"/>
          <w:sz w:val="24"/>
          <w:szCs w:val="24"/>
        </w:rPr>
        <w:t xml:space="preserve">of both organizations </w:t>
      </w:r>
      <w:r w:rsidR="00071F31" w:rsidRPr="00071F31">
        <w:rPr>
          <w:rFonts w:ascii="Times New Roman" w:hAnsi="Times New Roman" w:cs="Times New Roman"/>
          <w:sz w:val="24"/>
          <w:szCs w:val="24"/>
        </w:rPr>
        <w:t>involves education and research, public interest litigation, mediation, and works of mercy so as to eliminate human r</w:t>
      </w:r>
      <w:r w:rsidR="001D06B2">
        <w:rPr>
          <w:rFonts w:ascii="Times New Roman" w:hAnsi="Times New Roman" w:cs="Times New Roman"/>
          <w:sz w:val="24"/>
          <w:szCs w:val="24"/>
        </w:rPr>
        <w:t>ights violations.  Theses organizations</w:t>
      </w:r>
      <w:r w:rsidR="00071F31" w:rsidRPr="00071F31">
        <w:rPr>
          <w:rFonts w:ascii="Times New Roman" w:hAnsi="Times New Roman" w:cs="Times New Roman"/>
          <w:sz w:val="24"/>
          <w:szCs w:val="24"/>
        </w:rPr>
        <w:t>, acting alone or in conjunction with other l</w:t>
      </w:r>
      <w:r w:rsidR="001D06B2">
        <w:rPr>
          <w:rFonts w:ascii="Times New Roman" w:hAnsi="Times New Roman" w:cs="Times New Roman"/>
          <w:sz w:val="24"/>
          <w:szCs w:val="24"/>
        </w:rPr>
        <w:t>ike-minded institutions, inform</w:t>
      </w:r>
      <w:r w:rsidR="00071F31" w:rsidRPr="00071F31">
        <w:rPr>
          <w:rFonts w:ascii="Times New Roman" w:hAnsi="Times New Roman" w:cs="Times New Roman"/>
          <w:sz w:val="24"/>
          <w:szCs w:val="24"/>
        </w:rPr>
        <w:t xml:space="preserve"> the public, students, government officials, international organization delegates, and financial, educational and cultural leaders and assists them to promote solidarity and human rights.  The Institute’s mission is principally directed towards governments, national and supranational institutions, organizations and tribunals.</w:t>
      </w:r>
    </w:p>
    <w:p w:rsidR="00071F31" w:rsidRPr="00071F31" w:rsidRDefault="00071F31" w:rsidP="00071F31">
      <w:pPr>
        <w:pStyle w:val="NoSpacing"/>
        <w:jc w:val="both"/>
        <w:rPr>
          <w:b/>
        </w:rPr>
      </w:pPr>
      <w:r>
        <w:rPr>
          <w:b/>
        </w:rPr>
        <w:t xml:space="preserve">Family – Foundation of authentic Human Ecology </w:t>
      </w:r>
    </w:p>
    <w:p w:rsidR="00071F31" w:rsidRDefault="00071F31" w:rsidP="00532D18">
      <w:pPr>
        <w:pStyle w:val="NoSpacing"/>
        <w:jc w:val="both"/>
        <w:rPr>
          <w:color w:val="111111"/>
          <w:sz w:val="22"/>
          <w:szCs w:val="22"/>
        </w:rPr>
      </w:pPr>
      <w:r>
        <w:t>The human species, no less than any other species, th</w:t>
      </w:r>
      <w:r w:rsidR="00E14914">
        <w:t>rives in its natural ecosystem.</w:t>
      </w:r>
      <w:r w:rsidR="00E14914">
        <w:rPr>
          <w:rStyle w:val="FootnoteReference"/>
        </w:rPr>
        <w:footnoteReference w:id="1"/>
      </w:r>
      <w:r>
        <w:t xml:space="preserve"> As millennia of human history proves, the foundational element of the human ecosystem is the natural reproductive human family </w:t>
      </w:r>
      <w:r w:rsidRPr="004E5944">
        <w:t xml:space="preserve">“based on marriage, a complementary partnership for life, between one man and one woman of marriageable age, constituted with full and free consent, publically expressed, to which the mission of transmitting life is </w:t>
      </w:r>
      <w:r w:rsidRPr="00BC2F28">
        <w:t>naturally and exclusively entrusted.</w:t>
      </w:r>
      <w:r w:rsidRPr="004E5944">
        <w:t>”</w:t>
      </w:r>
      <w:r w:rsidR="00E14914">
        <w:rPr>
          <w:rStyle w:val="FootnoteReference"/>
        </w:rPr>
        <w:footnoteReference w:id="2"/>
      </w:r>
    </w:p>
    <w:p w:rsidR="00071F31" w:rsidRPr="00071F31" w:rsidRDefault="00071F31" w:rsidP="00071F31">
      <w:pPr>
        <w:pStyle w:val="NoSpacing"/>
        <w:jc w:val="both"/>
        <w:rPr>
          <w:b/>
          <w:sz w:val="22"/>
          <w:szCs w:val="22"/>
        </w:rPr>
      </w:pPr>
    </w:p>
    <w:p w:rsidR="00071F31" w:rsidRDefault="00071F31" w:rsidP="00071F31">
      <w:pPr>
        <w:pStyle w:val="NoSpacing"/>
        <w:rPr>
          <w:rStyle w:val="HTMLTypewriter"/>
          <w:rFonts w:ascii="Times New Roman" w:hAnsi="Times New Roman"/>
          <w:b/>
          <w:color w:val="000000"/>
          <w:sz w:val="24"/>
          <w:szCs w:val="24"/>
        </w:rPr>
      </w:pPr>
      <w:r>
        <w:rPr>
          <w:rStyle w:val="HTMLTypewriter"/>
          <w:rFonts w:ascii="Times New Roman" w:hAnsi="Times New Roman"/>
          <w:b/>
          <w:color w:val="000000"/>
          <w:sz w:val="24"/>
          <w:szCs w:val="24"/>
        </w:rPr>
        <w:t>P</w:t>
      </w:r>
      <w:r w:rsidRPr="009A6A2E">
        <w:rPr>
          <w:rStyle w:val="HTMLTypewriter"/>
          <w:rFonts w:ascii="Times New Roman" w:hAnsi="Times New Roman"/>
          <w:b/>
          <w:color w:val="000000"/>
          <w:sz w:val="24"/>
          <w:szCs w:val="24"/>
        </w:rPr>
        <w:t xml:space="preserve">rinciples of Environmental Law – </w:t>
      </w:r>
      <w:r>
        <w:rPr>
          <w:rStyle w:val="HTMLTypewriter"/>
          <w:rFonts w:ascii="Times New Roman" w:hAnsi="Times New Roman"/>
          <w:b/>
          <w:color w:val="000000"/>
          <w:sz w:val="24"/>
          <w:szCs w:val="24"/>
        </w:rPr>
        <w:t xml:space="preserve">There </w:t>
      </w:r>
      <w:r w:rsidRPr="009A6A2E">
        <w:rPr>
          <w:rStyle w:val="HTMLTypewriter"/>
          <w:rFonts w:ascii="Times New Roman" w:hAnsi="Times New Roman"/>
          <w:b/>
          <w:color w:val="000000"/>
          <w:sz w:val="24"/>
          <w:szCs w:val="24"/>
        </w:rPr>
        <w:t>Application to Human Ecology</w:t>
      </w:r>
    </w:p>
    <w:p w:rsidR="00071F31" w:rsidRPr="00071F31" w:rsidRDefault="00071F31" w:rsidP="00071F31">
      <w:pPr>
        <w:jc w:val="both"/>
        <w:rPr>
          <w:rFonts w:ascii="Times New Roman" w:eastAsia="Arial Unicode MS" w:hAnsi="Times New Roman" w:cs="Arial Unicode MS"/>
          <w:b/>
          <w:color w:val="000000"/>
          <w:sz w:val="24"/>
          <w:szCs w:val="24"/>
        </w:rPr>
      </w:pPr>
      <w:r w:rsidRPr="009A6A2E">
        <w:rPr>
          <w:rFonts w:ascii="Times New Roman" w:hAnsi="Times New Roman" w:cs="Times New Roman"/>
          <w:sz w:val="24"/>
          <w:szCs w:val="24"/>
        </w:rPr>
        <w:t xml:space="preserve">Pope Francis agrees with the general thrust of the </w:t>
      </w:r>
      <w:r w:rsidRPr="009A6A2E">
        <w:rPr>
          <w:rFonts w:ascii="Times New Roman" w:hAnsi="Times New Roman" w:cs="Times New Roman"/>
          <w:i/>
          <w:sz w:val="24"/>
          <w:szCs w:val="24"/>
        </w:rPr>
        <w:t>Millennium Development Goals</w:t>
      </w:r>
      <w:r>
        <w:rPr>
          <w:rFonts w:ascii="Times New Roman" w:hAnsi="Times New Roman" w:cs="Times New Roman"/>
          <w:i/>
          <w:sz w:val="24"/>
          <w:szCs w:val="24"/>
        </w:rPr>
        <w:t xml:space="preserve">, </w:t>
      </w:r>
      <w:r>
        <w:rPr>
          <w:rFonts w:ascii="Times New Roman" w:hAnsi="Times New Roman" w:cs="Times New Roman"/>
          <w:sz w:val="24"/>
          <w:szCs w:val="24"/>
        </w:rPr>
        <w:t>Goal 8 – Develop a Global Partnership for Development –</w:t>
      </w:r>
      <w:r w:rsidRPr="009A6A2E">
        <w:rPr>
          <w:rFonts w:ascii="Times New Roman" w:hAnsi="Times New Roman" w:cs="Times New Roman"/>
          <w:sz w:val="24"/>
          <w:szCs w:val="24"/>
        </w:rPr>
        <w:t xml:space="preserve"> and </w:t>
      </w:r>
      <w:r w:rsidRPr="009A6A2E">
        <w:rPr>
          <w:rFonts w:ascii="Times New Roman" w:hAnsi="Times New Roman" w:cs="Times New Roman"/>
          <w:i/>
          <w:sz w:val="24"/>
          <w:szCs w:val="24"/>
        </w:rPr>
        <w:t>Sustainable Developments Goals</w:t>
      </w:r>
      <w:r>
        <w:rPr>
          <w:rFonts w:ascii="Times New Roman" w:hAnsi="Times New Roman" w:cs="Times New Roman"/>
          <w:i/>
          <w:sz w:val="24"/>
          <w:szCs w:val="24"/>
        </w:rPr>
        <w:t xml:space="preserve">, </w:t>
      </w:r>
      <w:r>
        <w:rPr>
          <w:rFonts w:ascii="Times New Roman" w:hAnsi="Times New Roman" w:cs="Times New Roman"/>
          <w:sz w:val="24"/>
          <w:szCs w:val="24"/>
        </w:rPr>
        <w:t>Goal 17 – Revitalizing the Global Partnership for Sustainable Development – in so far as</w:t>
      </w:r>
      <w:r w:rsidRPr="009A6A2E">
        <w:rPr>
          <w:rFonts w:ascii="Times New Roman" w:hAnsi="Times New Roman" w:cs="Times New Roman"/>
          <w:sz w:val="24"/>
          <w:szCs w:val="24"/>
        </w:rPr>
        <w:t xml:space="preserve"> “what is needed… is an agreement on </w:t>
      </w:r>
      <w:r w:rsidRPr="009A6A2E">
        <w:rPr>
          <w:rFonts w:ascii="Times New Roman" w:hAnsi="Times New Roman" w:cs="Times New Roman"/>
          <w:sz w:val="24"/>
          <w:szCs w:val="24"/>
        </w:rPr>
        <w:lastRenderedPageBreak/>
        <w:t xml:space="preserve">systems of governance for the whole range of so-called </w:t>
      </w:r>
      <w:r>
        <w:rPr>
          <w:rFonts w:ascii="Times New Roman" w:hAnsi="Times New Roman" w:cs="Times New Roman"/>
          <w:sz w:val="24"/>
          <w:szCs w:val="24"/>
        </w:rPr>
        <w:t>‘</w:t>
      </w:r>
      <w:r w:rsidRPr="009A6A2E">
        <w:rPr>
          <w:rFonts w:ascii="Times New Roman" w:hAnsi="Times New Roman" w:cs="Times New Roman"/>
          <w:i/>
          <w:sz w:val="24"/>
          <w:szCs w:val="24"/>
        </w:rPr>
        <w:t>global commons</w:t>
      </w:r>
      <w:r w:rsidRPr="009A6A2E">
        <w:rPr>
          <w:rFonts w:ascii="Times New Roman" w:hAnsi="Times New Roman" w:cs="Times New Roman"/>
          <w:sz w:val="24"/>
          <w:szCs w:val="24"/>
        </w:rPr>
        <w:t xml:space="preserve">.’” </w:t>
      </w:r>
      <w:r w:rsidR="00E14914">
        <w:rPr>
          <w:rStyle w:val="FootnoteReference"/>
          <w:rFonts w:ascii="Times New Roman" w:hAnsi="Times New Roman" w:cs="Times New Roman"/>
          <w:sz w:val="24"/>
          <w:szCs w:val="24"/>
        </w:rPr>
        <w:footnoteReference w:id="3"/>
      </w:r>
      <w:r w:rsidRPr="009A6A2E">
        <w:rPr>
          <w:rFonts w:ascii="Times New Roman" w:hAnsi="Times New Roman" w:cs="Times New Roman"/>
          <w:sz w:val="24"/>
          <w:szCs w:val="24"/>
        </w:rPr>
        <w:t xml:space="preserve"> </w:t>
      </w:r>
      <w:r>
        <w:rPr>
          <w:rFonts w:ascii="Times New Roman" w:hAnsi="Times New Roman" w:cs="Times New Roman"/>
          <w:sz w:val="24"/>
          <w:szCs w:val="24"/>
        </w:rPr>
        <w:t xml:space="preserve">The global commons is composed of multi-layered ecosystems, each integral in its own right and interdependent with each other. Good stewardship of the planet requires a respectful balancing of the principles of flourishing intrinsic to each ecosystem. Developments in environmental law have made plain that certain basic principles must be employed in order to ensure integral and sustainable human development. The most fundamental of these rational principles is </w:t>
      </w:r>
      <w:r w:rsidRPr="00634EFD">
        <w:rPr>
          <w:rFonts w:ascii="Times New Roman" w:hAnsi="Times New Roman" w:cs="Times New Roman"/>
          <w:b/>
          <w:sz w:val="24"/>
          <w:szCs w:val="24"/>
        </w:rPr>
        <w:t>trust</w:t>
      </w:r>
      <w:r>
        <w:rPr>
          <w:rFonts w:ascii="Times New Roman" w:hAnsi="Times New Roman" w:cs="Times New Roman"/>
          <w:sz w:val="24"/>
          <w:szCs w:val="24"/>
        </w:rPr>
        <w:t xml:space="preserve">, expressed in the </w:t>
      </w:r>
      <w:r w:rsidRPr="00FA4214">
        <w:rPr>
          <w:rFonts w:ascii="Times New Roman" w:hAnsi="Times New Roman" w:cs="Times New Roman"/>
          <w:i/>
          <w:sz w:val="24"/>
          <w:szCs w:val="24"/>
        </w:rPr>
        <w:t>jus cogens</w:t>
      </w:r>
      <w:r>
        <w:rPr>
          <w:rFonts w:ascii="Times New Roman" w:hAnsi="Times New Roman" w:cs="Times New Roman"/>
          <w:sz w:val="24"/>
          <w:szCs w:val="24"/>
        </w:rPr>
        <w:t xml:space="preserve"> norm that “promises are meant to be kept” features of which have been recognized in international treaties outlawing crimes against humanity and genocide.</w:t>
      </w:r>
      <w:r w:rsidR="00E14914">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In particular, the preemptory norm of trust finds articulation in the </w:t>
      </w:r>
      <w:r w:rsidRPr="000A66FC">
        <w:rPr>
          <w:rFonts w:ascii="Times New Roman" w:hAnsi="Times New Roman" w:cs="Times New Roman"/>
          <w:b/>
          <w:sz w:val="24"/>
          <w:szCs w:val="24"/>
        </w:rPr>
        <w:t>Public Trust Doctrine</w:t>
      </w:r>
      <w:r>
        <w:rPr>
          <w:rFonts w:ascii="Times New Roman" w:hAnsi="Times New Roman" w:cs="Times New Roman"/>
          <w:sz w:val="24"/>
          <w:szCs w:val="24"/>
        </w:rPr>
        <w:t>, the slate</w:t>
      </w:r>
      <w:r w:rsidRPr="000A66FC">
        <w:rPr>
          <w:rFonts w:ascii="Times New Roman" w:hAnsi="Times New Roman" w:cs="Times New Roman"/>
          <w:sz w:val="24"/>
          <w:szCs w:val="24"/>
        </w:rPr>
        <w:t xml:space="preserve"> upon which all poli</w:t>
      </w:r>
      <w:r>
        <w:rPr>
          <w:rFonts w:ascii="Times New Roman" w:hAnsi="Times New Roman" w:cs="Times New Roman"/>
          <w:sz w:val="24"/>
          <w:szCs w:val="24"/>
        </w:rPr>
        <w:t>tical constitutions are written and “the DNA from which legitimate power is created…”</w:t>
      </w:r>
      <w:r w:rsidR="00E14914">
        <w:rPr>
          <w:rStyle w:val="FootnoteReference"/>
          <w:rFonts w:ascii="Times New Roman" w:hAnsi="Times New Roman" w:cs="Times New Roman"/>
          <w:sz w:val="24"/>
          <w:szCs w:val="24"/>
        </w:rPr>
        <w:footnoteReference w:id="5"/>
      </w:r>
      <w:r w:rsidR="00E14914">
        <w:rPr>
          <w:rFonts w:ascii="Times New Roman" w:hAnsi="Times New Roman" w:cs="Times New Roman"/>
          <w:sz w:val="24"/>
          <w:szCs w:val="24"/>
        </w:rPr>
        <w:t xml:space="preserve"> </w:t>
      </w:r>
      <w:r w:rsidRPr="000A66FC">
        <w:rPr>
          <w:rFonts w:ascii="Times New Roman" w:hAnsi="Times New Roman" w:cs="Times New Roman"/>
          <w:sz w:val="24"/>
          <w:szCs w:val="24"/>
        </w:rPr>
        <w:t>The Public Trust Doctrine</w:t>
      </w:r>
      <w:r>
        <w:rPr>
          <w:rFonts w:ascii="Times New Roman" w:hAnsi="Times New Roman" w:cs="Times New Roman"/>
          <w:sz w:val="24"/>
          <w:szCs w:val="24"/>
        </w:rPr>
        <w:t xml:space="preserve"> rightly understood, therefore, offers promise for the sound governance of the whole global commons includi</w:t>
      </w:r>
      <w:r w:rsidR="00737D49">
        <w:rPr>
          <w:rFonts w:ascii="Times New Roman" w:hAnsi="Times New Roman" w:cs="Times New Roman"/>
          <w:sz w:val="24"/>
          <w:szCs w:val="24"/>
        </w:rPr>
        <w:t xml:space="preserve">ng the integral </w:t>
      </w:r>
      <w:r>
        <w:rPr>
          <w:rFonts w:ascii="Times New Roman" w:hAnsi="Times New Roman" w:cs="Times New Roman"/>
          <w:sz w:val="24"/>
          <w:szCs w:val="24"/>
        </w:rPr>
        <w:t>development of the human family.</w:t>
      </w:r>
    </w:p>
    <w:p w:rsidR="00071F31" w:rsidRPr="00071F31" w:rsidRDefault="00071F31" w:rsidP="000821A0">
      <w:pPr>
        <w:pStyle w:val="NoSpacing"/>
        <w:jc w:val="both"/>
        <w:rPr>
          <w:b/>
        </w:rPr>
      </w:pPr>
      <w:r w:rsidRPr="00071F31">
        <w:rPr>
          <w:b/>
        </w:rPr>
        <w:t>The Public Trust Doctrine – Its Basic Features and Scope</w:t>
      </w:r>
    </w:p>
    <w:p w:rsidR="00071F31" w:rsidRDefault="00071F31" w:rsidP="000821A0">
      <w:pPr>
        <w:pStyle w:val="NoSpacing"/>
        <w:jc w:val="both"/>
      </w:pPr>
      <w:r w:rsidRPr="00071F31">
        <w:t>T</w:t>
      </w:r>
      <w:r w:rsidRPr="00E65E2A">
        <w:t>he PTD is a creature of trust law</w:t>
      </w:r>
      <w:r>
        <w:t>. It provides for the wise stewardship of common property held in trust for the benefit of all people. It demands that public authorities exercise their fiduciary duty to both conserve and provide public access to the trust resources. Originally the PTD was bound to lands subject to tidal waters under English and American common law</w:t>
      </w:r>
      <w:r w:rsidR="00E14914">
        <w:t xml:space="preserve">. </w:t>
      </w:r>
      <w:r>
        <w:t>“At common law, the title and dominion in lands flowed by the tide water were in the King for the benefit of the nation…. Upon the American Revolution, these rights… were v</w:t>
      </w:r>
      <w:r w:rsidR="00E14914">
        <w:t>ested in the original States…”</w:t>
      </w:r>
      <w:r w:rsidR="00E14914">
        <w:rPr>
          <w:rStyle w:val="FootnoteReference"/>
        </w:rPr>
        <w:footnoteReference w:id="6"/>
      </w:r>
      <w:r>
        <w:t xml:space="preserve"> Today the scope of the PTD has been expanded and it has been adopted by many nations, especially in the Developing World, to protect all natural resources.</w:t>
      </w:r>
      <w:r w:rsidR="00E14914">
        <w:rPr>
          <w:rStyle w:val="FootnoteReference"/>
        </w:rPr>
        <w:footnoteReference w:id="7"/>
      </w:r>
      <w:r w:rsidR="00E14914">
        <w:t xml:space="preserve"> </w:t>
      </w:r>
      <w:r>
        <w:rPr>
          <w:color w:val="000000"/>
        </w:rPr>
        <w:t xml:space="preserve">Moreover, the PTD </w:t>
      </w:r>
      <w:r>
        <w:t>has been recommended as perhaps the most e</w:t>
      </w:r>
      <w:r w:rsidR="00E14914">
        <w:t xml:space="preserve">ffective way to realize the </w:t>
      </w:r>
      <w:r>
        <w:t>goals of Rio + 20 since “the PTD converts stewardship principles to substantive stewardship requirements.”</w:t>
      </w:r>
      <w:r w:rsidR="00E14914">
        <w:rPr>
          <w:rStyle w:val="FootnoteReference"/>
        </w:rPr>
        <w:footnoteReference w:id="8"/>
      </w:r>
      <w:r w:rsidR="00E14914">
        <w:t xml:space="preserve"> </w:t>
      </w:r>
      <w:r>
        <w:t>The PTD is analogous to the Common Heritage of Humanity (CHH) provisions already included in both ha</w:t>
      </w:r>
      <w:r w:rsidR="00E14914">
        <w:t>rd and soft international law.</w:t>
      </w:r>
      <w:r w:rsidR="00E14914">
        <w:rPr>
          <w:rStyle w:val="FootnoteReference"/>
        </w:rPr>
        <w:footnoteReference w:id="9"/>
      </w:r>
      <w:r>
        <w:t xml:space="preserve">  </w:t>
      </w:r>
    </w:p>
    <w:p w:rsidR="00071F31" w:rsidRPr="00071F31" w:rsidRDefault="00071F31" w:rsidP="000821A0">
      <w:pPr>
        <w:pStyle w:val="FootnoteTex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71F31" w:rsidRDefault="00071F31" w:rsidP="000821A0">
      <w:pPr>
        <w:pStyle w:val="NoSpacing"/>
        <w:jc w:val="both"/>
        <w:rPr>
          <w:b/>
        </w:rPr>
      </w:pPr>
      <w:r w:rsidRPr="00071F31">
        <w:rPr>
          <w:b/>
        </w:rPr>
        <w:t xml:space="preserve">Public Trust Doctrine – the Precautionary and Natural Use Principles  </w:t>
      </w:r>
    </w:p>
    <w:p w:rsidR="0023219F" w:rsidRDefault="00071F31" w:rsidP="000821A0">
      <w:pPr>
        <w:pStyle w:val="NoSpacing"/>
        <w:jc w:val="both"/>
      </w:pPr>
      <w:r>
        <w:t xml:space="preserve">Trustees have an affirmative fiduciary duty under the PTD to be proactive and protect trust assets before it is too late. The law should and must enable them to challenge effectively threats to public trust assets. “Many environmental conflicts result in degradation because there is not adequate scientific evidence to </w:t>
      </w:r>
      <w:r>
        <w:lastRenderedPageBreak/>
        <w:t>support regulation.”</w:t>
      </w:r>
      <w:r w:rsidR="00E14914">
        <w:rPr>
          <w:rStyle w:val="FootnoteReference"/>
        </w:rPr>
        <w:footnoteReference w:id="10"/>
      </w:r>
      <w:r w:rsidRPr="006B1DF5">
        <w:t xml:space="preserve"> </w:t>
      </w:r>
      <w:r>
        <w:t xml:space="preserve">The precautionary principle essentially shifts the burden of proof to those who propose activity which threatens harm to an ecosystem. “Note that the precautionary approach dismantles the general argument of industry that it should not be regulated </w:t>
      </w:r>
      <w:r w:rsidR="0023219F">
        <w:t>until the agency has p</w:t>
      </w:r>
      <w:r>
        <w:t>roven har</w:t>
      </w:r>
      <w:r w:rsidR="0023219F">
        <w:t>m from the industry practice.”</w:t>
      </w:r>
      <w:r w:rsidR="0023219F">
        <w:rPr>
          <w:rStyle w:val="FootnoteReference"/>
        </w:rPr>
        <w:footnoteReference w:id="11"/>
      </w:r>
      <w:r w:rsidR="0023219F">
        <w:t xml:space="preserve"> </w:t>
      </w:r>
      <w:r>
        <w:t>Pope Francis endorsed the precautionary principle:</w:t>
      </w:r>
      <w:r w:rsidR="0023219F">
        <w:rPr>
          <w:rFonts w:ascii="Calibri" w:hAnsi="Calibri"/>
          <w:color w:val="000000"/>
          <w:kern w:val="24"/>
          <w:sz w:val="60"/>
          <w:szCs w:val="60"/>
        </w:rPr>
        <w:t xml:space="preserve"> </w:t>
      </w:r>
      <w:r w:rsidRPr="00FF79AC">
        <w:t xml:space="preserve">“This precautionary principle makes it possible to protect those who are most vulnerable and whose ability to defend their interests and to assemble incontrovertible evidence is limited. If objective information suggests that serious and irreversible damage may result, a project should be halted or modified, even in the absence of indisputable proof. Here the burden of </w:t>
      </w:r>
      <w:r>
        <w:t>p</w:t>
      </w:r>
      <w:r w:rsidR="0023219F">
        <w:t>roof is effectively reversed…”</w:t>
      </w:r>
      <w:r w:rsidR="0023219F">
        <w:rPr>
          <w:rStyle w:val="FootnoteReference"/>
        </w:rPr>
        <w:footnoteReference w:id="12"/>
      </w:r>
      <w:r w:rsidR="0023219F">
        <w:t xml:space="preserve"> </w:t>
      </w:r>
      <w:r>
        <w:t>The “Natural Use</w:t>
      </w:r>
      <w:r w:rsidRPr="005657E8">
        <w:t xml:space="preserve"> Principle</w:t>
      </w:r>
      <w:r>
        <w:t>” stipulates that</w:t>
      </w:r>
      <w:r w:rsidRPr="005657E8">
        <w:t xml:space="preserve"> there is no right to</w:t>
      </w:r>
      <w:r>
        <w:t xml:space="preserve"> develop land so as </w:t>
      </w:r>
      <w:r w:rsidRPr="00DE2EE4">
        <w:t>to change “its natural character” to “non-indigenous property uses” because a landowner is only entitled to reasonable expectations of what can be done to the land given “the natural character of the property and nature’s laws.”</w:t>
      </w:r>
      <w:r w:rsidR="0023219F">
        <w:rPr>
          <w:rStyle w:val="FootnoteReference"/>
        </w:rPr>
        <w:footnoteReference w:id="13"/>
      </w:r>
    </w:p>
    <w:p w:rsidR="00071F31" w:rsidRPr="00071F31" w:rsidRDefault="0023219F" w:rsidP="000821A0">
      <w:pPr>
        <w:pStyle w:val="NoSpacing"/>
        <w:jc w:val="both"/>
        <w:rPr>
          <w:b/>
        </w:rPr>
      </w:pPr>
      <w:r w:rsidRPr="00071F31">
        <w:rPr>
          <w:b/>
        </w:rPr>
        <w:t xml:space="preserve"> </w:t>
      </w:r>
    </w:p>
    <w:p w:rsidR="00071F31" w:rsidRDefault="00071F31" w:rsidP="000821A0">
      <w:pPr>
        <w:pStyle w:val="NoSpacing"/>
        <w:jc w:val="both"/>
        <w:rPr>
          <w:b/>
        </w:rPr>
      </w:pPr>
      <w:r w:rsidRPr="00071F31">
        <w:rPr>
          <w:b/>
        </w:rPr>
        <w:t>Conclusions and Recommendations</w:t>
      </w:r>
    </w:p>
    <w:p w:rsidR="00160F78" w:rsidRDefault="00071F31" w:rsidP="00FF431F">
      <w:pPr>
        <w:pStyle w:val="NoSpacing"/>
        <w:jc w:val="both"/>
      </w:pPr>
      <w:r>
        <w:t>T</w:t>
      </w:r>
      <w:r w:rsidRPr="00C50D54">
        <w:t>he right</w:t>
      </w:r>
      <w:r w:rsidR="00B64041">
        <w:t xml:space="preserve"> </w:t>
      </w:r>
      <w:r w:rsidRPr="00C50D54">
        <w:t xml:space="preserve">of future generations to enjoy </w:t>
      </w:r>
      <w:r>
        <w:t xml:space="preserve">ecological </w:t>
      </w:r>
      <w:r w:rsidR="001E5908">
        <w:t xml:space="preserve">public </w:t>
      </w:r>
      <w:r w:rsidRPr="00C50D54">
        <w:t>tru</w:t>
      </w:r>
      <w:r w:rsidR="001E5908">
        <w:t>st assets must not be impaired</w:t>
      </w:r>
      <w:r w:rsidRPr="00C50D54">
        <w:t xml:space="preserve"> by those living today</w:t>
      </w:r>
      <w:r w:rsidR="00756FB2">
        <w:t>. Pope Francis warns</w:t>
      </w:r>
      <w:r>
        <w:t>, “Young people demand change. They wonder how anyone can claim to be building a better future without thinking of the environmental crisis and the sufferings of the exclu</w:t>
      </w:r>
      <w:r w:rsidR="00E742B7">
        <w:t>ded.” The Human Rights Council</w:t>
      </w:r>
      <w:r>
        <w:t xml:space="preserve"> must ask whether a human ecosystem crisis, a demographic winter</w:t>
      </w:r>
      <w:r w:rsidR="001E5908">
        <w:t xml:space="preserve"> with plummeting population decline</w:t>
      </w:r>
      <w:r>
        <w:t xml:space="preserve">, has </w:t>
      </w:r>
      <w:r w:rsidR="001E5908">
        <w:t xml:space="preserve">already </w:t>
      </w:r>
      <w:r>
        <w:t>been set in motion that threatens the biodiversity of the human race.</w:t>
      </w:r>
      <w:r w:rsidR="0023219F">
        <w:rPr>
          <w:rStyle w:val="FootnoteReference"/>
        </w:rPr>
        <w:footnoteReference w:id="14"/>
      </w:r>
      <w:r w:rsidR="0023219F">
        <w:t xml:space="preserve"> </w:t>
      </w:r>
      <w:r w:rsidR="00E742B7">
        <w:t>The Human Rights Council</w:t>
      </w:r>
      <w:r>
        <w:t xml:space="preserve"> </w:t>
      </w:r>
      <w:r w:rsidR="00B64041">
        <w:t>must</w:t>
      </w:r>
      <w:r w:rsidR="007B0B30">
        <w:t xml:space="preserve"> employ</w:t>
      </w:r>
      <w:r w:rsidRPr="00350B48">
        <w:t xml:space="preserve"> the Natural Use Principle</w:t>
      </w:r>
      <w:r w:rsidR="007B0B30">
        <w:t xml:space="preserve"> and</w:t>
      </w:r>
      <w:r>
        <w:t xml:space="preserve"> investigate whether certain </w:t>
      </w:r>
      <w:r w:rsidRPr="00350B48">
        <w:t xml:space="preserve">non-indigenous cultural practices </w:t>
      </w:r>
      <w:r>
        <w:t xml:space="preserve">being </w:t>
      </w:r>
      <w:r w:rsidRPr="00350B48">
        <w:t>imposed upon native populations</w:t>
      </w:r>
      <w:r w:rsidR="007B0B30">
        <w:t xml:space="preserve"> in the Developing World</w:t>
      </w:r>
      <w:r w:rsidR="002707A5">
        <w:t xml:space="preserve">, such as same-sex marriage and abortion </w:t>
      </w:r>
      <w:r w:rsidR="007B0B30">
        <w:t xml:space="preserve">actually turn </w:t>
      </w:r>
      <w:r w:rsidRPr="00350B48">
        <w:t>the</w:t>
      </w:r>
      <w:r w:rsidR="007B0B30">
        <w:t xml:space="preserve"> “natural character” of </w:t>
      </w:r>
      <w:r w:rsidR="00FC2D29">
        <w:t>human sexuality from its</w:t>
      </w:r>
      <w:r w:rsidR="007B0B30">
        <w:t xml:space="preserve"> procreative</w:t>
      </w:r>
      <w:r w:rsidR="00FC2D29">
        <w:t xml:space="preserve"> purpose</w:t>
      </w:r>
      <w:r w:rsidR="007B0B30">
        <w:t xml:space="preserve"> and </w:t>
      </w:r>
      <w:r w:rsidRPr="00350B48">
        <w:t>threaten irreparable harm to th</w:t>
      </w:r>
      <w:r w:rsidR="007B0B30">
        <w:t>e biodiversity of indigenous people</w:t>
      </w:r>
      <w:r w:rsidRPr="00350B48">
        <w:t>.</w:t>
      </w:r>
      <w:r w:rsidR="00E742B7">
        <w:t xml:space="preserve"> The Human Rights Council</w:t>
      </w:r>
      <w:r>
        <w:t xml:space="preserve"> </w:t>
      </w:r>
      <w:r w:rsidR="00B64041">
        <w:t>must</w:t>
      </w:r>
      <w:r>
        <w:t xml:space="preserve"> </w:t>
      </w:r>
      <w:r w:rsidR="00160F78">
        <w:t xml:space="preserve">also </w:t>
      </w:r>
      <w:r>
        <w:t xml:space="preserve">invoke the Precautionary Principle and call for a halt to the legalization of same sex marriage in light </w:t>
      </w:r>
      <w:r w:rsidR="00FC2D29">
        <w:t xml:space="preserve">of substantial </w:t>
      </w:r>
      <w:r>
        <w:t xml:space="preserve">evidence from the social sciences that it is not in the best interests of children to </w:t>
      </w:r>
      <w:r w:rsidR="0023219F">
        <w:t>be raised by same sex parents.</w:t>
      </w:r>
      <w:r w:rsidR="0023219F">
        <w:rPr>
          <w:rStyle w:val="FootnoteReference"/>
        </w:rPr>
        <w:footnoteReference w:id="15"/>
      </w:r>
      <w:r w:rsidR="0023219F">
        <w:t xml:space="preserve"> </w:t>
      </w:r>
      <w:r>
        <w:t xml:space="preserve">These public </w:t>
      </w:r>
      <w:r w:rsidR="00FC2D29">
        <w:t xml:space="preserve">and private </w:t>
      </w:r>
      <w:r>
        <w:t>actors</w:t>
      </w:r>
      <w:r w:rsidR="00E20928">
        <w:t xml:space="preserve"> have failed to meet</w:t>
      </w:r>
      <w:r w:rsidR="00FC2D29">
        <w:t xml:space="preserve"> their burden of proof</w:t>
      </w:r>
      <w:r w:rsidR="00E20928">
        <w:t xml:space="preserve"> – </w:t>
      </w:r>
      <w:r w:rsidR="00E23ADC">
        <w:t xml:space="preserve">to show with clear and convincing evidence </w:t>
      </w:r>
      <w:r w:rsidR="00E20928">
        <w:t>that</w:t>
      </w:r>
      <w:r w:rsidR="002707A5">
        <w:t xml:space="preserve"> </w:t>
      </w:r>
      <w:r w:rsidR="00E20928">
        <w:t xml:space="preserve">a host of </w:t>
      </w:r>
      <w:r w:rsidR="002707A5">
        <w:t xml:space="preserve">social ills </w:t>
      </w:r>
      <w:r w:rsidR="00B64041" w:rsidRPr="002707A5">
        <w:t xml:space="preserve">will </w:t>
      </w:r>
      <w:r w:rsidR="002707A5" w:rsidRPr="002707A5">
        <w:t xml:space="preserve">not </w:t>
      </w:r>
      <w:r w:rsidR="00E20928">
        <w:t xml:space="preserve">follow upon violations of the rights safeguarded in </w:t>
      </w:r>
      <w:r w:rsidR="002707A5" w:rsidRPr="002707A5">
        <w:rPr>
          <w:i/>
          <w:color w:val="111111"/>
        </w:rPr>
        <w:t>Model Declaration on the Rights of the Family</w:t>
      </w:r>
      <w:r w:rsidR="002707A5">
        <w:rPr>
          <w:i/>
          <w:color w:val="111111"/>
        </w:rPr>
        <w:t xml:space="preserve">, </w:t>
      </w:r>
      <w:r w:rsidR="002707A5">
        <w:rPr>
          <w:color w:val="111111"/>
        </w:rPr>
        <w:t>cited above.</w:t>
      </w:r>
      <w:r w:rsidR="00A00DC2">
        <w:rPr>
          <w:rStyle w:val="FootnoteReference"/>
          <w:color w:val="111111"/>
        </w:rPr>
        <w:footnoteReference w:id="16"/>
      </w:r>
      <w:r w:rsidR="00160F78">
        <w:rPr>
          <w:color w:val="111111"/>
        </w:rPr>
        <w:t xml:space="preserve"> </w:t>
      </w:r>
      <w:r w:rsidR="00160F78">
        <w:t>T</w:t>
      </w:r>
      <w:r>
        <w:t>he Human Ri</w:t>
      </w:r>
      <w:r w:rsidR="00E742B7">
        <w:t xml:space="preserve">ghts Council </w:t>
      </w:r>
      <w:r w:rsidR="002707A5">
        <w:t>can</w:t>
      </w:r>
      <w:r w:rsidR="00B64041">
        <w:t xml:space="preserve">not ignore that </w:t>
      </w:r>
      <w:r>
        <w:t>these practices collectively and disproportionately affect</w:t>
      </w:r>
      <w:r w:rsidR="00B64041">
        <w:t xml:space="preserve"> the poor whose posterity are “excluded.” </w:t>
      </w:r>
      <w:r w:rsidR="007B0B30">
        <w:t xml:space="preserve">An </w:t>
      </w:r>
      <w:r w:rsidR="007B0B30" w:rsidRPr="009A6A2E">
        <w:t xml:space="preserve">agreement on systems of governance for the whole range of so-called </w:t>
      </w:r>
      <w:r w:rsidR="007B0B30" w:rsidRPr="009A6A2E">
        <w:rPr>
          <w:i/>
        </w:rPr>
        <w:t>global commons</w:t>
      </w:r>
      <w:r w:rsidR="007B0B30">
        <w:t xml:space="preserve"> cannot rest upon </w:t>
      </w:r>
      <w:r w:rsidR="002707A5">
        <w:t>such</w:t>
      </w:r>
      <w:r w:rsidR="007B0B30">
        <w:t xml:space="preserve"> injustice</w:t>
      </w:r>
      <w:r w:rsidR="0006320A">
        <w:t xml:space="preserve"> and invidious discrimination against the poor</w:t>
      </w:r>
      <w:r w:rsidR="007B0B30">
        <w:t>.</w:t>
      </w:r>
      <w:r w:rsidR="007B0B30" w:rsidRPr="009A6A2E">
        <w:t xml:space="preserve"> </w:t>
      </w:r>
    </w:p>
    <w:p w:rsidR="00FF431F" w:rsidRPr="00E20928" w:rsidRDefault="00A00DC2" w:rsidP="00FF431F">
      <w:pPr>
        <w:pStyle w:val="NormalWeb"/>
        <w:ind w:left="0" w:right="180"/>
        <w:jc w:val="both"/>
        <w:rPr>
          <w:rFonts w:ascii="Times New Roman" w:hAnsi="Times New Roman" w:cs="Times New Roman"/>
          <w:sz w:val="24"/>
          <w:szCs w:val="24"/>
        </w:rPr>
      </w:pPr>
      <w:r>
        <w:rPr>
          <w:rFonts w:ascii="Times New Roman" w:hAnsi="Times New Roman" w:cs="Times New Roman"/>
          <w:sz w:val="24"/>
          <w:szCs w:val="24"/>
        </w:rPr>
        <w:t>THEREF</w:t>
      </w:r>
      <w:r w:rsidR="00E742B7">
        <w:rPr>
          <w:rFonts w:ascii="Times New Roman" w:hAnsi="Times New Roman" w:cs="Times New Roman"/>
          <w:sz w:val="24"/>
          <w:szCs w:val="24"/>
        </w:rPr>
        <w:t>ORE, this Human Rights Council</w:t>
      </w:r>
      <w:r>
        <w:rPr>
          <w:rFonts w:ascii="Times New Roman" w:hAnsi="Times New Roman" w:cs="Times New Roman"/>
          <w:sz w:val="24"/>
          <w:szCs w:val="24"/>
        </w:rPr>
        <w:t xml:space="preserve"> must denounce the antenatal practices of abortion and same sex marriage for what they are – violations of integral human ecology, crimes against humanity and </w:t>
      </w:r>
      <w:r w:rsidR="0006320A">
        <w:rPr>
          <w:rFonts w:ascii="Times New Roman" w:hAnsi="Times New Roman" w:cs="Times New Roman"/>
          <w:sz w:val="24"/>
          <w:szCs w:val="24"/>
        </w:rPr>
        <w:t xml:space="preserve">eugenic </w:t>
      </w:r>
      <w:r>
        <w:rPr>
          <w:rFonts w:ascii="Times New Roman" w:hAnsi="Times New Roman" w:cs="Times New Roman"/>
          <w:sz w:val="24"/>
          <w:szCs w:val="24"/>
        </w:rPr>
        <w:t>genocide. Whereas</w:t>
      </w:r>
      <w:r w:rsidR="00FF431F">
        <w:rPr>
          <w:rFonts w:ascii="Times New Roman" w:hAnsi="Times New Roman" w:cs="Times New Roman"/>
          <w:sz w:val="24"/>
          <w:szCs w:val="24"/>
        </w:rPr>
        <w:t xml:space="preserve"> the book of nature is one and includes both </w:t>
      </w:r>
      <w:r w:rsidR="0006320A">
        <w:rPr>
          <w:rFonts w:ascii="Times New Roman" w:hAnsi="Times New Roman" w:cs="Times New Roman"/>
          <w:sz w:val="24"/>
          <w:szCs w:val="24"/>
        </w:rPr>
        <w:t xml:space="preserve">the </w:t>
      </w:r>
      <w:r w:rsidR="00FF431F">
        <w:rPr>
          <w:rFonts w:ascii="Times New Roman" w:hAnsi="Times New Roman" w:cs="Times New Roman"/>
          <w:sz w:val="24"/>
          <w:szCs w:val="24"/>
        </w:rPr>
        <w:t xml:space="preserve">natural and human </w:t>
      </w:r>
      <w:r>
        <w:rPr>
          <w:rFonts w:ascii="Times New Roman" w:hAnsi="Times New Roman" w:cs="Times New Roman"/>
          <w:sz w:val="24"/>
          <w:szCs w:val="24"/>
        </w:rPr>
        <w:lastRenderedPageBreak/>
        <w:t>environment</w:t>
      </w:r>
      <w:r w:rsidR="00FF431F">
        <w:rPr>
          <w:rFonts w:ascii="Times New Roman" w:hAnsi="Times New Roman" w:cs="Times New Roman"/>
          <w:sz w:val="24"/>
          <w:szCs w:val="24"/>
        </w:rPr>
        <w:t xml:space="preserve">, we may not do less for the human </w:t>
      </w:r>
      <w:r w:rsidR="00756FB2">
        <w:rPr>
          <w:rFonts w:ascii="Times New Roman" w:hAnsi="Times New Roman" w:cs="Times New Roman"/>
          <w:sz w:val="24"/>
          <w:szCs w:val="24"/>
        </w:rPr>
        <w:t>family</w:t>
      </w:r>
      <w:r w:rsidR="0006320A">
        <w:rPr>
          <w:rFonts w:ascii="Times New Roman" w:hAnsi="Times New Roman" w:cs="Times New Roman"/>
          <w:sz w:val="24"/>
          <w:szCs w:val="24"/>
        </w:rPr>
        <w:t>, made in God’s image,</w:t>
      </w:r>
      <w:r w:rsidR="00756FB2">
        <w:rPr>
          <w:rFonts w:ascii="Times New Roman" w:hAnsi="Times New Roman" w:cs="Times New Roman"/>
          <w:sz w:val="24"/>
          <w:szCs w:val="24"/>
        </w:rPr>
        <w:t xml:space="preserve"> </w:t>
      </w:r>
      <w:r w:rsidR="00FF431F">
        <w:rPr>
          <w:rFonts w:ascii="Times New Roman" w:hAnsi="Times New Roman" w:cs="Times New Roman"/>
          <w:sz w:val="24"/>
          <w:szCs w:val="24"/>
        </w:rPr>
        <w:t xml:space="preserve">than we do for flora and fauna. </w:t>
      </w:r>
    </w:p>
    <w:sectPr w:rsidR="00FF431F" w:rsidRPr="00E20928" w:rsidSect="00EA137A">
      <w:footerReference w:type="default" r:id="rId10"/>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6AD" w:rsidRDefault="00FA66AD" w:rsidP="008924AF">
      <w:pPr>
        <w:spacing w:after="0" w:line="240" w:lineRule="auto"/>
      </w:pPr>
      <w:r>
        <w:separator/>
      </w:r>
    </w:p>
  </w:endnote>
  <w:endnote w:type="continuationSeparator" w:id="0">
    <w:p w:rsidR="00FA66AD" w:rsidRDefault="00FA66AD" w:rsidP="00892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001121"/>
      <w:docPartObj>
        <w:docPartGallery w:val="Page Numbers (Bottom of Page)"/>
        <w:docPartUnique/>
      </w:docPartObj>
    </w:sdtPr>
    <w:sdtEndPr>
      <w:rPr>
        <w:noProof/>
      </w:rPr>
    </w:sdtEndPr>
    <w:sdtContent>
      <w:p w:rsidR="00B64041" w:rsidRDefault="00B64041">
        <w:pPr>
          <w:pStyle w:val="Footer"/>
          <w:jc w:val="center"/>
        </w:pPr>
        <w:r>
          <w:fldChar w:fldCharType="begin"/>
        </w:r>
        <w:r>
          <w:instrText xml:space="preserve"> PAGE   \* MERGEFORMAT </w:instrText>
        </w:r>
        <w:r>
          <w:fldChar w:fldCharType="separate"/>
        </w:r>
        <w:r w:rsidR="00AE632E">
          <w:rPr>
            <w:noProof/>
          </w:rPr>
          <w:t>1</w:t>
        </w:r>
        <w:r>
          <w:rPr>
            <w:noProof/>
          </w:rPr>
          <w:fldChar w:fldCharType="end"/>
        </w:r>
      </w:p>
    </w:sdtContent>
  </w:sdt>
  <w:p w:rsidR="008924AF" w:rsidRDefault="00892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6AD" w:rsidRDefault="00FA66AD" w:rsidP="008924AF">
      <w:pPr>
        <w:spacing w:after="0" w:line="240" w:lineRule="auto"/>
      </w:pPr>
      <w:r>
        <w:separator/>
      </w:r>
    </w:p>
  </w:footnote>
  <w:footnote w:type="continuationSeparator" w:id="0">
    <w:p w:rsidR="00FA66AD" w:rsidRDefault="00FA66AD" w:rsidP="008924AF">
      <w:pPr>
        <w:spacing w:after="0" w:line="240" w:lineRule="auto"/>
      </w:pPr>
      <w:r>
        <w:continuationSeparator/>
      </w:r>
    </w:p>
  </w:footnote>
  <w:footnote w:id="1">
    <w:p w:rsidR="00E14914" w:rsidRPr="00E14914" w:rsidRDefault="00E14914">
      <w:pPr>
        <w:pStyle w:val="FootnoteText"/>
        <w:rPr>
          <w:rFonts w:ascii="Times New Roman" w:hAnsi="Times New Roman"/>
        </w:rPr>
      </w:pPr>
      <w:r w:rsidRPr="00E14914">
        <w:rPr>
          <w:rStyle w:val="FootnoteReference"/>
          <w:rFonts w:ascii="Times New Roman" w:hAnsi="Times New Roman"/>
        </w:rPr>
        <w:footnoteRef/>
      </w:r>
      <w:r w:rsidRPr="00E14914">
        <w:rPr>
          <w:rFonts w:ascii="Times New Roman" w:hAnsi="Times New Roman"/>
        </w:rPr>
        <w:t xml:space="preserve"> See Pope Francis, </w:t>
      </w:r>
      <w:r w:rsidRPr="00E14914">
        <w:rPr>
          <w:rFonts w:ascii="Times New Roman" w:hAnsi="Times New Roman"/>
          <w:i/>
        </w:rPr>
        <w:t>Laudato Si’</w:t>
      </w:r>
      <w:r w:rsidR="0023219F">
        <w:rPr>
          <w:rFonts w:ascii="Times New Roman" w:hAnsi="Times New Roman"/>
        </w:rPr>
        <w:t xml:space="preserve"> (2015) #</w:t>
      </w:r>
      <w:r w:rsidRPr="00E14914">
        <w:rPr>
          <w:rFonts w:ascii="Times New Roman" w:hAnsi="Times New Roman"/>
        </w:rPr>
        <w:t>5 “authentic human ecology,”</w:t>
      </w:r>
      <w:r w:rsidR="0023219F">
        <w:rPr>
          <w:rFonts w:ascii="Times New Roman" w:hAnsi="Times New Roman"/>
        </w:rPr>
        <w:t xml:space="preserve"> #</w:t>
      </w:r>
      <w:r w:rsidRPr="00E14914">
        <w:rPr>
          <w:rFonts w:ascii="Times New Roman" w:hAnsi="Times New Roman"/>
        </w:rPr>
        <w:t xml:space="preserve">6 “the book of nature is one and indivisible” citing Pope John Paul II, </w:t>
      </w:r>
      <w:r w:rsidRPr="00E14914">
        <w:rPr>
          <w:rFonts w:ascii="Times New Roman" w:hAnsi="Times New Roman"/>
          <w:i/>
        </w:rPr>
        <w:t xml:space="preserve">Centisimus Annus </w:t>
      </w:r>
      <w:r w:rsidR="0023219F">
        <w:rPr>
          <w:rFonts w:ascii="Times New Roman" w:hAnsi="Times New Roman"/>
        </w:rPr>
        <w:t xml:space="preserve">#38, </w:t>
      </w:r>
      <w:r w:rsidRPr="00E14914">
        <w:rPr>
          <w:rFonts w:ascii="Times New Roman" w:hAnsi="Times New Roman"/>
        </w:rPr>
        <w:t xml:space="preserve"> </w:t>
      </w:r>
      <w:r w:rsidR="0023219F">
        <w:rPr>
          <w:rFonts w:ascii="Times New Roman" w:hAnsi="Times New Roman"/>
        </w:rPr>
        <w:t>#</w:t>
      </w:r>
      <w:r w:rsidRPr="00E14914">
        <w:rPr>
          <w:rFonts w:ascii="Times New Roman" w:hAnsi="Times New Roman"/>
        </w:rPr>
        <w:t>12 “our common home</w:t>
      </w:r>
      <w:r w:rsidR="0023219F">
        <w:rPr>
          <w:rFonts w:ascii="Times New Roman" w:hAnsi="Times New Roman"/>
        </w:rPr>
        <w:t>.</w:t>
      </w:r>
      <w:r w:rsidRPr="00E14914">
        <w:rPr>
          <w:rFonts w:ascii="Times New Roman" w:hAnsi="Times New Roman"/>
        </w:rPr>
        <w:t>”</w:t>
      </w:r>
    </w:p>
  </w:footnote>
  <w:footnote w:id="2">
    <w:p w:rsidR="00E14914" w:rsidRDefault="00E14914">
      <w:pPr>
        <w:pStyle w:val="FootnoteText"/>
      </w:pPr>
      <w:r w:rsidRPr="00E14914">
        <w:rPr>
          <w:rStyle w:val="FootnoteReference"/>
          <w:rFonts w:ascii="Times New Roman" w:hAnsi="Times New Roman"/>
        </w:rPr>
        <w:footnoteRef/>
      </w:r>
      <w:r w:rsidRPr="00E14914">
        <w:rPr>
          <w:rFonts w:ascii="Times New Roman" w:hAnsi="Times New Roman"/>
          <w:color w:val="111111"/>
        </w:rPr>
        <w:t xml:space="preserve"> </w:t>
      </w:r>
      <w:r w:rsidRPr="00E14914">
        <w:rPr>
          <w:rFonts w:ascii="Times New Roman" w:hAnsi="Times New Roman"/>
          <w:i/>
          <w:color w:val="111111"/>
        </w:rPr>
        <w:t>Model Declaration on the Rights of the Family</w:t>
      </w:r>
      <w:r w:rsidRPr="00E14914">
        <w:rPr>
          <w:rFonts w:ascii="Times New Roman" w:hAnsi="Times New Roman"/>
          <w:color w:val="111111"/>
        </w:rPr>
        <w:t xml:space="preserve">, Article 2, </w:t>
      </w:r>
      <w:hyperlink r:id="rId1" w:history="1">
        <w:r w:rsidRPr="00E14914">
          <w:rPr>
            <w:rStyle w:val="Hyperlink"/>
            <w:rFonts w:ascii="Times New Roman" w:hAnsi="Times New Roman"/>
            <w:b/>
          </w:rPr>
          <w:t>http://s3.amazonaws.com/icolf/icolf/wp-content/uploads/ICOLF.ModelFamilyDeclaration1.pdf</w:t>
        </w:r>
      </w:hyperlink>
      <w:r w:rsidR="0023219F">
        <w:rPr>
          <w:rStyle w:val="Hyperlink"/>
          <w:rFonts w:ascii="Times New Roman" w:hAnsi="Times New Roman"/>
          <w:b/>
        </w:rPr>
        <w:t xml:space="preserve"> </w:t>
      </w:r>
    </w:p>
  </w:footnote>
  <w:footnote w:id="3">
    <w:p w:rsidR="00E14914" w:rsidRPr="00E14914" w:rsidRDefault="00E14914">
      <w:pPr>
        <w:pStyle w:val="FootnoteText"/>
        <w:rPr>
          <w:rFonts w:ascii="Times New Roman" w:hAnsi="Times New Roman"/>
        </w:rPr>
      </w:pPr>
      <w:r>
        <w:rPr>
          <w:rStyle w:val="FootnoteReference"/>
        </w:rPr>
        <w:footnoteRef/>
      </w:r>
      <w:r>
        <w:t xml:space="preserve"> </w:t>
      </w:r>
      <w:r w:rsidRPr="00E14914">
        <w:rPr>
          <w:rFonts w:ascii="Times New Roman" w:hAnsi="Times New Roman"/>
          <w:i/>
        </w:rPr>
        <w:t>Laudato Si’</w:t>
      </w:r>
      <w:r w:rsidR="00A00DC2" w:rsidRPr="00E14914">
        <w:rPr>
          <w:rFonts w:ascii="Times New Roman" w:hAnsi="Times New Roman"/>
        </w:rPr>
        <w:t>, #</w:t>
      </w:r>
      <w:r w:rsidRPr="00E14914">
        <w:rPr>
          <w:rFonts w:ascii="Times New Roman" w:hAnsi="Times New Roman"/>
        </w:rPr>
        <w:t>174.</w:t>
      </w:r>
    </w:p>
  </w:footnote>
  <w:footnote w:id="4">
    <w:p w:rsidR="00E14914" w:rsidRPr="00E14914" w:rsidRDefault="00E14914">
      <w:pPr>
        <w:pStyle w:val="FootnoteText"/>
        <w:rPr>
          <w:rFonts w:ascii="Times New Roman" w:hAnsi="Times New Roman"/>
        </w:rPr>
      </w:pPr>
      <w:r w:rsidRPr="00E14914">
        <w:rPr>
          <w:rStyle w:val="FootnoteReference"/>
          <w:rFonts w:ascii="Times New Roman" w:hAnsi="Times New Roman"/>
        </w:rPr>
        <w:footnoteRef/>
      </w:r>
      <w:r w:rsidRPr="00E14914">
        <w:rPr>
          <w:rFonts w:ascii="Times New Roman" w:hAnsi="Times New Roman"/>
        </w:rPr>
        <w:t xml:space="preserve"> See U.N. Doc. A/CONF.39/27 (1969), reprinted in 63 Am.J.Int’l L. 875 (1969); Marc Bossuyt en Jan Wouters (2005): </w:t>
      </w:r>
      <w:r w:rsidRPr="00E14914">
        <w:rPr>
          <w:rFonts w:ascii="Times New Roman" w:hAnsi="Times New Roman"/>
          <w:i/>
        </w:rPr>
        <w:t>Grondlijnen van international recht</w:t>
      </w:r>
      <w:r w:rsidRPr="00E14914">
        <w:rPr>
          <w:rFonts w:ascii="Times New Roman" w:hAnsi="Times New Roman"/>
        </w:rPr>
        <w:t xml:space="preserve">, Intersentia, Antwerpen enz., p. 92; Prosecutor v. Furundzija, International Criminal Tribunal for Former Yugoslavia, 2002, 121 </w:t>
      </w:r>
      <w:r w:rsidRPr="00E14914">
        <w:rPr>
          <w:rFonts w:ascii="Times New Roman" w:hAnsi="Times New Roman"/>
          <w:i/>
        </w:rPr>
        <w:t>International Law Reports</w:t>
      </w:r>
      <w:r w:rsidRPr="00E14914">
        <w:rPr>
          <w:rFonts w:ascii="Times New Roman" w:hAnsi="Times New Roman"/>
        </w:rPr>
        <w:t xml:space="preserve"> 213 (2002)</w:t>
      </w:r>
      <w:r w:rsidR="0023219F">
        <w:rPr>
          <w:rFonts w:ascii="Times New Roman" w:hAnsi="Times New Roman"/>
        </w:rPr>
        <w:t>.</w:t>
      </w:r>
    </w:p>
  </w:footnote>
  <w:footnote w:id="5">
    <w:p w:rsidR="00E14914" w:rsidRDefault="00E14914">
      <w:pPr>
        <w:pStyle w:val="FootnoteText"/>
      </w:pPr>
      <w:r w:rsidRPr="00E14914">
        <w:rPr>
          <w:rStyle w:val="FootnoteReference"/>
          <w:rFonts w:ascii="Times New Roman" w:hAnsi="Times New Roman"/>
        </w:rPr>
        <w:footnoteRef/>
      </w:r>
      <w:r w:rsidRPr="00E14914">
        <w:rPr>
          <w:rFonts w:ascii="Times New Roman" w:hAnsi="Times New Roman"/>
        </w:rPr>
        <w:t xml:space="preserve"> See Gerald Torres and Nathan Bellinger, “The Public Trust Doctrine: The Law’s DNA,” 4 WAKE FOREST J.L. &amp; POL’Y, 284, 281, 288 (2014).</w:t>
      </w:r>
    </w:p>
  </w:footnote>
  <w:footnote w:id="6">
    <w:p w:rsidR="00E14914" w:rsidRPr="00E14914" w:rsidRDefault="00E14914" w:rsidP="00E14914">
      <w:pPr>
        <w:pStyle w:val="FootnoteText"/>
        <w:rPr>
          <w:rFonts w:ascii="Times New Roman" w:hAnsi="Times New Roman"/>
        </w:rPr>
      </w:pPr>
      <w:r w:rsidRPr="00E14914">
        <w:rPr>
          <w:rStyle w:val="FootnoteReference"/>
          <w:rFonts w:ascii="Times New Roman" w:hAnsi="Times New Roman"/>
        </w:rPr>
        <w:footnoteRef/>
      </w:r>
      <w:r w:rsidRPr="00E14914">
        <w:rPr>
          <w:rFonts w:ascii="Times New Roman" w:hAnsi="Times New Roman"/>
        </w:rPr>
        <w:t xml:space="preserve"> </w:t>
      </w:r>
      <w:r w:rsidRPr="00E14914">
        <w:rPr>
          <w:rFonts w:ascii="Times New Roman" w:hAnsi="Times New Roman"/>
          <w:i/>
        </w:rPr>
        <w:t>Shively v. Bowlby</w:t>
      </w:r>
      <w:r w:rsidRPr="00E14914">
        <w:rPr>
          <w:rFonts w:ascii="Times New Roman" w:hAnsi="Times New Roman"/>
        </w:rPr>
        <w:t>, 152 U.S. 1, 14-15 (1894)</w:t>
      </w:r>
      <w:r w:rsidR="0023219F">
        <w:rPr>
          <w:rFonts w:ascii="Times New Roman" w:hAnsi="Times New Roman"/>
        </w:rPr>
        <w:t>.</w:t>
      </w:r>
    </w:p>
  </w:footnote>
  <w:footnote w:id="7">
    <w:p w:rsidR="00E14914" w:rsidRPr="00E14914" w:rsidRDefault="00E14914">
      <w:pPr>
        <w:pStyle w:val="FootnoteText"/>
        <w:rPr>
          <w:rFonts w:ascii="Times New Roman" w:hAnsi="Times New Roman"/>
        </w:rPr>
      </w:pPr>
      <w:r>
        <w:rPr>
          <w:rStyle w:val="FootnoteReference"/>
        </w:rPr>
        <w:footnoteRef/>
      </w:r>
      <w:r>
        <w:t xml:space="preserve"> </w:t>
      </w:r>
      <w:r w:rsidRPr="00E14914">
        <w:rPr>
          <w:rFonts w:ascii="Times New Roman" w:hAnsi="Times New Roman"/>
        </w:rPr>
        <w:t xml:space="preserve">See </w:t>
      </w:r>
      <w:r w:rsidRPr="00E14914">
        <w:rPr>
          <w:rFonts w:ascii="Times New Roman" w:hAnsi="Times New Roman"/>
          <w:color w:val="000000"/>
        </w:rPr>
        <w:t>Blumm &amp; Guthrie</w:t>
      </w:r>
      <w:r w:rsidRPr="00E14914">
        <w:rPr>
          <w:rFonts w:ascii="Times New Roman" w:hAnsi="Times New Roman"/>
          <w:i/>
          <w:iCs/>
          <w:color w:val="000000"/>
        </w:rPr>
        <w:t>, “</w:t>
      </w:r>
      <w:r w:rsidRPr="00E14914">
        <w:rPr>
          <w:rFonts w:ascii="Times New Roman" w:hAnsi="Times New Roman"/>
          <w:iCs/>
          <w:color w:val="000000"/>
        </w:rPr>
        <w:t>Internationalizing the Public Trust Doctrine: Natural Law and Constitutional and Statutory Approaches to Fulfilling the Saxion Vision,”</w:t>
      </w:r>
      <w:r w:rsidRPr="00E14914">
        <w:rPr>
          <w:rFonts w:ascii="Times New Roman" w:hAnsi="Times New Roman"/>
          <w:i/>
          <w:iCs/>
          <w:color w:val="000000"/>
        </w:rPr>
        <w:t xml:space="preserve"> </w:t>
      </w:r>
      <w:r w:rsidRPr="00E14914">
        <w:rPr>
          <w:rFonts w:ascii="Times New Roman" w:hAnsi="Times New Roman"/>
          <w:color w:val="000000"/>
        </w:rPr>
        <w:t xml:space="preserve">45 </w:t>
      </w:r>
      <w:r w:rsidR="00737D49">
        <w:rPr>
          <w:rFonts w:ascii="Times New Roman" w:hAnsi="Times New Roman"/>
          <w:smallCaps/>
          <w:color w:val="000000"/>
        </w:rPr>
        <w:t xml:space="preserve">U.C. Davis L </w:t>
      </w:r>
      <w:r w:rsidRPr="00E14914">
        <w:rPr>
          <w:rFonts w:ascii="Times New Roman" w:hAnsi="Times New Roman"/>
          <w:smallCaps/>
          <w:color w:val="000000"/>
        </w:rPr>
        <w:t>Rev.</w:t>
      </w:r>
      <w:r w:rsidRPr="00E14914">
        <w:rPr>
          <w:rFonts w:ascii="Times New Roman" w:hAnsi="Times New Roman"/>
          <w:color w:val="000000"/>
        </w:rPr>
        <w:t xml:space="preserve"> 741,</w:t>
      </w:r>
      <w:r w:rsidRPr="00E14914">
        <w:rPr>
          <w:rFonts w:ascii="Times New Roman" w:hAnsi="Times New Roman"/>
          <w:bCs/>
          <w:color w:val="0081C1"/>
        </w:rPr>
        <w:t xml:space="preserve"> </w:t>
      </w:r>
      <w:r w:rsidRPr="00E14914">
        <w:rPr>
          <w:rFonts w:ascii="Times New Roman" w:hAnsi="Times New Roman"/>
          <w:color w:val="000000"/>
        </w:rPr>
        <w:t>760–800 noting that in India, Pakistan, Philippines, Uganda, Kenya, Nigeria, South Africa, Brazil and Ecuador all natural resources are held in public trust).</w:t>
      </w:r>
    </w:p>
  </w:footnote>
  <w:footnote w:id="8">
    <w:p w:rsidR="00E14914" w:rsidRPr="00E14914" w:rsidRDefault="00E14914">
      <w:pPr>
        <w:pStyle w:val="FootnoteText"/>
        <w:rPr>
          <w:rFonts w:ascii="Times New Roman" w:hAnsi="Times New Roman"/>
        </w:rPr>
      </w:pPr>
      <w:r w:rsidRPr="00E14914">
        <w:rPr>
          <w:rStyle w:val="FootnoteReference"/>
          <w:rFonts w:ascii="Times New Roman" w:hAnsi="Times New Roman"/>
        </w:rPr>
        <w:footnoteRef/>
      </w:r>
      <w:r w:rsidRPr="00E14914">
        <w:rPr>
          <w:rFonts w:ascii="Times New Roman" w:hAnsi="Times New Roman"/>
        </w:rPr>
        <w:t xml:space="preserve"> See Mary Turnipseed, et al., “The Public Trust Doctrine and Rio + 20” (2012) </w:t>
      </w:r>
      <w:hyperlink r:id="rId2" w:history="1">
        <w:r w:rsidRPr="00E14914">
          <w:rPr>
            <w:rStyle w:val="Hyperlink"/>
            <w:rFonts w:ascii="Times New Roman" w:hAnsi="Times New Roman"/>
          </w:rPr>
          <w:t>turnipseed@nceas.useas.ucsb.edu</w:t>
        </w:r>
      </w:hyperlink>
      <w:r w:rsidRPr="00E14914">
        <w:rPr>
          <w:rFonts w:ascii="Times New Roman" w:hAnsi="Times New Roman"/>
        </w:rPr>
        <w:t>.</w:t>
      </w:r>
    </w:p>
  </w:footnote>
  <w:footnote w:id="9">
    <w:p w:rsidR="00E14914" w:rsidRPr="00E14914" w:rsidRDefault="00E14914">
      <w:pPr>
        <w:pStyle w:val="FootnoteText"/>
        <w:rPr>
          <w:rFonts w:ascii="Times New Roman" w:hAnsi="Times New Roman"/>
        </w:rPr>
      </w:pPr>
      <w:r w:rsidRPr="00E14914">
        <w:rPr>
          <w:rStyle w:val="FootnoteReference"/>
          <w:rFonts w:ascii="Times New Roman" w:hAnsi="Times New Roman"/>
        </w:rPr>
        <w:footnoteRef/>
      </w:r>
      <w:r w:rsidRPr="00E14914">
        <w:rPr>
          <w:rFonts w:ascii="Times New Roman" w:hAnsi="Times New Roman"/>
        </w:rPr>
        <w:t xml:space="preserve"> See</w:t>
      </w:r>
      <w:r w:rsidRPr="00E14914">
        <w:rPr>
          <w:rFonts w:ascii="Times New Roman" w:hAnsi="Times New Roman"/>
          <w:color w:val="000000"/>
          <w:kern w:val="24"/>
          <w:sz w:val="48"/>
          <w:szCs w:val="48"/>
        </w:rPr>
        <w:t xml:space="preserve"> </w:t>
      </w:r>
      <w:r w:rsidRPr="00E14914">
        <w:rPr>
          <w:rFonts w:ascii="Times New Roman" w:hAnsi="Times New Roman"/>
        </w:rPr>
        <w:t xml:space="preserve">Loretta Feris, “The Public Trust Doctrine and Liability for Historic Water Pollution in South Africa,” 8/1 </w:t>
      </w:r>
      <w:r w:rsidRPr="00E14914">
        <w:rPr>
          <w:rFonts w:ascii="Times New Roman" w:hAnsi="Times New Roman"/>
          <w:i/>
          <w:iCs/>
        </w:rPr>
        <w:t>Law, Environment and Development Journal</w:t>
      </w:r>
      <w:r w:rsidRPr="00E14914">
        <w:rPr>
          <w:rFonts w:ascii="Times New Roman" w:hAnsi="Times New Roman"/>
        </w:rPr>
        <w:t xml:space="preserve"> (2012) </w:t>
      </w:r>
      <w:hyperlink r:id="rId3" w:history="1">
        <w:r w:rsidRPr="00E14914">
          <w:rPr>
            <w:rStyle w:val="Hyperlink"/>
            <w:rFonts w:ascii="Times New Roman" w:hAnsi="Times New Roman"/>
          </w:rPr>
          <w:t>www.lead-journal.org/content/2001.pdf</w:t>
        </w:r>
      </w:hyperlink>
      <w:r w:rsidRPr="00E14914">
        <w:rPr>
          <w:rFonts w:ascii="Times New Roman" w:hAnsi="Times New Roman"/>
        </w:rPr>
        <w:t xml:space="preserve"> (last accessed 9/3/2015) noting that CHH terms are included in several multilateral treaties including the </w:t>
      </w:r>
      <w:r w:rsidRPr="00E14914">
        <w:rPr>
          <w:rFonts w:ascii="Times New Roman" w:hAnsi="Times New Roman"/>
          <w:i/>
          <w:iCs/>
        </w:rPr>
        <w:t>Convention Concerning the Protection of the World Cultural and Natural Heritage</w:t>
      </w:r>
      <w:r w:rsidRPr="00E14914">
        <w:rPr>
          <w:rFonts w:ascii="Times New Roman" w:hAnsi="Times New Roman"/>
        </w:rPr>
        <w:t xml:space="preserve">, Paris, 16 Nov. 1972, 1037 UNTS 151, the </w:t>
      </w:r>
      <w:r w:rsidRPr="00E14914">
        <w:rPr>
          <w:rFonts w:ascii="Times New Roman" w:hAnsi="Times New Roman"/>
          <w:i/>
          <w:iCs/>
        </w:rPr>
        <w:t>Agreement Governing the Activities of States on the Moon and Other Celestial Bodies</w:t>
      </w:r>
      <w:r w:rsidRPr="00E14914">
        <w:rPr>
          <w:rFonts w:ascii="Times New Roman" w:hAnsi="Times New Roman"/>
        </w:rPr>
        <w:t xml:space="preserve">, New York, 5 Dec. 1979, 1363 UNTS 3, art 5,7, 11, the </w:t>
      </w:r>
      <w:r w:rsidRPr="00E14914">
        <w:rPr>
          <w:rFonts w:ascii="Times New Roman" w:hAnsi="Times New Roman"/>
          <w:i/>
          <w:iCs/>
        </w:rPr>
        <w:t>Antarctic Treaty</w:t>
      </w:r>
      <w:r w:rsidRPr="00E14914">
        <w:rPr>
          <w:rFonts w:ascii="Times New Roman" w:hAnsi="Times New Roman"/>
        </w:rPr>
        <w:t xml:space="preserve">, Washington, 1 Dec. 1959, 402 UNTS 71, preamble, the </w:t>
      </w:r>
      <w:r w:rsidRPr="00E14914">
        <w:rPr>
          <w:rFonts w:ascii="Times New Roman" w:hAnsi="Times New Roman"/>
          <w:i/>
          <w:iCs/>
        </w:rPr>
        <w:t>Protocol on Environmental Protections to the Artic Treaty</w:t>
      </w:r>
      <w:r w:rsidRPr="00E14914">
        <w:rPr>
          <w:rFonts w:ascii="Times New Roman" w:hAnsi="Times New Roman"/>
        </w:rPr>
        <w:t xml:space="preserve">, Madrid, 4 Oct. 1991, 30ILM 1455 (1991), and the </w:t>
      </w:r>
      <w:r w:rsidRPr="00E14914">
        <w:rPr>
          <w:rFonts w:ascii="Times New Roman" w:hAnsi="Times New Roman"/>
          <w:i/>
          <w:iCs/>
        </w:rPr>
        <w:t>UN Law of the Sea Convention</w:t>
      </w:r>
      <w:r w:rsidRPr="00E14914">
        <w:rPr>
          <w:rFonts w:ascii="Times New Roman" w:hAnsi="Times New Roman"/>
        </w:rPr>
        <w:t>, Montego Bay, 10 Dec 1982, 1833 UNTS 3).</w:t>
      </w:r>
    </w:p>
  </w:footnote>
  <w:footnote w:id="10">
    <w:p w:rsidR="00E14914" w:rsidRPr="0023219F" w:rsidRDefault="00E14914">
      <w:pPr>
        <w:pStyle w:val="FootnoteText"/>
        <w:rPr>
          <w:rFonts w:ascii="Times New Roman" w:hAnsi="Times New Roman"/>
        </w:rPr>
      </w:pPr>
      <w:r w:rsidRPr="0023219F">
        <w:rPr>
          <w:rStyle w:val="FootnoteReference"/>
          <w:rFonts w:ascii="Times New Roman" w:hAnsi="Times New Roman"/>
        </w:rPr>
        <w:footnoteRef/>
      </w:r>
      <w:r w:rsidRPr="0023219F">
        <w:rPr>
          <w:rFonts w:ascii="Times New Roman" w:hAnsi="Times New Roman"/>
        </w:rPr>
        <w:t xml:space="preserve"> </w:t>
      </w:r>
      <w:r w:rsidR="0023219F" w:rsidRPr="0023219F">
        <w:rPr>
          <w:rFonts w:ascii="Times New Roman" w:hAnsi="Times New Roman"/>
        </w:rPr>
        <w:t xml:space="preserve">Michael C. Blumm and Mary C. Wood, </w:t>
      </w:r>
      <w:r w:rsidR="0023219F" w:rsidRPr="0023219F">
        <w:rPr>
          <w:rFonts w:ascii="Times New Roman" w:hAnsi="Times New Roman"/>
          <w:i/>
        </w:rPr>
        <w:t xml:space="preserve">Teacher’s Manual, The Public Trust Doctrine: In Environmental and Natural Resource Law </w:t>
      </w:r>
      <w:r w:rsidR="0023219F" w:rsidRPr="0023219F">
        <w:rPr>
          <w:rFonts w:ascii="Times New Roman" w:hAnsi="Times New Roman"/>
        </w:rPr>
        <w:t>(2014), 68).</w:t>
      </w:r>
    </w:p>
  </w:footnote>
  <w:footnote w:id="11">
    <w:p w:rsidR="0023219F" w:rsidRPr="0023219F" w:rsidRDefault="0023219F">
      <w:pPr>
        <w:pStyle w:val="FootnoteText"/>
        <w:rPr>
          <w:rFonts w:ascii="Times New Roman" w:hAnsi="Times New Roman"/>
        </w:rPr>
      </w:pPr>
      <w:r w:rsidRPr="0023219F">
        <w:rPr>
          <w:rStyle w:val="FootnoteReference"/>
          <w:rFonts w:ascii="Times New Roman" w:hAnsi="Times New Roman"/>
        </w:rPr>
        <w:footnoteRef/>
      </w:r>
      <w:r w:rsidRPr="0023219F">
        <w:rPr>
          <w:rFonts w:ascii="Times New Roman" w:hAnsi="Times New Roman"/>
        </w:rPr>
        <w:t xml:space="preserve"> Id at 70.</w:t>
      </w:r>
    </w:p>
  </w:footnote>
  <w:footnote w:id="12">
    <w:p w:rsidR="0023219F" w:rsidRPr="0023219F" w:rsidRDefault="0023219F">
      <w:pPr>
        <w:pStyle w:val="FootnoteText"/>
        <w:rPr>
          <w:rFonts w:ascii="Times New Roman" w:hAnsi="Times New Roman"/>
        </w:rPr>
      </w:pPr>
      <w:r w:rsidRPr="0023219F">
        <w:rPr>
          <w:rStyle w:val="FootnoteReference"/>
          <w:rFonts w:ascii="Times New Roman" w:hAnsi="Times New Roman"/>
        </w:rPr>
        <w:footnoteRef/>
      </w:r>
      <w:r w:rsidRPr="0023219F">
        <w:rPr>
          <w:rFonts w:ascii="Times New Roman" w:hAnsi="Times New Roman"/>
        </w:rPr>
        <w:t xml:space="preserve"> </w:t>
      </w:r>
      <w:r w:rsidRPr="0023219F">
        <w:rPr>
          <w:rFonts w:ascii="Times New Roman" w:hAnsi="Times New Roman"/>
          <w:i/>
          <w:iCs/>
        </w:rPr>
        <w:t>Laudato Si</w:t>
      </w:r>
      <w:r w:rsidRPr="0023219F">
        <w:rPr>
          <w:rFonts w:ascii="Times New Roman" w:hAnsi="Times New Roman"/>
        </w:rPr>
        <w:t xml:space="preserve"> #186.</w:t>
      </w:r>
    </w:p>
  </w:footnote>
  <w:footnote w:id="13">
    <w:p w:rsidR="0023219F" w:rsidRPr="0023219F" w:rsidRDefault="0023219F">
      <w:pPr>
        <w:pStyle w:val="FootnoteText"/>
        <w:rPr>
          <w:rFonts w:ascii="Times New Roman" w:hAnsi="Times New Roman"/>
        </w:rPr>
      </w:pPr>
      <w:r w:rsidRPr="0023219F">
        <w:rPr>
          <w:rStyle w:val="FootnoteReference"/>
          <w:rFonts w:ascii="Times New Roman" w:hAnsi="Times New Roman"/>
        </w:rPr>
        <w:footnoteRef/>
      </w:r>
      <w:r w:rsidRPr="0023219F">
        <w:rPr>
          <w:rFonts w:ascii="Times New Roman" w:hAnsi="Times New Roman"/>
        </w:rPr>
        <w:t xml:space="preserve"> Blumm and Wood, </w:t>
      </w:r>
      <w:r w:rsidRPr="0023219F">
        <w:rPr>
          <w:rFonts w:ascii="Times New Roman" w:hAnsi="Times New Roman"/>
          <w:i/>
        </w:rPr>
        <w:t>Teacher’s Manual</w:t>
      </w:r>
      <w:r w:rsidRPr="0023219F">
        <w:rPr>
          <w:rFonts w:ascii="Times New Roman" w:hAnsi="Times New Roman"/>
        </w:rPr>
        <w:t>, 55, 50.</w:t>
      </w:r>
    </w:p>
  </w:footnote>
  <w:footnote w:id="14">
    <w:p w:rsidR="0023219F" w:rsidRPr="0023219F" w:rsidRDefault="0023219F" w:rsidP="0023219F">
      <w:pPr>
        <w:pStyle w:val="NoSpacing"/>
        <w:rPr>
          <w:sz w:val="20"/>
          <w:szCs w:val="20"/>
        </w:rPr>
      </w:pPr>
      <w:r w:rsidRPr="0023219F">
        <w:rPr>
          <w:rStyle w:val="FootnoteReference"/>
          <w:sz w:val="20"/>
          <w:szCs w:val="20"/>
        </w:rPr>
        <w:footnoteRef/>
      </w:r>
      <w:r w:rsidRPr="0023219F">
        <w:rPr>
          <w:sz w:val="20"/>
          <w:szCs w:val="20"/>
        </w:rPr>
        <w:t xml:space="preserve"> See “Demographic Winter: The Decline of the Human Family,” SPB documentary, LLC, 2008) </w:t>
      </w:r>
      <w:hyperlink r:id="rId4" w:history="1">
        <w:r w:rsidRPr="0023219F">
          <w:rPr>
            <w:rStyle w:val="Hyperlink"/>
            <w:sz w:val="20"/>
            <w:szCs w:val="20"/>
          </w:rPr>
          <w:t>www.demographicwinter.com</w:t>
        </w:r>
      </w:hyperlink>
      <w:r w:rsidRPr="0023219F">
        <w:rPr>
          <w:sz w:val="20"/>
          <w:szCs w:val="20"/>
        </w:rPr>
        <w:t>.</w:t>
      </w:r>
    </w:p>
  </w:footnote>
  <w:footnote w:id="15">
    <w:p w:rsidR="0023219F" w:rsidRPr="00A00DC2" w:rsidRDefault="0023219F" w:rsidP="00A00DC2">
      <w:pPr>
        <w:pStyle w:val="NoSpacing"/>
        <w:rPr>
          <w:sz w:val="20"/>
          <w:szCs w:val="20"/>
        </w:rPr>
      </w:pPr>
      <w:r w:rsidRPr="0023219F">
        <w:rPr>
          <w:rStyle w:val="FootnoteReference"/>
          <w:sz w:val="20"/>
          <w:szCs w:val="20"/>
        </w:rPr>
        <w:footnoteRef/>
      </w:r>
      <w:r w:rsidRPr="0023219F">
        <w:rPr>
          <w:sz w:val="20"/>
          <w:szCs w:val="20"/>
        </w:rPr>
        <w:t xml:space="preserve"> See Donald Paul Sullins, “Emotional Problems among Children with Same-Sex Parents: Difference by Definition,” </w:t>
      </w:r>
      <w:r w:rsidRPr="0023219F">
        <w:rPr>
          <w:i/>
          <w:sz w:val="20"/>
          <w:szCs w:val="20"/>
        </w:rPr>
        <w:t>British Journal of Education, Society and Behavioral Science</w:t>
      </w:r>
      <w:r w:rsidRPr="0023219F">
        <w:rPr>
          <w:sz w:val="20"/>
          <w:szCs w:val="20"/>
        </w:rPr>
        <w:t xml:space="preserve"> 7(2):99-120, </w:t>
      </w:r>
      <w:r>
        <w:rPr>
          <w:sz w:val="20"/>
          <w:szCs w:val="20"/>
        </w:rPr>
        <w:t>(</w:t>
      </w:r>
      <w:r w:rsidRPr="0023219F">
        <w:rPr>
          <w:sz w:val="20"/>
          <w:szCs w:val="20"/>
        </w:rPr>
        <w:t xml:space="preserve">2015). </w:t>
      </w:r>
    </w:p>
  </w:footnote>
  <w:footnote w:id="16">
    <w:p w:rsidR="00A00DC2" w:rsidRPr="00756FB2" w:rsidRDefault="00A00DC2">
      <w:pPr>
        <w:pStyle w:val="FootnoteText"/>
        <w:rPr>
          <w:rFonts w:ascii="Times New Roman" w:hAnsi="Times New Roman"/>
        </w:rPr>
      </w:pPr>
      <w:r>
        <w:rPr>
          <w:rStyle w:val="FootnoteReference"/>
        </w:rPr>
        <w:footnoteRef/>
      </w:r>
      <w:r w:rsidRPr="00756FB2">
        <w:rPr>
          <w:rFonts w:ascii="Times New Roman" w:hAnsi="Times New Roman"/>
        </w:rPr>
        <w:t xml:space="preserve"> </w:t>
      </w:r>
      <w:r w:rsidR="00E23ADC" w:rsidRPr="00E23ADC">
        <w:rPr>
          <w:rFonts w:ascii="Times New Roman" w:hAnsi="Times New Roman"/>
        </w:rPr>
        <w:t xml:space="preserve">See footnote no. 2. </w:t>
      </w:r>
      <w:r w:rsidRPr="00E23ADC">
        <w:rPr>
          <w:rFonts w:ascii="Times New Roman" w:hAnsi="Times New Roman"/>
        </w:rPr>
        <w:t xml:space="preserve">Also see, Witherspoon Institute, “Marriage and the Public Good: Ten Principles,” </w:t>
      </w:r>
      <w:hyperlink r:id="rId5" w:history="1">
        <w:r w:rsidR="00756FB2" w:rsidRPr="00E23ADC">
          <w:rPr>
            <w:rStyle w:val="Hyperlink"/>
            <w:rFonts w:ascii="Times New Roman" w:hAnsi="Times New Roman"/>
          </w:rPr>
          <w:t>http://winst.org/wp-content/uploads/WI_Marriage_and_the_Public_Good.pdf</w:t>
        </w:r>
      </w:hyperlink>
      <w:r w:rsidR="00756FB2" w:rsidRPr="00756FB2">
        <w:rPr>
          <w:rFonts w:ascii="Times New Roman" w:hAnsi="Times New Roman"/>
        </w:rPr>
        <w:t xml:space="preserve"> (evidence from the social sciences showing the benefits that accrue to society from natural marriage and the procreative family); “Brief of Amici Curiae 100 Scholars of Marriage,” </w:t>
      </w:r>
      <w:r w:rsidR="00756FB2" w:rsidRPr="00756FB2">
        <w:rPr>
          <w:rFonts w:ascii="Times New Roman" w:hAnsi="Times New Roman"/>
          <w:i/>
        </w:rPr>
        <w:t>Obergefell v. Hodges</w:t>
      </w:r>
      <w:r w:rsidR="00756FB2" w:rsidRPr="00756FB2">
        <w:rPr>
          <w:rFonts w:ascii="Times New Roman" w:hAnsi="Times New Roman"/>
        </w:rPr>
        <w:t xml:space="preserve">,  </w:t>
      </w:r>
      <w:hyperlink r:id="rId6" w:history="1">
        <w:r w:rsidR="00756FB2" w:rsidRPr="00756FB2">
          <w:rPr>
            <w:rStyle w:val="Hyperlink"/>
            <w:rFonts w:ascii="Times New Roman" w:hAnsi="Times New Roman"/>
          </w:rPr>
          <w:t>http://www.supremecourt.gov/ObergefellHodges/AmicusBriefs/14-556_100_Scholars_of_Marriage.pdf</w:t>
        </w:r>
      </w:hyperlink>
      <w:r w:rsidR="00756FB2" w:rsidRPr="00756FB2">
        <w:rPr>
          <w:rFonts w:ascii="Times New Roman" w:hAnsi="Times New Roman"/>
        </w:rPr>
        <w:t xml:space="preserve"> (ar</w:t>
      </w:r>
      <w:r w:rsidR="00E23ADC">
        <w:rPr>
          <w:rFonts w:ascii="Times New Roman" w:hAnsi="Times New Roman"/>
        </w:rPr>
        <w:t xml:space="preserve">guing </w:t>
      </w:r>
      <w:r w:rsidR="00756FB2" w:rsidRPr="00756FB2">
        <w:rPr>
          <w:rFonts w:ascii="Times New Roman" w:hAnsi="Times New Roman"/>
        </w:rPr>
        <w:t xml:space="preserve">the </w:t>
      </w:r>
      <w:r w:rsidR="00E23ADC">
        <w:rPr>
          <w:rFonts w:ascii="Times New Roman" w:hAnsi="Times New Roman"/>
        </w:rPr>
        <w:t>natural procreative family is a delicate ecosystem with</w:t>
      </w:r>
      <w:r w:rsidR="00756FB2" w:rsidRPr="00756FB2">
        <w:rPr>
          <w:rFonts w:ascii="Times New Roman" w:hAnsi="Times New Roman"/>
        </w:rPr>
        <w:t xml:space="preserve"> </w:t>
      </w:r>
      <w:r w:rsidR="00E23ADC">
        <w:rPr>
          <w:rFonts w:ascii="Times New Roman" w:hAnsi="Times New Roman"/>
        </w:rPr>
        <w:t xml:space="preserve">inherent </w:t>
      </w:r>
      <w:r w:rsidR="00756FB2" w:rsidRPr="00756FB2">
        <w:rPr>
          <w:rFonts w:ascii="Times New Roman" w:hAnsi="Times New Roman"/>
        </w:rPr>
        <w:t>laws for human flourishing).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1C"/>
    <w:rsid w:val="0006320A"/>
    <w:rsid w:val="00071F31"/>
    <w:rsid w:val="000821A0"/>
    <w:rsid w:val="00084207"/>
    <w:rsid w:val="00160F78"/>
    <w:rsid w:val="00186F21"/>
    <w:rsid w:val="001D06B2"/>
    <w:rsid w:val="001E5908"/>
    <w:rsid w:val="0023219F"/>
    <w:rsid w:val="002707A5"/>
    <w:rsid w:val="00390AA6"/>
    <w:rsid w:val="003C24FD"/>
    <w:rsid w:val="00510F86"/>
    <w:rsid w:val="00532D18"/>
    <w:rsid w:val="00737D49"/>
    <w:rsid w:val="00756FB2"/>
    <w:rsid w:val="007B0B30"/>
    <w:rsid w:val="007B7E82"/>
    <w:rsid w:val="007E1A0A"/>
    <w:rsid w:val="008924AF"/>
    <w:rsid w:val="008A59EE"/>
    <w:rsid w:val="008B541C"/>
    <w:rsid w:val="009E6716"/>
    <w:rsid w:val="00A00DC2"/>
    <w:rsid w:val="00AE632E"/>
    <w:rsid w:val="00B4144A"/>
    <w:rsid w:val="00B64041"/>
    <w:rsid w:val="00CA0E2E"/>
    <w:rsid w:val="00D91B59"/>
    <w:rsid w:val="00E14914"/>
    <w:rsid w:val="00E20928"/>
    <w:rsid w:val="00E23ADC"/>
    <w:rsid w:val="00E742B7"/>
    <w:rsid w:val="00EA137A"/>
    <w:rsid w:val="00FA66AD"/>
    <w:rsid w:val="00FC2D29"/>
    <w:rsid w:val="00FF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7E1A0A"/>
    <w:pPr>
      <w:keepNext/>
      <w:spacing w:before="120" w:after="120" w:line="240" w:lineRule="auto"/>
      <w:outlineLvl w:val="5"/>
    </w:pPr>
    <w:rPr>
      <w:rFonts w:ascii="Times New Roman" w:eastAsia="Times New Roman" w:hAnsi="Times New Roman"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071F31"/>
    <w:rPr>
      <w:color w:val="0000FF"/>
      <w:u w:val="single"/>
    </w:rPr>
  </w:style>
  <w:style w:type="paragraph" w:styleId="NormalWeb">
    <w:name w:val="Normal (Web)"/>
    <w:basedOn w:val="Normal"/>
    <w:uiPriority w:val="99"/>
    <w:semiHidden/>
    <w:rsid w:val="00071F31"/>
    <w:pPr>
      <w:spacing w:before="240" w:after="240" w:line="240" w:lineRule="auto"/>
      <w:ind w:left="240" w:right="240"/>
    </w:pPr>
    <w:rPr>
      <w:rFonts w:ascii="Arial" w:eastAsia="Times New Roman" w:hAnsi="Arial" w:cs="Arial"/>
      <w:sz w:val="20"/>
      <w:szCs w:val="20"/>
    </w:rPr>
  </w:style>
  <w:style w:type="character" w:styleId="HTMLTypewriter">
    <w:name w:val="HTML Typewriter"/>
    <w:semiHidden/>
    <w:rsid w:val="00071F31"/>
    <w:rPr>
      <w:rFonts w:ascii="Arial Unicode MS" w:eastAsia="Arial Unicode MS" w:hAnsi="Arial Unicode MS" w:cs="Arial Unicode MS"/>
      <w:sz w:val="20"/>
      <w:szCs w:val="20"/>
    </w:rPr>
  </w:style>
  <w:style w:type="paragraph" w:styleId="FootnoteText">
    <w:name w:val="footnote text"/>
    <w:basedOn w:val="Normal"/>
    <w:link w:val="FootnoteTextChar"/>
    <w:uiPriority w:val="99"/>
    <w:unhideWhenUsed/>
    <w:rsid w:val="00071F3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71F31"/>
    <w:rPr>
      <w:rFonts w:ascii="Calibri" w:eastAsia="Calibri" w:hAnsi="Calibri" w:cs="Times New Roman"/>
      <w:sz w:val="20"/>
      <w:szCs w:val="20"/>
    </w:rPr>
  </w:style>
  <w:style w:type="paragraph" w:styleId="NoSpacing">
    <w:name w:val="No Spacing"/>
    <w:uiPriority w:val="1"/>
    <w:qFormat/>
    <w:rsid w:val="00071F31"/>
    <w:pPr>
      <w:spacing w:after="0"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7E1A0A"/>
    <w:rPr>
      <w:rFonts w:ascii="Times New Roman" w:eastAsia="Times New Roman" w:hAnsi="Times New Roman" w:cs="Times New Roman"/>
      <w:b/>
      <w:bCs/>
      <w:color w:val="0000FF"/>
      <w:sz w:val="24"/>
      <w:szCs w:val="24"/>
    </w:rPr>
  </w:style>
  <w:style w:type="paragraph" w:styleId="Header">
    <w:name w:val="header"/>
    <w:basedOn w:val="Normal"/>
    <w:link w:val="HeaderChar"/>
    <w:uiPriority w:val="99"/>
    <w:unhideWhenUsed/>
    <w:rsid w:val="0089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AF"/>
  </w:style>
  <w:style w:type="paragraph" w:styleId="Footer">
    <w:name w:val="footer"/>
    <w:basedOn w:val="Normal"/>
    <w:link w:val="FooterChar"/>
    <w:uiPriority w:val="99"/>
    <w:unhideWhenUsed/>
    <w:rsid w:val="0089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AF"/>
  </w:style>
  <w:style w:type="paragraph" w:styleId="BalloonText">
    <w:name w:val="Balloon Text"/>
    <w:basedOn w:val="Normal"/>
    <w:link w:val="BalloonTextChar"/>
    <w:uiPriority w:val="99"/>
    <w:semiHidden/>
    <w:unhideWhenUsed/>
    <w:rsid w:val="00B6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041"/>
    <w:rPr>
      <w:rFonts w:ascii="Segoe UI" w:hAnsi="Segoe UI" w:cs="Segoe UI"/>
      <w:sz w:val="18"/>
      <w:szCs w:val="18"/>
    </w:rPr>
  </w:style>
  <w:style w:type="character" w:styleId="FootnoteReference">
    <w:name w:val="footnote reference"/>
    <w:basedOn w:val="DefaultParagraphFont"/>
    <w:uiPriority w:val="99"/>
    <w:semiHidden/>
    <w:unhideWhenUsed/>
    <w:rsid w:val="00E149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7E1A0A"/>
    <w:pPr>
      <w:keepNext/>
      <w:spacing w:before="120" w:after="120" w:line="240" w:lineRule="auto"/>
      <w:outlineLvl w:val="5"/>
    </w:pPr>
    <w:rPr>
      <w:rFonts w:ascii="Times New Roman" w:eastAsia="Times New Roman" w:hAnsi="Times New Roman"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071F31"/>
    <w:rPr>
      <w:color w:val="0000FF"/>
      <w:u w:val="single"/>
    </w:rPr>
  </w:style>
  <w:style w:type="paragraph" w:styleId="NormalWeb">
    <w:name w:val="Normal (Web)"/>
    <w:basedOn w:val="Normal"/>
    <w:uiPriority w:val="99"/>
    <w:semiHidden/>
    <w:rsid w:val="00071F31"/>
    <w:pPr>
      <w:spacing w:before="240" w:after="240" w:line="240" w:lineRule="auto"/>
      <w:ind w:left="240" w:right="240"/>
    </w:pPr>
    <w:rPr>
      <w:rFonts w:ascii="Arial" w:eastAsia="Times New Roman" w:hAnsi="Arial" w:cs="Arial"/>
      <w:sz w:val="20"/>
      <w:szCs w:val="20"/>
    </w:rPr>
  </w:style>
  <w:style w:type="character" w:styleId="HTMLTypewriter">
    <w:name w:val="HTML Typewriter"/>
    <w:semiHidden/>
    <w:rsid w:val="00071F31"/>
    <w:rPr>
      <w:rFonts w:ascii="Arial Unicode MS" w:eastAsia="Arial Unicode MS" w:hAnsi="Arial Unicode MS" w:cs="Arial Unicode MS"/>
      <w:sz w:val="20"/>
      <w:szCs w:val="20"/>
    </w:rPr>
  </w:style>
  <w:style w:type="paragraph" w:styleId="FootnoteText">
    <w:name w:val="footnote text"/>
    <w:basedOn w:val="Normal"/>
    <w:link w:val="FootnoteTextChar"/>
    <w:uiPriority w:val="99"/>
    <w:unhideWhenUsed/>
    <w:rsid w:val="00071F3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71F31"/>
    <w:rPr>
      <w:rFonts w:ascii="Calibri" w:eastAsia="Calibri" w:hAnsi="Calibri" w:cs="Times New Roman"/>
      <w:sz w:val="20"/>
      <w:szCs w:val="20"/>
    </w:rPr>
  </w:style>
  <w:style w:type="paragraph" w:styleId="NoSpacing">
    <w:name w:val="No Spacing"/>
    <w:uiPriority w:val="1"/>
    <w:qFormat/>
    <w:rsid w:val="00071F31"/>
    <w:pPr>
      <w:spacing w:after="0"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7E1A0A"/>
    <w:rPr>
      <w:rFonts w:ascii="Times New Roman" w:eastAsia="Times New Roman" w:hAnsi="Times New Roman" w:cs="Times New Roman"/>
      <w:b/>
      <w:bCs/>
      <w:color w:val="0000FF"/>
      <w:sz w:val="24"/>
      <w:szCs w:val="24"/>
    </w:rPr>
  </w:style>
  <w:style w:type="paragraph" w:styleId="Header">
    <w:name w:val="header"/>
    <w:basedOn w:val="Normal"/>
    <w:link w:val="HeaderChar"/>
    <w:uiPriority w:val="99"/>
    <w:unhideWhenUsed/>
    <w:rsid w:val="0089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AF"/>
  </w:style>
  <w:style w:type="paragraph" w:styleId="Footer">
    <w:name w:val="footer"/>
    <w:basedOn w:val="Normal"/>
    <w:link w:val="FooterChar"/>
    <w:uiPriority w:val="99"/>
    <w:unhideWhenUsed/>
    <w:rsid w:val="0089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AF"/>
  </w:style>
  <w:style w:type="paragraph" w:styleId="BalloonText">
    <w:name w:val="Balloon Text"/>
    <w:basedOn w:val="Normal"/>
    <w:link w:val="BalloonTextChar"/>
    <w:uiPriority w:val="99"/>
    <w:semiHidden/>
    <w:unhideWhenUsed/>
    <w:rsid w:val="00B6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041"/>
    <w:rPr>
      <w:rFonts w:ascii="Segoe UI" w:hAnsi="Segoe UI" w:cs="Segoe UI"/>
      <w:sz w:val="18"/>
      <w:szCs w:val="18"/>
    </w:rPr>
  </w:style>
  <w:style w:type="character" w:styleId="FootnoteReference">
    <w:name w:val="footnote reference"/>
    <w:basedOn w:val="DefaultParagraphFont"/>
    <w:uiPriority w:val="99"/>
    <w:semiHidden/>
    <w:unhideWhenUsed/>
    <w:rsid w:val="00E149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voice.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ontact@ishri.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tholicsocialscientists@gmail.com"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lead-journal.org/content/2001.pdf" TargetMode="External"/><Relationship Id="rId2" Type="http://schemas.openxmlformats.org/officeDocument/2006/relationships/hyperlink" Target="mailto:turnipseed@nceas.useas.ucsb.edu" TargetMode="External"/><Relationship Id="rId1" Type="http://schemas.openxmlformats.org/officeDocument/2006/relationships/hyperlink" Target="http://s3.amazonaws.com/icolf/icolf/wp-content/uploads/ICOLF.ModelFamilyDeclaration1.pdf" TargetMode="External"/><Relationship Id="rId6" Type="http://schemas.openxmlformats.org/officeDocument/2006/relationships/hyperlink" Target="http://www.supremecourt.gov/ObergefellHodges/AmicusBriefs/14-556_100_Scholars_of_Marriage.pdf" TargetMode="External"/><Relationship Id="rId5" Type="http://schemas.openxmlformats.org/officeDocument/2006/relationships/hyperlink" Target="http://winst.org/wp-content/uploads/WI_Marriage_and_the_Public_Good.pdf" TargetMode="External"/><Relationship Id="rId4" Type="http://schemas.openxmlformats.org/officeDocument/2006/relationships/hyperlink" Target="http://www.demographicwi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B9605-48B2-4F10-87EE-7CD9662A0320}"/>
</file>

<file path=customXml/itemProps2.xml><?xml version="1.0" encoding="utf-8"?>
<ds:datastoreItem xmlns:ds="http://schemas.openxmlformats.org/officeDocument/2006/customXml" ds:itemID="{C6A59C83-FA58-4423-AF8B-2202C9B4A886}"/>
</file>

<file path=customXml/itemProps3.xml><?xml version="1.0" encoding="utf-8"?>
<ds:datastoreItem xmlns:ds="http://schemas.openxmlformats.org/officeDocument/2006/customXml" ds:itemID="{6A132656-F461-4941-AFB6-8A6207CEF875}"/>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AMSL</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Scarnecchia, Brian</dc:creator>
  <cp:lastModifiedBy>Gina Bergh</cp:lastModifiedBy>
  <cp:revision>2</cp:revision>
  <cp:lastPrinted>2015-10-28T06:25:00Z</cp:lastPrinted>
  <dcterms:created xsi:type="dcterms:W3CDTF">2015-11-02T16:00:00Z</dcterms:created>
  <dcterms:modified xsi:type="dcterms:W3CDTF">2015-11-02T16:00:00Z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3305100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