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27" w:rsidRPr="00C05F8D" w:rsidRDefault="008A2B04" w:rsidP="008A2B04">
      <w:pPr>
        <w:jc w:val="center"/>
        <w:rPr>
          <w:rFonts w:ascii="Times New Roman" w:hAnsi="Times New Roman" w:cs="Times New Roman"/>
          <w:b/>
          <w:sz w:val="24"/>
          <w:szCs w:val="24"/>
        </w:rPr>
      </w:pPr>
      <w:r w:rsidRPr="00C05F8D">
        <w:rPr>
          <w:rFonts w:ascii="Times New Roman" w:hAnsi="Times New Roman" w:cs="Times New Roman"/>
          <w:b/>
          <w:sz w:val="24"/>
          <w:szCs w:val="24"/>
        </w:rPr>
        <w:t>STATEMENT OF THE WORKING GROUP ON THE USE OF MERCENARIES AS A MEANS OF VIOLATING HUMAN RIGHTS AND IMPEDING THE EXERCISE OF THE RIGHT OF PEOPLES TO SELF-DETERMINATION</w:t>
      </w:r>
    </w:p>
    <w:p w:rsidR="008A2B04" w:rsidRPr="00C05F8D" w:rsidRDefault="008A2B04" w:rsidP="008A2B04">
      <w:pPr>
        <w:jc w:val="center"/>
        <w:rPr>
          <w:rFonts w:ascii="Times New Roman" w:hAnsi="Times New Roman" w:cs="Times New Roman"/>
          <w:i/>
          <w:sz w:val="24"/>
          <w:szCs w:val="24"/>
        </w:rPr>
      </w:pPr>
      <w:r w:rsidRPr="00C05F8D">
        <w:rPr>
          <w:rFonts w:ascii="Times New Roman" w:hAnsi="Times New Roman" w:cs="Times New Roman"/>
          <w:i/>
          <w:sz w:val="24"/>
          <w:szCs w:val="24"/>
        </w:rPr>
        <w:t>Fifth session of the Open-Ended Intergovernmental Working Group to consider the possibility of elaborating an international regulatory framework on the regulation, monitoring and oversight of the activities of private military and security companies</w:t>
      </w:r>
    </w:p>
    <w:p w:rsidR="008A2B04" w:rsidRPr="00C05F8D" w:rsidRDefault="008A2B04" w:rsidP="008A2B04">
      <w:pPr>
        <w:jc w:val="center"/>
        <w:rPr>
          <w:rFonts w:ascii="Times New Roman" w:hAnsi="Times New Roman" w:cs="Times New Roman"/>
          <w:i/>
          <w:sz w:val="24"/>
          <w:szCs w:val="24"/>
        </w:rPr>
      </w:pPr>
      <w:r w:rsidRPr="00C05F8D">
        <w:rPr>
          <w:rFonts w:ascii="Times New Roman" w:hAnsi="Times New Roman" w:cs="Times New Roman"/>
          <w:i/>
          <w:sz w:val="24"/>
          <w:szCs w:val="24"/>
        </w:rPr>
        <w:t>Geneva, 12 – 17 December 2016</w:t>
      </w:r>
    </w:p>
    <w:p w:rsidR="008A2B04" w:rsidRPr="00C05F8D" w:rsidRDefault="008A2B04" w:rsidP="008A2B04">
      <w:pPr>
        <w:rPr>
          <w:rFonts w:ascii="Times New Roman" w:hAnsi="Times New Roman" w:cs="Times New Roman"/>
          <w:sz w:val="24"/>
          <w:szCs w:val="24"/>
        </w:rPr>
      </w:pPr>
    </w:p>
    <w:p w:rsidR="008A2B04" w:rsidRPr="00C05F8D" w:rsidRDefault="008A2B04" w:rsidP="008A2B04">
      <w:pPr>
        <w:rPr>
          <w:rFonts w:ascii="Times New Roman" w:hAnsi="Times New Roman" w:cs="Times New Roman"/>
          <w:sz w:val="24"/>
          <w:szCs w:val="24"/>
        </w:rPr>
      </w:pPr>
    </w:p>
    <w:p w:rsidR="008A2B04" w:rsidRPr="00C05F8D" w:rsidRDefault="008A2B04" w:rsidP="008A2B04">
      <w:pPr>
        <w:rPr>
          <w:rFonts w:ascii="Times New Roman" w:hAnsi="Times New Roman" w:cs="Times New Roman"/>
          <w:b/>
          <w:sz w:val="24"/>
          <w:szCs w:val="24"/>
        </w:rPr>
      </w:pPr>
    </w:p>
    <w:p w:rsidR="008A2B04" w:rsidRPr="00C05F8D" w:rsidRDefault="008A2B04" w:rsidP="001709A2">
      <w:pPr>
        <w:spacing w:after="0" w:line="360" w:lineRule="auto"/>
        <w:rPr>
          <w:rFonts w:ascii="Times New Roman" w:hAnsi="Times New Roman" w:cs="Times New Roman"/>
          <w:b/>
          <w:sz w:val="24"/>
          <w:szCs w:val="24"/>
        </w:rPr>
      </w:pPr>
      <w:r w:rsidRPr="00C05F8D">
        <w:rPr>
          <w:rFonts w:ascii="Times New Roman" w:hAnsi="Times New Roman" w:cs="Times New Roman"/>
          <w:b/>
          <w:sz w:val="24"/>
          <w:szCs w:val="24"/>
        </w:rPr>
        <w:t>Madam Chairperson, Distinguished Delegates, Ladies and Gentlemen</w:t>
      </w:r>
      <w:r w:rsidR="001709A2" w:rsidRPr="00C05F8D">
        <w:rPr>
          <w:rFonts w:ascii="Times New Roman" w:hAnsi="Times New Roman" w:cs="Times New Roman"/>
          <w:b/>
          <w:sz w:val="24"/>
          <w:szCs w:val="24"/>
        </w:rPr>
        <w:t>,</w:t>
      </w:r>
    </w:p>
    <w:p w:rsidR="001709A2" w:rsidRPr="00C05F8D" w:rsidRDefault="001709A2" w:rsidP="001709A2">
      <w:pPr>
        <w:spacing w:after="0" w:line="360" w:lineRule="auto"/>
        <w:rPr>
          <w:rFonts w:ascii="Times New Roman" w:hAnsi="Times New Roman" w:cs="Times New Roman"/>
          <w:b/>
          <w:sz w:val="24"/>
          <w:szCs w:val="24"/>
        </w:rPr>
      </w:pPr>
    </w:p>
    <w:p w:rsidR="00B95848" w:rsidRDefault="008A2B04" w:rsidP="00997008">
      <w:pPr>
        <w:spacing w:after="0" w:line="360" w:lineRule="auto"/>
        <w:jc w:val="both"/>
        <w:rPr>
          <w:rFonts w:ascii="Times New Roman" w:hAnsi="Times New Roman" w:cs="Times New Roman"/>
          <w:sz w:val="24"/>
          <w:szCs w:val="24"/>
        </w:rPr>
      </w:pPr>
      <w:r w:rsidRPr="00C05F8D">
        <w:rPr>
          <w:rFonts w:ascii="Times New Roman" w:hAnsi="Times New Roman" w:cs="Times New Roman"/>
          <w:sz w:val="24"/>
          <w:szCs w:val="24"/>
        </w:rPr>
        <w:t xml:space="preserve">I am pleased to </w:t>
      </w:r>
      <w:r w:rsidR="00E2352A" w:rsidRPr="00C05F8D">
        <w:rPr>
          <w:rFonts w:ascii="Times New Roman" w:hAnsi="Times New Roman" w:cs="Times New Roman"/>
          <w:sz w:val="24"/>
          <w:szCs w:val="24"/>
        </w:rPr>
        <w:t xml:space="preserve">be here on behalf of the Working Group on mercenaries </w:t>
      </w:r>
      <w:r w:rsidR="0099435C">
        <w:rPr>
          <w:rFonts w:ascii="Times New Roman" w:hAnsi="Times New Roman" w:cs="Times New Roman"/>
          <w:sz w:val="24"/>
          <w:szCs w:val="24"/>
        </w:rPr>
        <w:t xml:space="preserve">and to </w:t>
      </w:r>
      <w:r w:rsidR="00B95848">
        <w:rPr>
          <w:rFonts w:ascii="Times New Roman" w:hAnsi="Times New Roman" w:cs="Times New Roman"/>
          <w:sz w:val="24"/>
          <w:szCs w:val="24"/>
        </w:rPr>
        <w:t>participate in this fifth session of the</w:t>
      </w:r>
      <w:r w:rsidR="001709A2" w:rsidRPr="00C05F8D">
        <w:rPr>
          <w:rFonts w:ascii="Times New Roman" w:hAnsi="Times New Roman" w:cs="Times New Roman"/>
          <w:sz w:val="24"/>
          <w:szCs w:val="24"/>
        </w:rPr>
        <w:t xml:space="preserve"> intergovernmental process</w:t>
      </w:r>
      <w:r w:rsidR="00B95848">
        <w:rPr>
          <w:rFonts w:ascii="Times New Roman" w:hAnsi="Times New Roman" w:cs="Times New Roman"/>
          <w:sz w:val="24"/>
          <w:szCs w:val="24"/>
        </w:rPr>
        <w:t xml:space="preserve"> on the regulation of PMSCs</w:t>
      </w:r>
      <w:r w:rsidR="001709A2" w:rsidRPr="00C05F8D">
        <w:rPr>
          <w:rFonts w:ascii="Times New Roman" w:hAnsi="Times New Roman" w:cs="Times New Roman"/>
          <w:sz w:val="24"/>
          <w:szCs w:val="24"/>
        </w:rPr>
        <w:t xml:space="preserve">. </w:t>
      </w:r>
    </w:p>
    <w:p w:rsidR="00B95848" w:rsidRDefault="00B95848" w:rsidP="00997008">
      <w:pPr>
        <w:spacing w:after="0" w:line="360" w:lineRule="auto"/>
        <w:jc w:val="both"/>
        <w:rPr>
          <w:rFonts w:ascii="Times New Roman" w:hAnsi="Times New Roman" w:cs="Times New Roman"/>
          <w:sz w:val="24"/>
          <w:szCs w:val="24"/>
        </w:rPr>
      </w:pPr>
    </w:p>
    <w:p w:rsidR="00C05F8D" w:rsidRDefault="001709A2" w:rsidP="00997008">
      <w:pPr>
        <w:spacing w:after="0" w:line="360" w:lineRule="auto"/>
        <w:jc w:val="both"/>
        <w:rPr>
          <w:rFonts w:ascii="Times New Roman" w:hAnsi="Times New Roman" w:cs="Times New Roman"/>
          <w:sz w:val="24"/>
          <w:szCs w:val="24"/>
        </w:rPr>
      </w:pPr>
      <w:r w:rsidRPr="00C05F8D">
        <w:rPr>
          <w:rFonts w:ascii="Times New Roman" w:hAnsi="Times New Roman" w:cs="Times New Roman"/>
          <w:sz w:val="24"/>
          <w:szCs w:val="24"/>
        </w:rPr>
        <w:t>As many of you know, the Working Group has actively participate</w:t>
      </w:r>
      <w:r w:rsidR="00C05F8D" w:rsidRPr="00C05F8D">
        <w:rPr>
          <w:rFonts w:ascii="Times New Roman" w:hAnsi="Times New Roman" w:cs="Times New Roman"/>
          <w:sz w:val="24"/>
          <w:szCs w:val="24"/>
        </w:rPr>
        <w:t>d</w:t>
      </w:r>
      <w:r w:rsidRPr="00C05F8D">
        <w:rPr>
          <w:rFonts w:ascii="Times New Roman" w:hAnsi="Times New Roman" w:cs="Times New Roman"/>
          <w:sz w:val="24"/>
          <w:szCs w:val="24"/>
        </w:rPr>
        <w:t xml:space="preserve"> in this </w:t>
      </w:r>
      <w:r w:rsidR="0099435C">
        <w:rPr>
          <w:rFonts w:ascii="Times New Roman" w:hAnsi="Times New Roman" w:cs="Times New Roman"/>
          <w:sz w:val="24"/>
          <w:szCs w:val="24"/>
        </w:rPr>
        <w:t>forum</w:t>
      </w:r>
      <w:r w:rsidRPr="00C05F8D">
        <w:rPr>
          <w:rFonts w:ascii="Times New Roman" w:hAnsi="Times New Roman" w:cs="Times New Roman"/>
          <w:sz w:val="24"/>
          <w:szCs w:val="24"/>
        </w:rPr>
        <w:t xml:space="preserve"> since it began in 2011 </w:t>
      </w:r>
      <w:r w:rsidR="00C05F8D" w:rsidRPr="00C05F8D">
        <w:rPr>
          <w:rFonts w:ascii="Times New Roman" w:hAnsi="Times New Roman" w:cs="Times New Roman"/>
          <w:sz w:val="24"/>
          <w:szCs w:val="24"/>
        </w:rPr>
        <w:t>and</w:t>
      </w:r>
      <w:r w:rsidR="00B95848">
        <w:rPr>
          <w:rFonts w:ascii="Times New Roman" w:hAnsi="Times New Roman" w:cs="Times New Roman"/>
          <w:sz w:val="24"/>
          <w:szCs w:val="24"/>
        </w:rPr>
        <w:t xml:space="preserve"> over the years, has engaged in various meetings with stakeholders who are here today on the issue of PMSC regulation.</w:t>
      </w:r>
    </w:p>
    <w:p w:rsidR="00B95848" w:rsidRPr="00C05F8D" w:rsidRDefault="00B95848" w:rsidP="00997008">
      <w:pPr>
        <w:spacing w:after="0" w:line="360" w:lineRule="auto"/>
        <w:jc w:val="both"/>
        <w:rPr>
          <w:rFonts w:ascii="Times New Roman" w:hAnsi="Times New Roman" w:cs="Times New Roman"/>
          <w:sz w:val="24"/>
          <w:szCs w:val="24"/>
        </w:rPr>
      </w:pPr>
    </w:p>
    <w:p w:rsidR="00B95848" w:rsidRDefault="0099435C"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outset, I would like to</w:t>
      </w:r>
      <w:r w:rsidR="00C05F8D" w:rsidRPr="00C05F8D">
        <w:rPr>
          <w:rFonts w:ascii="Times New Roman" w:hAnsi="Times New Roman" w:cs="Times New Roman"/>
          <w:sz w:val="24"/>
          <w:szCs w:val="24"/>
        </w:rPr>
        <w:t xml:space="preserve"> reiterate the mandate of the Working Group given to it by the Human Rights Council since its establishment in 2005, which is</w:t>
      </w:r>
      <w:r w:rsidR="00D16C35" w:rsidRPr="00C05F8D">
        <w:rPr>
          <w:rFonts w:ascii="Times New Roman" w:hAnsi="Times New Roman" w:cs="Times New Roman"/>
          <w:sz w:val="24"/>
          <w:szCs w:val="24"/>
        </w:rPr>
        <w:t xml:space="preserve"> </w:t>
      </w:r>
      <w:r w:rsidR="00D16C35" w:rsidRPr="00C05F8D">
        <w:rPr>
          <w:rFonts w:ascii="Times New Roman" w:hAnsi="Times New Roman" w:cs="Times New Roman"/>
          <w:i/>
          <w:sz w:val="24"/>
          <w:szCs w:val="24"/>
        </w:rPr>
        <w:t>to monitor and study the effects of the activities of private military and security companies and their impact on human rights, particularly the right to self-determination.</w:t>
      </w:r>
      <w:r w:rsidR="00C05F8D" w:rsidRPr="00C05F8D">
        <w:rPr>
          <w:rFonts w:ascii="Times New Roman" w:hAnsi="Times New Roman" w:cs="Times New Roman"/>
          <w:sz w:val="24"/>
          <w:szCs w:val="24"/>
        </w:rPr>
        <w:t xml:space="preserve"> I</w:t>
      </w:r>
      <w:r w:rsidR="00D16C35" w:rsidRPr="00C05F8D">
        <w:rPr>
          <w:rFonts w:ascii="Times New Roman" w:hAnsi="Times New Roman" w:cs="Times New Roman"/>
          <w:sz w:val="24"/>
          <w:szCs w:val="24"/>
        </w:rPr>
        <w:t xml:space="preserve">n its 2005 resolution, </w:t>
      </w:r>
      <w:r w:rsidR="00C05F8D" w:rsidRPr="00C05F8D">
        <w:rPr>
          <w:rFonts w:ascii="Times New Roman" w:hAnsi="Times New Roman" w:cs="Times New Roman"/>
          <w:sz w:val="24"/>
          <w:szCs w:val="24"/>
        </w:rPr>
        <w:t xml:space="preserve">the Human Rights Council </w:t>
      </w:r>
      <w:r w:rsidR="00D16C35" w:rsidRPr="00C05F8D">
        <w:rPr>
          <w:rFonts w:ascii="Times New Roman" w:hAnsi="Times New Roman" w:cs="Times New Roman"/>
          <w:sz w:val="24"/>
          <w:szCs w:val="24"/>
        </w:rPr>
        <w:t>also requested the Working Group to prepare draft international basic principles that encourage respect for human rights by PMSCs in their activities</w:t>
      </w:r>
      <w:r>
        <w:rPr>
          <w:rFonts w:ascii="Times New Roman" w:hAnsi="Times New Roman" w:cs="Times New Roman"/>
          <w:sz w:val="24"/>
          <w:szCs w:val="24"/>
        </w:rPr>
        <w:t>.</w:t>
      </w:r>
      <w:r w:rsidR="00B95848">
        <w:rPr>
          <w:rFonts w:ascii="Times New Roman" w:hAnsi="Times New Roman" w:cs="Times New Roman"/>
          <w:sz w:val="24"/>
          <w:szCs w:val="24"/>
        </w:rPr>
        <w:t xml:space="preserve"> </w:t>
      </w:r>
      <w:r w:rsidR="00AF430D">
        <w:rPr>
          <w:rFonts w:ascii="Times New Roman" w:hAnsi="Times New Roman" w:cs="Times New Roman"/>
          <w:sz w:val="24"/>
          <w:szCs w:val="24"/>
        </w:rPr>
        <w:t xml:space="preserve">In this regard, the Working Group adopted a draft Convention on PMSCs in 2009. </w:t>
      </w:r>
      <w:r w:rsidR="00B95848">
        <w:rPr>
          <w:rFonts w:ascii="Times New Roman" w:hAnsi="Times New Roman" w:cs="Times New Roman"/>
          <w:sz w:val="24"/>
          <w:szCs w:val="24"/>
        </w:rPr>
        <w:t>Recognizing that the draft Convention needed further refining, the Working Group has engaged in various consul</w:t>
      </w:r>
      <w:r w:rsidR="000E4D9E">
        <w:rPr>
          <w:rFonts w:ascii="Times New Roman" w:hAnsi="Times New Roman" w:cs="Times New Roman"/>
          <w:sz w:val="24"/>
          <w:szCs w:val="24"/>
        </w:rPr>
        <w:t xml:space="preserve">tations and expert meetings in order to produce a concept note incorporating principal elements that would assist in informing a legally binding instrument on PMSCs. Last year, this concept note was submitted to the fourth session of this forum and </w:t>
      </w:r>
      <w:r w:rsidR="00E36342">
        <w:rPr>
          <w:rFonts w:ascii="Times New Roman" w:hAnsi="Times New Roman" w:cs="Times New Roman"/>
          <w:sz w:val="24"/>
          <w:szCs w:val="24"/>
        </w:rPr>
        <w:t xml:space="preserve">we hope that it </w:t>
      </w:r>
      <w:r w:rsidR="000E4D9E">
        <w:rPr>
          <w:rFonts w:ascii="Times New Roman" w:hAnsi="Times New Roman" w:cs="Times New Roman"/>
          <w:sz w:val="24"/>
          <w:szCs w:val="24"/>
        </w:rPr>
        <w:t>remains a</w:t>
      </w:r>
      <w:r w:rsidR="00E36342">
        <w:rPr>
          <w:rFonts w:ascii="Times New Roman" w:hAnsi="Times New Roman" w:cs="Times New Roman"/>
          <w:sz w:val="24"/>
          <w:szCs w:val="24"/>
        </w:rPr>
        <w:t xml:space="preserve"> useful</w:t>
      </w:r>
      <w:r w:rsidR="000E4D9E">
        <w:rPr>
          <w:rFonts w:ascii="Times New Roman" w:hAnsi="Times New Roman" w:cs="Times New Roman"/>
          <w:sz w:val="24"/>
          <w:szCs w:val="24"/>
        </w:rPr>
        <w:t xml:space="preserve"> </w:t>
      </w:r>
      <w:r w:rsidR="001E1FB5">
        <w:rPr>
          <w:rFonts w:ascii="Times New Roman" w:hAnsi="Times New Roman" w:cs="Times New Roman"/>
          <w:sz w:val="24"/>
          <w:szCs w:val="24"/>
        </w:rPr>
        <w:t xml:space="preserve">reference to the discussion on a possible legally binding instrument for the regulation of PMSCs. </w:t>
      </w:r>
    </w:p>
    <w:p w:rsidR="00B95848" w:rsidRDefault="00B95848" w:rsidP="00997008">
      <w:pPr>
        <w:spacing w:after="0" w:line="360" w:lineRule="auto"/>
        <w:jc w:val="both"/>
        <w:rPr>
          <w:rFonts w:ascii="Times New Roman" w:hAnsi="Times New Roman" w:cs="Times New Roman"/>
          <w:sz w:val="24"/>
          <w:szCs w:val="24"/>
        </w:rPr>
      </w:pPr>
    </w:p>
    <w:p w:rsidR="001E1FB5" w:rsidRDefault="001E1FB5" w:rsidP="001E1FB5">
      <w:pPr>
        <w:spacing w:after="0" w:line="360" w:lineRule="auto"/>
        <w:jc w:val="both"/>
        <w:rPr>
          <w:rFonts w:ascii="Times New Roman" w:hAnsi="Times New Roman" w:cs="Times New Roman"/>
          <w:sz w:val="24"/>
          <w:szCs w:val="24"/>
        </w:rPr>
      </w:pPr>
    </w:p>
    <w:p w:rsidR="001E1FB5" w:rsidRDefault="001E1FB5" w:rsidP="001E1FB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National legislation study on PMSCs </w:t>
      </w:r>
    </w:p>
    <w:p w:rsidR="001E1FB5" w:rsidRDefault="001E1FB5" w:rsidP="00997008">
      <w:pPr>
        <w:spacing w:after="0" w:line="360" w:lineRule="auto"/>
        <w:jc w:val="both"/>
        <w:rPr>
          <w:rFonts w:ascii="Times New Roman" w:hAnsi="Times New Roman" w:cs="Times New Roman"/>
          <w:sz w:val="24"/>
          <w:szCs w:val="24"/>
        </w:rPr>
      </w:pPr>
    </w:p>
    <w:p w:rsidR="00C05F8D" w:rsidRPr="001E1FB5" w:rsidRDefault="001E1FB5"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last three years, the Working Group has devoted </w:t>
      </w:r>
      <w:r w:rsidR="00E36342">
        <w:rPr>
          <w:rFonts w:ascii="Times New Roman" w:hAnsi="Times New Roman" w:cs="Times New Roman"/>
          <w:sz w:val="24"/>
          <w:szCs w:val="24"/>
        </w:rPr>
        <w:t>much</w:t>
      </w:r>
      <w:r>
        <w:rPr>
          <w:rFonts w:ascii="Times New Roman" w:hAnsi="Times New Roman" w:cs="Times New Roman"/>
          <w:sz w:val="24"/>
          <w:szCs w:val="24"/>
        </w:rPr>
        <w:t xml:space="preserve"> time and effort to a study on n</w:t>
      </w:r>
      <w:r w:rsidR="000F693F">
        <w:rPr>
          <w:rFonts w:ascii="Times New Roman" w:hAnsi="Times New Roman" w:cs="Times New Roman"/>
          <w:sz w:val="24"/>
          <w:szCs w:val="24"/>
        </w:rPr>
        <w:t>ational legislation on PMSCs in order to identify trends, gaps and good practices in various regions</w:t>
      </w:r>
      <w:r w:rsidR="0099435C">
        <w:rPr>
          <w:rFonts w:ascii="Times New Roman" w:hAnsi="Times New Roman" w:cs="Times New Roman"/>
          <w:sz w:val="24"/>
          <w:szCs w:val="24"/>
        </w:rPr>
        <w:t xml:space="preserve">. </w:t>
      </w:r>
      <w:r w:rsidR="00332C94">
        <w:rPr>
          <w:rFonts w:ascii="Times New Roman" w:hAnsi="Times New Roman" w:cs="Times New Roman"/>
          <w:sz w:val="24"/>
          <w:szCs w:val="24"/>
        </w:rPr>
        <w:t xml:space="preserve">Since </w:t>
      </w:r>
      <w:r>
        <w:rPr>
          <w:rFonts w:ascii="Times New Roman" w:hAnsi="Times New Roman" w:cs="Times New Roman"/>
          <w:sz w:val="24"/>
          <w:szCs w:val="24"/>
        </w:rPr>
        <w:t>2013</w:t>
      </w:r>
      <w:r w:rsidR="00332C94">
        <w:rPr>
          <w:rFonts w:ascii="Times New Roman" w:hAnsi="Times New Roman" w:cs="Times New Roman"/>
          <w:sz w:val="24"/>
          <w:szCs w:val="24"/>
        </w:rPr>
        <w:t>,</w:t>
      </w:r>
      <w:r>
        <w:rPr>
          <w:rFonts w:ascii="Times New Roman" w:hAnsi="Times New Roman" w:cs="Times New Roman"/>
          <w:sz w:val="24"/>
          <w:szCs w:val="24"/>
        </w:rPr>
        <w:t xml:space="preserve"> we have reviewed national legislation in </w:t>
      </w:r>
      <w:r w:rsidR="008F7FE2" w:rsidRPr="00C05F8D">
        <w:rPr>
          <w:rFonts w:ascii="Times New Roman" w:hAnsi="Times New Roman" w:cs="Times New Roman"/>
          <w:sz w:val="24"/>
          <w:szCs w:val="24"/>
        </w:rPr>
        <w:t xml:space="preserve">54 countries from the regions of Africa, Asia, Latin America and the Caribbean and Europe.  Next year, </w:t>
      </w:r>
      <w:r>
        <w:rPr>
          <w:rFonts w:ascii="Times New Roman" w:hAnsi="Times New Roman" w:cs="Times New Roman"/>
          <w:sz w:val="24"/>
          <w:szCs w:val="24"/>
        </w:rPr>
        <w:t>the study will conclude with a global analysis of all the regions that have been under review and the findings will be presented in our report to the Human Rights Council.</w:t>
      </w:r>
      <w:r w:rsidR="0099435C">
        <w:rPr>
          <w:rFonts w:ascii="Times New Roman" w:hAnsi="Times New Roman" w:cs="Times New Roman"/>
          <w:sz w:val="24"/>
          <w:szCs w:val="24"/>
        </w:rPr>
        <w:t xml:space="preserve"> </w:t>
      </w:r>
    </w:p>
    <w:p w:rsidR="000F693F" w:rsidRDefault="000F693F" w:rsidP="00997008">
      <w:pPr>
        <w:spacing w:after="0" w:line="360" w:lineRule="auto"/>
        <w:jc w:val="both"/>
        <w:rPr>
          <w:rFonts w:ascii="Times New Roman" w:hAnsi="Times New Roman" w:cs="Times New Roman"/>
          <w:sz w:val="24"/>
          <w:szCs w:val="24"/>
        </w:rPr>
      </w:pPr>
    </w:p>
    <w:p w:rsidR="0007338E" w:rsidRDefault="0007338E"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extensive work we have undertaken on national legislation has been supplemented by other activities which addressed PMSC regulation including country visits, expert meetings and consultations involving States, civil society organisations and victims of PMSC violations. The Working Group also presented a report to the General Assembly in 2014 on the UN’s use of PMSCs. The Working Group is particularly</w:t>
      </w:r>
      <w:r w:rsidR="004A3C71">
        <w:rPr>
          <w:rFonts w:ascii="Times New Roman" w:hAnsi="Times New Roman" w:cs="Times New Roman"/>
          <w:sz w:val="24"/>
          <w:szCs w:val="24"/>
        </w:rPr>
        <w:t xml:space="preserve"> pleased that the</w:t>
      </w:r>
      <w:r w:rsidR="001E1FB5">
        <w:rPr>
          <w:rFonts w:ascii="Times New Roman" w:hAnsi="Times New Roman" w:cs="Times New Roman"/>
          <w:sz w:val="24"/>
          <w:szCs w:val="24"/>
        </w:rPr>
        <w:t xml:space="preserve"> </w:t>
      </w:r>
      <w:r w:rsidR="004A3C71">
        <w:rPr>
          <w:rFonts w:ascii="Times New Roman" w:hAnsi="Times New Roman" w:cs="Times New Roman"/>
          <w:sz w:val="24"/>
          <w:szCs w:val="24"/>
        </w:rPr>
        <w:t xml:space="preserve">majority </w:t>
      </w:r>
      <w:r w:rsidR="001E1FB5">
        <w:rPr>
          <w:rFonts w:ascii="Times New Roman" w:hAnsi="Times New Roman" w:cs="Times New Roman"/>
          <w:sz w:val="24"/>
          <w:szCs w:val="24"/>
        </w:rPr>
        <w:t>of this report’s</w:t>
      </w:r>
      <w:r>
        <w:rPr>
          <w:rFonts w:ascii="Times New Roman" w:hAnsi="Times New Roman" w:cs="Times New Roman"/>
          <w:sz w:val="24"/>
          <w:szCs w:val="24"/>
        </w:rPr>
        <w:t xml:space="preserve"> recommendations </w:t>
      </w:r>
      <w:r w:rsidR="001E1FB5">
        <w:rPr>
          <w:rFonts w:ascii="Times New Roman" w:hAnsi="Times New Roman" w:cs="Times New Roman"/>
          <w:sz w:val="24"/>
          <w:szCs w:val="24"/>
        </w:rPr>
        <w:t xml:space="preserve">have been implemented by the UN. </w:t>
      </w:r>
    </w:p>
    <w:p w:rsidR="0030773A" w:rsidRDefault="0030773A" w:rsidP="00997008">
      <w:pPr>
        <w:spacing w:after="0" w:line="360" w:lineRule="auto"/>
        <w:jc w:val="both"/>
        <w:rPr>
          <w:rFonts w:ascii="Times New Roman" w:hAnsi="Times New Roman" w:cs="Times New Roman"/>
          <w:sz w:val="24"/>
          <w:szCs w:val="24"/>
        </w:rPr>
      </w:pPr>
    </w:p>
    <w:p w:rsidR="00997008" w:rsidRPr="00997008" w:rsidRDefault="00997008" w:rsidP="0099700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Good practices in national legislation </w:t>
      </w:r>
    </w:p>
    <w:p w:rsidR="0030773A" w:rsidRDefault="0030773A" w:rsidP="00997008">
      <w:pPr>
        <w:spacing w:after="0" w:line="360" w:lineRule="auto"/>
        <w:jc w:val="both"/>
        <w:rPr>
          <w:rFonts w:ascii="Times New Roman" w:hAnsi="Times New Roman" w:cs="Times New Roman"/>
          <w:sz w:val="24"/>
          <w:szCs w:val="24"/>
        </w:rPr>
      </w:pPr>
    </w:p>
    <w:p w:rsidR="006C380C" w:rsidRPr="0007338E" w:rsidRDefault="0007338E" w:rsidP="0099700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 would like to give a brief overview of our findings</w:t>
      </w:r>
      <w:r w:rsidR="0030773A">
        <w:rPr>
          <w:rFonts w:ascii="Times New Roman" w:hAnsi="Times New Roman" w:cs="Times New Roman"/>
          <w:sz w:val="24"/>
          <w:szCs w:val="24"/>
        </w:rPr>
        <w:t xml:space="preserve"> </w:t>
      </w:r>
      <w:r w:rsidR="00332C94">
        <w:rPr>
          <w:rFonts w:ascii="Times New Roman" w:hAnsi="Times New Roman" w:cs="Times New Roman"/>
          <w:sz w:val="24"/>
          <w:szCs w:val="24"/>
        </w:rPr>
        <w:t xml:space="preserve">from </w:t>
      </w:r>
      <w:r>
        <w:rPr>
          <w:rFonts w:ascii="Times New Roman" w:hAnsi="Times New Roman" w:cs="Times New Roman"/>
          <w:sz w:val="24"/>
          <w:szCs w:val="24"/>
        </w:rPr>
        <w:t xml:space="preserve">the national legislation study we undertook. Firstly, some good practices were evident in various States that were reviewed, </w:t>
      </w:r>
      <w:r w:rsidR="004A3C71">
        <w:rPr>
          <w:rFonts w:ascii="Times New Roman" w:hAnsi="Times New Roman" w:cs="Times New Roman"/>
          <w:sz w:val="24"/>
          <w:szCs w:val="24"/>
        </w:rPr>
        <w:t xml:space="preserve">though these States were very few in number. These practices include: </w:t>
      </w:r>
      <w:r w:rsidR="0030773A">
        <w:rPr>
          <w:rFonts w:ascii="Times New Roman" w:hAnsi="Times New Roman" w:cs="Times New Roman"/>
          <w:i/>
          <w:sz w:val="24"/>
          <w:szCs w:val="24"/>
        </w:rPr>
        <w:t xml:space="preserve">the inclusion of international human rights and humanitarian law references in PMSC legislation; </w:t>
      </w:r>
      <w:r w:rsidR="006C380C" w:rsidRPr="0007338E">
        <w:rPr>
          <w:rFonts w:ascii="Times New Roman" w:hAnsi="Times New Roman" w:cs="Times New Roman"/>
          <w:i/>
          <w:sz w:val="24"/>
          <w:szCs w:val="24"/>
        </w:rPr>
        <w:t xml:space="preserve">the stipulation of specific sanctions, including </w:t>
      </w:r>
      <w:r w:rsidR="00E36342">
        <w:rPr>
          <w:rFonts w:ascii="Times New Roman" w:hAnsi="Times New Roman" w:cs="Times New Roman"/>
          <w:i/>
          <w:sz w:val="24"/>
          <w:szCs w:val="24"/>
        </w:rPr>
        <w:t>criminal responsibility</w:t>
      </w:r>
      <w:r w:rsidR="006C380C" w:rsidRPr="0007338E">
        <w:rPr>
          <w:rFonts w:ascii="Times New Roman" w:hAnsi="Times New Roman" w:cs="Times New Roman"/>
          <w:i/>
          <w:sz w:val="24"/>
          <w:szCs w:val="24"/>
        </w:rPr>
        <w:t xml:space="preserve">, for </w:t>
      </w:r>
      <w:r w:rsidR="00332C94">
        <w:rPr>
          <w:rFonts w:ascii="Times New Roman" w:hAnsi="Times New Roman" w:cs="Times New Roman"/>
          <w:i/>
          <w:sz w:val="24"/>
          <w:szCs w:val="24"/>
        </w:rPr>
        <w:t xml:space="preserve">human rights </w:t>
      </w:r>
      <w:r w:rsidR="006C380C" w:rsidRPr="0007338E">
        <w:rPr>
          <w:rFonts w:ascii="Times New Roman" w:hAnsi="Times New Roman" w:cs="Times New Roman"/>
          <w:i/>
          <w:sz w:val="24"/>
          <w:szCs w:val="24"/>
        </w:rPr>
        <w:t>violations</w:t>
      </w:r>
      <w:r w:rsidR="00332C94">
        <w:rPr>
          <w:rFonts w:ascii="Times New Roman" w:hAnsi="Times New Roman" w:cs="Times New Roman"/>
          <w:i/>
          <w:sz w:val="24"/>
          <w:szCs w:val="24"/>
        </w:rPr>
        <w:t>; the prohibition of</w:t>
      </w:r>
      <w:r w:rsidR="006C380C" w:rsidRPr="0007338E">
        <w:rPr>
          <w:rFonts w:ascii="Times New Roman" w:hAnsi="Times New Roman" w:cs="Times New Roman"/>
          <w:i/>
          <w:sz w:val="24"/>
          <w:szCs w:val="24"/>
        </w:rPr>
        <w:t xml:space="preserve"> direct participation in hostilities </w:t>
      </w:r>
      <w:r w:rsidR="00332C94">
        <w:rPr>
          <w:rFonts w:ascii="Times New Roman" w:hAnsi="Times New Roman" w:cs="Times New Roman"/>
          <w:i/>
          <w:sz w:val="24"/>
          <w:szCs w:val="24"/>
        </w:rPr>
        <w:t>abroad</w:t>
      </w:r>
      <w:r w:rsidR="00CA6C0C">
        <w:rPr>
          <w:rFonts w:ascii="Times New Roman" w:hAnsi="Times New Roman" w:cs="Times New Roman"/>
          <w:i/>
          <w:sz w:val="24"/>
          <w:szCs w:val="24"/>
        </w:rPr>
        <w:t xml:space="preserve"> and fines and imprisonment for serious human rights violations</w:t>
      </w:r>
      <w:r w:rsidR="005F3012">
        <w:rPr>
          <w:rFonts w:ascii="Times New Roman" w:hAnsi="Times New Roman" w:cs="Times New Roman"/>
          <w:i/>
          <w:sz w:val="24"/>
          <w:szCs w:val="24"/>
        </w:rPr>
        <w:t>;</w:t>
      </w:r>
      <w:r w:rsidR="0036477D">
        <w:rPr>
          <w:rFonts w:ascii="Times New Roman" w:hAnsi="Times New Roman" w:cs="Times New Roman"/>
          <w:i/>
          <w:sz w:val="24"/>
          <w:szCs w:val="24"/>
        </w:rPr>
        <w:t xml:space="preserve"> </w:t>
      </w:r>
      <w:r w:rsidR="006C380C" w:rsidRPr="0007338E">
        <w:rPr>
          <w:rFonts w:ascii="Times New Roman" w:hAnsi="Times New Roman" w:cs="Times New Roman"/>
          <w:i/>
          <w:sz w:val="24"/>
          <w:szCs w:val="24"/>
        </w:rPr>
        <w:t>the requirement for civil liability insurance for risks</w:t>
      </w:r>
      <w:r w:rsidR="0030773A">
        <w:rPr>
          <w:rFonts w:ascii="Times New Roman" w:hAnsi="Times New Roman" w:cs="Times New Roman"/>
          <w:i/>
          <w:sz w:val="24"/>
          <w:szCs w:val="24"/>
        </w:rPr>
        <w:t xml:space="preserve"> related to the PMSC activities;</w:t>
      </w:r>
      <w:r w:rsidR="006C380C" w:rsidRPr="0007338E">
        <w:rPr>
          <w:rFonts w:ascii="Times New Roman" w:hAnsi="Times New Roman" w:cs="Times New Roman"/>
          <w:i/>
          <w:sz w:val="24"/>
          <w:szCs w:val="24"/>
        </w:rPr>
        <w:t xml:space="preserve"> the requirement to maintain a ce</w:t>
      </w:r>
      <w:r w:rsidR="0030773A">
        <w:rPr>
          <w:rFonts w:ascii="Times New Roman" w:hAnsi="Times New Roman" w:cs="Times New Roman"/>
          <w:i/>
          <w:sz w:val="24"/>
          <w:szCs w:val="24"/>
        </w:rPr>
        <w:t>ntralised registry of companies;</w:t>
      </w:r>
      <w:r w:rsidR="006C380C" w:rsidRPr="0007338E">
        <w:rPr>
          <w:rFonts w:ascii="Times New Roman" w:hAnsi="Times New Roman" w:cs="Times New Roman"/>
          <w:i/>
          <w:sz w:val="24"/>
          <w:szCs w:val="24"/>
        </w:rPr>
        <w:t xml:space="preserve"> </w:t>
      </w:r>
      <w:r w:rsidR="003E5F0F" w:rsidRPr="0007338E">
        <w:rPr>
          <w:rFonts w:ascii="Times New Roman" w:hAnsi="Times New Roman" w:cs="Times New Roman"/>
          <w:i/>
          <w:sz w:val="24"/>
          <w:szCs w:val="24"/>
        </w:rPr>
        <w:t xml:space="preserve">the </w:t>
      </w:r>
      <w:r w:rsidR="006C380C" w:rsidRPr="0007338E">
        <w:rPr>
          <w:rFonts w:ascii="Times New Roman" w:hAnsi="Times New Roman" w:cs="Times New Roman"/>
          <w:i/>
          <w:sz w:val="24"/>
          <w:szCs w:val="24"/>
        </w:rPr>
        <w:t>requirement to have an accountability structure and secu</w:t>
      </w:r>
      <w:r w:rsidR="0030773A">
        <w:rPr>
          <w:rFonts w:ascii="Times New Roman" w:hAnsi="Times New Roman" w:cs="Times New Roman"/>
          <w:i/>
          <w:sz w:val="24"/>
          <w:szCs w:val="24"/>
        </w:rPr>
        <w:t>rity management system in place;</w:t>
      </w:r>
      <w:r w:rsidR="006C380C" w:rsidRPr="0007338E">
        <w:rPr>
          <w:rFonts w:ascii="Times New Roman" w:hAnsi="Times New Roman" w:cs="Times New Roman"/>
          <w:i/>
          <w:sz w:val="24"/>
          <w:szCs w:val="24"/>
        </w:rPr>
        <w:t xml:space="preserve"> the liability of legal persons as well as PSCs</w:t>
      </w:r>
      <w:r w:rsidR="0030773A">
        <w:rPr>
          <w:rFonts w:ascii="Times New Roman" w:hAnsi="Times New Roman" w:cs="Times New Roman"/>
          <w:i/>
          <w:sz w:val="24"/>
          <w:szCs w:val="24"/>
        </w:rPr>
        <w:t>;</w:t>
      </w:r>
      <w:r w:rsidR="006C380C" w:rsidRPr="0007338E">
        <w:rPr>
          <w:rFonts w:ascii="Times New Roman" w:hAnsi="Times New Roman" w:cs="Times New Roman"/>
          <w:i/>
          <w:sz w:val="24"/>
          <w:szCs w:val="24"/>
        </w:rPr>
        <w:t xml:space="preserve"> and the prohibition of PSC personnel exercising powers reserved for public security officers. </w:t>
      </w:r>
    </w:p>
    <w:p w:rsidR="00B528E0" w:rsidRDefault="00B528E0" w:rsidP="00997008">
      <w:pPr>
        <w:spacing w:after="0" w:line="360" w:lineRule="auto"/>
        <w:jc w:val="both"/>
        <w:rPr>
          <w:rFonts w:ascii="Times New Roman" w:hAnsi="Times New Roman" w:cs="Times New Roman"/>
          <w:i/>
          <w:sz w:val="24"/>
          <w:szCs w:val="24"/>
        </w:rPr>
      </w:pPr>
    </w:p>
    <w:p w:rsidR="00594E05" w:rsidRDefault="00594E05" w:rsidP="00997008">
      <w:pPr>
        <w:spacing w:after="0" w:line="360" w:lineRule="auto"/>
        <w:jc w:val="both"/>
        <w:rPr>
          <w:rFonts w:ascii="Times New Roman" w:hAnsi="Times New Roman" w:cs="Times New Roman"/>
          <w:i/>
          <w:sz w:val="24"/>
          <w:szCs w:val="24"/>
        </w:rPr>
      </w:pPr>
    </w:p>
    <w:p w:rsidR="00B528E0" w:rsidRDefault="00B528E0" w:rsidP="00997008">
      <w:pPr>
        <w:spacing w:after="0" w:line="360" w:lineRule="auto"/>
        <w:jc w:val="both"/>
        <w:rPr>
          <w:rFonts w:ascii="Times New Roman" w:hAnsi="Times New Roman" w:cs="Times New Roman"/>
          <w:i/>
          <w:sz w:val="24"/>
          <w:szCs w:val="24"/>
        </w:rPr>
      </w:pPr>
    </w:p>
    <w:p w:rsidR="00B528E0" w:rsidRDefault="00B528E0" w:rsidP="00997008">
      <w:pPr>
        <w:spacing w:after="0" w:line="360" w:lineRule="auto"/>
        <w:jc w:val="both"/>
        <w:rPr>
          <w:rFonts w:ascii="Times New Roman" w:hAnsi="Times New Roman" w:cs="Times New Roman"/>
          <w:i/>
          <w:sz w:val="24"/>
          <w:szCs w:val="24"/>
        </w:rPr>
      </w:pPr>
    </w:p>
    <w:p w:rsidR="00B528E0" w:rsidRDefault="00B528E0" w:rsidP="00997008">
      <w:pPr>
        <w:spacing w:after="0" w:line="360" w:lineRule="auto"/>
        <w:jc w:val="both"/>
        <w:rPr>
          <w:rFonts w:ascii="Times New Roman" w:hAnsi="Times New Roman" w:cs="Times New Roman"/>
          <w:i/>
          <w:sz w:val="24"/>
          <w:szCs w:val="24"/>
        </w:rPr>
      </w:pPr>
    </w:p>
    <w:p w:rsidR="006C380C" w:rsidRPr="00B528E0" w:rsidRDefault="00B528E0" w:rsidP="0099700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Gaps in national legislation </w:t>
      </w:r>
    </w:p>
    <w:p w:rsidR="00B528E0" w:rsidRDefault="00B528E0" w:rsidP="00997008">
      <w:pPr>
        <w:spacing w:after="0" w:line="360" w:lineRule="auto"/>
        <w:jc w:val="both"/>
        <w:rPr>
          <w:rFonts w:ascii="Times New Roman" w:hAnsi="Times New Roman" w:cs="Times New Roman"/>
          <w:sz w:val="24"/>
          <w:szCs w:val="24"/>
        </w:rPr>
      </w:pPr>
    </w:p>
    <w:p w:rsidR="006C380C" w:rsidRDefault="0007338E"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Notwithstanding the existence of some good practices, t</w:t>
      </w:r>
      <w:r w:rsidR="006C380C">
        <w:rPr>
          <w:rFonts w:ascii="Times New Roman" w:hAnsi="Times New Roman" w:cs="Times New Roman"/>
          <w:sz w:val="24"/>
          <w:szCs w:val="24"/>
        </w:rPr>
        <w:t xml:space="preserve">he majority of </w:t>
      </w:r>
      <w:r>
        <w:rPr>
          <w:rFonts w:ascii="Times New Roman" w:hAnsi="Times New Roman" w:cs="Times New Roman"/>
          <w:sz w:val="24"/>
          <w:szCs w:val="24"/>
        </w:rPr>
        <w:t xml:space="preserve">national </w:t>
      </w:r>
      <w:r w:rsidR="006C380C">
        <w:rPr>
          <w:rFonts w:ascii="Times New Roman" w:hAnsi="Times New Roman" w:cs="Times New Roman"/>
          <w:sz w:val="24"/>
          <w:szCs w:val="24"/>
        </w:rPr>
        <w:t>laws</w:t>
      </w:r>
      <w:r>
        <w:rPr>
          <w:rFonts w:ascii="Times New Roman" w:hAnsi="Times New Roman" w:cs="Times New Roman"/>
          <w:sz w:val="24"/>
          <w:szCs w:val="24"/>
        </w:rPr>
        <w:t xml:space="preserve"> </w:t>
      </w:r>
      <w:r w:rsidR="008767A5">
        <w:rPr>
          <w:rFonts w:ascii="Times New Roman" w:hAnsi="Times New Roman" w:cs="Times New Roman"/>
          <w:sz w:val="24"/>
          <w:szCs w:val="24"/>
        </w:rPr>
        <w:t>reviewed show</w:t>
      </w:r>
      <w:r w:rsidR="004A3C71">
        <w:rPr>
          <w:rFonts w:ascii="Times New Roman" w:hAnsi="Times New Roman" w:cs="Times New Roman"/>
          <w:sz w:val="24"/>
          <w:szCs w:val="24"/>
        </w:rPr>
        <w:t>ed</w:t>
      </w:r>
      <w:r w:rsidR="008767A5">
        <w:rPr>
          <w:rFonts w:ascii="Times New Roman" w:hAnsi="Times New Roman" w:cs="Times New Roman"/>
          <w:sz w:val="24"/>
          <w:szCs w:val="24"/>
        </w:rPr>
        <w:t xml:space="preserve"> that State approaches to regulation are p</w:t>
      </w:r>
      <w:r w:rsidR="0030773A">
        <w:rPr>
          <w:rFonts w:ascii="Times New Roman" w:hAnsi="Times New Roman" w:cs="Times New Roman"/>
          <w:sz w:val="24"/>
          <w:szCs w:val="24"/>
        </w:rPr>
        <w:t xml:space="preserve">atchy </w:t>
      </w:r>
      <w:r w:rsidR="00B528E0">
        <w:rPr>
          <w:rFonts w:ascii="Times New Roman" w:hAnsi="Times New Roman" w:cs="Times New Roman"/>
          <w:sz w:val="24"/>
          <w:szCs w:val="24"/>
        </w:rPr>
        <w:t xml:space="preserve">and inconsistent </w:t>
      </w:r>
      <w:r w:rsidR="008767A5">
        <w:rPr>
          <w:rFonts w:ascii="Times New Roman" w:hAnsi="Times New Roman" w:cs="Times New Roman"/>
          <w:sz w:val="24"/>
          <w:szCs w:val="24"/>
        </w:rPr>
        <w:t>and d</w:t>
      </w:r>
      <w:r w:rsidR="00E36342">
        <w:rPr>
          <w:rFonts w:ascii="Times New Roman" w:hAnsi="Times New Roman" w:cs="Times New Roman"/>
          <w:sz w:val="24"/>
          <w:szCs w:val="24"/>
        </w:rPr>
        <w:t>o</w:t>
      </w:r>
      <w:r w:rsidR="008767A5">
        <w:rPr>
          <w:rFonts w:ascii="Times New Roman" w:hAnsi="Times New Roman" w:cs="Times New Roman"/>
          <w:sz w:val="24"/>
          <w:szCs w:val="24"/>
        </w:rPr>
        <w:t xml:space="preserve"> not </w:t>
      </w:r>
      <w:r w:rsidR="00332C94">
        <w:rPr>
          <w:rFonts w:ascii="Times New Roman" w:hAnsi="Times New Roman" w:cs="Times New Roman"/>
          <w:sz w:val="24"/>
          <w:szCs w:val="24"/>
        </w:rPr>
        <w:t xml:space="preserve">provide </w:t>
      </w:r>
      <w:r w:rsidR="008767A5">
        <w:rPr>
          <w:rFonts w:ascii="Times New Roman" w:hAnsi="Times New Roman" w:cs="Times New Roman"/>
          <w:sz w:val="24"/>
          <w:szCs w:val="24"/>
        </w:rPr>
        <w:t xml:space="preserve">robust safeguards against potential human rights violations by PMSC personnel. </w:t>
      </w:r>
    </w:p>
    <w:p w:rsidR="00997008" w:rsidRDefault="00997008" w:rsidP="00997008">
      <w:pPr>
        <w:spacing w:after="0" w:line="360" w:lineRule="auto"/>
        <w:jc w:val="both"/>
        <w:rPr>
          <w:rFonts w:ascii="Times New Roman" w:hAnsi="Times New Roman" w:cs="Times New Roman"/>
          <w:sz w:val="24"/>
          <w:szCs w:val="24"/>
        </w:rPr>
      </w:pPr>
    </w:p>
    <w:p w:rsidR="008767A5" w:rsidRDefault="00FD5542"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Considering the diverse activities and transnational nature of PMSCs, the Working Group observed worrying trends and gaps in national legislation</w:t>
      </w:r>
      <w:r w:rsidR="004A3C71">
        <w:rPr>
          <w:rFonts w:ascii="Times New Roman" w:hAnsi="Times New Roman" w:cs="Times New Roman"/>
          <w:sz w:val="24"/>
          <w:szCs w:val="24"/>
        </w:rPr>
        <w:t xml:space="preserve">. For </w:t>
      </w:r>
      <w:r w:rsidR="00332C94">
        <w:rPr>
          <w:rFonts w:ascii="Times New Roman" w:hAnsi="Times New Roman" w:cs="Times New Roman"/>
          <w:sz w:val="24"/>
          <w:szCs w:val="24"/>
        </w:rPr>
        <w:t>example</w:t>
      </w:r>
      <w:r w:rsidR="004A3C71">
        <w:rPr>
          <w:rFonts w:ascii="Times New Roman" w:hAnsi="Times New Roman" w:cs="Times New Roman"/>
          <w:sz w:val="24"/>
          <w:szCs w:val="24"/>
        </w:rPr>
        <w:t xml:space="preserve">, </w:t>
      </w:r>
      <w:r w:rsidR="000161DA">
        <w:rPr>
          <w:rFonts w:ascii="Times New Roman" w:hAnsi="Times New Roman" w:cs="Times New Roman"/>
          <w:sz w:val="24"/>
          <w:szCs w:val="24"/>
        </w:rPr>
        <w:t xml:space="preserve">most national laws </w:t>
      </w:r>
      <w:r w:rsidR="00B528E0">
        <w:rPr>
          <w:rFonts w:ascii="Times New Roman" w:hAnsi="Times New Roman" w:cs="Times New Roman"/>
          <w:sz w:val="24"/>
          <w:szCs w:val="24"/>
        </w:rPr>
        <w:t>lacked</w:t>
      </w:r>
      <w:r w:rsidR="008767A5">
        <w:rPr>
          <w:rFonts w:ascii="Times New Roman" w:hAnsi="Times New Roman" w:cs="Times New Roman"/>
          <w:sz w:val="24"/>
          <w:szCs w:val="24"/>
        </w:rPr>
        <w:t xml:space="preserve"> </w:t>
      </w:r>
      <w:r>
        <w:rPr>
          <w:rFonts w:ascii="Times New Roman" w:hAnsi="Times New Roman" w:cs="Times New Roman"/>
          <w:sz w:val="24"/>
          <w:szCs w:val="24"/>
        </w:rPr>
        <w:t>specific rules on the content of monit</w:t>
      </w:r>
      <w:r w:rsidR="008767A5">
        <w:rPr>
          <w:rFonts w:ascii="Times New Roman" w:hAnsi="Times New Roman" w:cs="Times New Roman"/>
          <w:sz w:val="24"/>
          <w:szCs w:val="24"/>
        </w:rPr>
        <w:t xml:space="preserve">oring and inspections of PMSCs and there were </w:t>
      </w:r>
      <w:r w:rsidR="00053F16">
        <w:rPr>
          <w:rFonts w:ascii="Times New Roman" w:hAnsi="Times New Roman" w:cs="Times New Roman"/>
          <w:sz w:val="24"/>
          <w:szCs w:val="24"/>
        </w:rPr>
        <w:t>very few</w:t>
      </w:r>
      <w:r w:rsidR="008767A5">
        <w:rPr>
          <w:rFonts w:ascii="Times New Roman" w:hAnsi="Times New Roman" w:cs="Times New Roman"/>
          <w:sz w:val="24"/>
          <w:szCs w:val="24"/>
        </w:rPr>
        <w:t xml:space="preserve"> provisions </w:t>
      </w:r>
      <w:r w:rsidR="00053F16">
        <w:rPr>
          <w:rFonts w:ascii="Times New Roman" w:hAnsi="Times New Roman" w:cs="Times New Roman"/>
          <w:sz w:val="24"/>
          <w:szCs w:val="24"/>
        </w:rPr>
        <w:t>requiring a</w:t>
      </w:r>
      <w:r w:rsidR="008767A5">
        <w:rPr>
          <w:rFonts w:ascii="Times New Roman" w:hAnsi="Times New Roman" w:cs="Times New Roman"/>
          <w:sz w:val="24"/>
          <w:szCs w:val="24"/>
        </w:rPr>
        <w:t xml:space="preserve"> rights-based vetting mechanism to ensure PSC personnel are </w:t>
      </w:r>
      <w:r w:rsidR="0073037A">
        <w:rPr>
          <w:rFonts w:ascii="Times New Roman" w:hAnsi="Times New Roman" w:cs="Times New Roman"/>
          <w:sz w:val="24"/>
          <w:szCs w:val="24"/>
        </w:rPr>
        <w:t xml:space="preserve">appropriately trained and comply with </w:t>
      </w:r>
      <w:r>
        <w:rPr>
          <w:rFonts w:ascii="Times New Roman" w:hAnsi="Times New Roman" w:cs="Times New Roman"/>
          <w:sz w:val="24"/>
          <w:szCs w:val="24"/>
        </w:rPr>
        <w:t>international human rights and humanitarian law standards</w:t>
      </w:r>
      <w:r w:rsidR="00332C94">
        <w:rPr>
          <w:rFonts w:ascii="Times New Roman" w:hAnsi="Times New Roman" w:cs="Times New Roman"/>
          <w:sz w:val="24"/>
          <w:szCs w:val="24"/>
        </w:rPr>
        <w:t>. T</w:t>
      </w:r>
      <w:r w:rsidR="0073037A">
        <w:rPr>
          <w:rFonts w:ascii="Times New Roman" w:hAnsi="Times New Roman" w:cs="Times New Roman"/>
          <w:sz w:val="24"/>
          <w:szCs w:val="24"/>
        </w:rPr>
        <w:t xml:space="preserve">here </w:t>
      </w:r>
      <w:r w:rsidR="00E36342">
        <w:rPr>
          <w:rFonts w:ascii="Times New Roman" w:hAnsi="Times New Roman" w:cs="Times New Roman"/>
          <w:sz w:val="24"/>
          <w:szCs w:val="24"/>
        </w:rPr>
        <w:t>are also significant gaps in</w:t>
      </w:r>
      <w:r>
        <w:rPr>
          <w:rFonts w:ascii="Times New Roman" w:hAnsi="Times New Roman" w:cs="Times New Roman"/>
          <w:sz w:val="24"/>
          <w:szCs w:val="24"/>
        </w:rPr>
        <w:t xml:space="preserve"> penal accountability, </w:t>
      </w:r>
      <w:r w:rsidR="00E36342">
        <w:rPr>
          <w:rFonts w:ascii="Times New Roman" w:hAnsi="Times New Roman" w:cs="Times New Roman"/>
          <w:sz w:val="24"/>
          <w:szCs w:val="24"/>
        </w:rPr>
        <w:t xml:space="preserve">and </w:t>
      </w:r>
      <w:r>
        <w:rPr>
          <w:rFonts w:ascii="Times New Roman" w:hAnsi="Times New Roman" w:cs="Times New Roman"/>
          <w:sz w:val="24"/>
          <w:szCs w:val="24"/>
        </w:rPr>
        <w:t>civil liability of individuals and corporate</w:t>
      </w:r>
      <w:r w:rsidR="00332C94">
        <w:rPr>
          <w:rFonts w:ascii="Times New Roman" w:hAnsi="Times New Roman" w:cs="Times New Roman"/>
          <w:sz w:val="24"/>
          <w:szCs w:val="24"/>
        </w:rPr>
        <w:t xml:space="preserve"> actors</w:t>
      </w:r>
      <w:r>
        <w:rPr>
          <w:rFonts w:ascii="Times New Roman" w:hAnsi="Times New Roman" w:cs="Times New Roman"/>
          <w:sz w:val="24"/>
          <w:szCs w:val="24"/>
        </w:rPr>
        <w:t>. Given the likelihood of PMSC personnel engaging in the use of force and involvement in hostilities, the gaps mentioned underscore a real ris</w:t>
      </w:r>
      <w:r w:rsidR="008767A5">
        <w:rPr>
          <w:rFonts w:ascii="Times New Roman" w:hAnsi="Times New Roman" w:cs="Times New Roman"/>
          <w:sz w:val="24"/>
          <w:szCs w:val="24"/>
        </w:rPr>
        <w:t>k to human rights</w:t>
      </w:r>
      <w:r w:rsidR="0073037A">
        <w:rPr>
          <w:rFonts w:ascii="Times New Roman" w:hAnsi="Times New Roman" w:cs="Times New Roman"/>
          <w:sz w:val="24"/>
          <w:szCs w:val="24"/>
        </w:rPr>
        <w:t xml:space="preserve">. </w:t>
      </w:r>
    </w:p>
    <w:p w:rsidR="008767A5" w:rsidRDefault="008767A5" w:rsidP="00997008">
      <w:pPr>
        <w:spacing w:after="0" w:line="360" w:lineRule="auto"/>
        <w:jc w:val="both"/>
        <w:rPr>
          <w:rFonts w:ascii="Times New Roman" w:hAnsi="Times New Roman" w:cs="Times New Roman"/>
          <w:sz w:val="24"/>
          <w:szCs w:val="24"/>
        </w:rPr>
      </w:pPr>
    </w:p>
    <w:p w:rsidR="00741896" w:rsidRDefault="008767A5"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FD5542">
        <w:rPr>
          <w:rFonts w:ascii="Times New Roman" w:hAnsi="Times New Roman" w:cs="Times New Roman"/>
          <w:sz w:val="24"/>
          <w:szCs w:val="24"/>
        </w:rPr>
        <w:t xml:space="preserve"> study also showed that despite existing provisions on permitted and prohibited activities for these companies, there were still regulatory gaps relating to the acquisition of weapons and trafficking in arms by company personnel. There were also divergent approaches to the use of force and firearms in the course of duty. </w:t>
      </w:r>
      <w:r>
        <w:rPr>
          <w:rFonts w:ascii="Times New Roman" w:hAnsi="Times New Roman" w:cs="Times New Roman"/>
          <w:sz w:val="24"/>
          <w:szCs w:val="24"/>
        </w:rPr>
        <w:t>Furthermore, a</w:t>
      </w:r>
      <w:r w:rsidR="00FD5542">
        <w:rPr>
          <w:rFonts w:ascii="Times New Roman" w:hAnsi="Times New Roman" w:cs="Times New Roman"/>
          <w:sz w:val="24"/>
          <w:szCs w:val="24"/>
        </w:rPr>
        <w:t xml:space="preserve"> lack of clear regulation on </w:t>
      </w:r>
      <w:r w:rsidR="0073037A">
        <w:rPr>
          <w:rFonts w:ascii="Times New Roman" w:hAnsi="Times New Roman" w:cs="Times New Roman"/>
          <w:sz w:val="24"/>
          <w:szCs w:val="24"/>
        </w:rPr>
        <w:t>oversight by the authorities was evident</w:t>
      </w:r>
      <w:r w:rsidR="00FD5542">
        <w:rPr>
          <w:rFonts w:ascii="Times New Roman" w:hAnsi="Times New Roman" w:cs="Times New Roman"/>
          <w:sz w:val="24"/>
          <w:szCs w:val="24"/>
        </w:rPr>
        <w:t>. Legislation was</w:t>
      </w:r>
      <w:r w:rsidR="0073037A">
        <w:rPr>
          <w:rFonts w:ascii="Times New Roman" w:hAnsi="Times New Roman" w:cs="Times New Roman"/>
          <w:sz w:val="24"/>
          <w:szCs w:val="24"/>
        </w:rPr>
        <w:t xml:space="preserve"> </w:t>
      </w:r>
      <w:r w:rsidR="00FD5542">
        <w:rPr>
          <w:rFonts w:ascii="Times New Roman" w:hAnsi="Times New Roman" w:cs="Times New Roman"/>
          <w:sz w:val="24"/>
          <w:szCs w:val="24"/>
        </w:rPr>
        <w:t>particularly silent on how the conduct of PSCs and PMSCs</w:t>
      </w:r>
      <w:r w:rsidR="00332C94">
        <w:rPr>
          <w:rFonts w:ascii="Times New Roman" w:hAnsi="Times New Roman" w:cs="Times New Roman"/>
          <w:sz w:val="24"/>
          <w:szCs w:val="24"/>
        </w:rPr>
        <w:t xml:space="preserve"> is regulated</w:t>
      </w:r>
      <w:r w:rsidR="00FD5542">
        <w:rPr>
          <w:rFonts w:ascii="Times New Roman" w:hAnsi="Times New Roman" w:cs="Times New Roman"/>
          <w:sz w:val="24"/>
          <w:szCs w:val="24"/>
        </w:rPr>
        <w:t xml:space="preserve"> during potential events of unrest and armed conflict.</w:t>
      </w:r>
      <w:r w:rsidR="000161DA">
        <w:rPr>
          <w:rFonts w:ascii="Times New Roman" w:hAnsi="Times New Roman" w:cs="Times New Roman"/>
          <w:sz w:val="24"/>
          <w:szCs w:val="24"/>
        </w:rPr>
        <w:t xml:space="preserve">  </w:t>
      </w:r>
      <w:r w:rsidR="00332C94">
        <w:rPr>
          <w:rFonts w:ascii="Times New Roman" w:hAnsi="Times New Roman" w:cs="Times New Roman"/>
          <w:sz w:val="24"/>
          <w:szCs w:val="24"/>
        </w:rPr>
        <w:t>What was clearly lacking and which is of great concern, was</w:t>
      </w:r>
      <w:r w:rsidR="0073037A">
        <w:rPr>
          <w:rFonts w:ascii="Times New Roman" w:hAnsi="Times New Roman" w:cs="Times New Roman"/>
          <w:sz w:val="24"/>
          <w:szCs w:val="24"/>
        </w:rPr>
        <w:t xml:space="preserve"> reference to effective remedies for victims of human rights violations committed by PMSC personnel. </w:t>
      </w:r>
    </w:p>
    <w:p w:rsidR="00741896" w:rsidRDefault="00741896" w:rsidP="00997008">
      <w:pPr>
        <w:spacing w:after="0" w:line="360" w:lineRule="auto"/>
        <w:jc w:val="both"/>
        <w:rPr>
          <w:rFonts w:ascii="Times New Roman" w:hAnsi="Times New Roman" w:cs="Times New Roman"/>
          <w:sz w:val="24"/>
          <w:szCs w:val="24"/>
        </w:rPr>
      </w:pPr>
    </w:p>
    <w:p w:rsidR="00997008" w:rsidRDefault="00741896"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extra-territoriality was also not addressed in the majority of national laws which creates a significant protection gap for local populations where those companies operate.</w:t>
      </w:r>
    </w:p>
    <w:p w:rsidR="00FD5542" w:rsidRDefault="00FD5542" w:rsidP="00997008">
      <w:pPr>
        <w:spacing w:after="0" w:line="360" w:lineRule="auto"/>
        <w:jc w:val="both"/>
        <w:rPr>
          <w:rFonts w:ascii="Times New Roman" w:hAnsi="Times New Roman" w:cs="Times New Roman"/>
          <w:sz w:val="24"/>
          <w:szCs w:val="24"/>
        </w:rPr>
      </w:pPr>
    </w:p>
    <w:p w:rsidR="00FD5542" w:rsidRDefault="000161DA" w:rsidP="0099700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Self-regulation initiatives </w:t>
      </w:r>
    </w:p>
    <w:p w:rsidR="00707483" w:rsidRDefault="00707483" w:rsidP="00997008">
      <w:pPr>
        <w:spacing w:after="0" w:line="360" w:lineRule="auto"/>
        <w:jc w:val="both"/>
        <w:rPr>
          <w:rFonts w:ascii="Times New Roman" w:hAnsi="Times New Roman" w:cs="Times New Roman"/>
          <w:sz w:val="24"/>
          <w:szCs w:val="24"/>
        </w:rPr>
      </w:pPr>
    </w:p>
    <w:p w:rsidR="00707483" w:rsidRDefault="00707483"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on national legislation has clearly underscored the need to address human rights risks posed by PMSCs.  Given the regulatory gaps in domestic law, the Working Group is pleased with the development of initiatives such as the Montreux Document </w:t>
      </w:r>
      <w:r w:rsidR="00E36342">
        <w:rPr>
          <w:rFonts w:ascii="Times New Roman" w:hAnsi="Times New Roman" w:cs="Times New Roman"/>
          <w:sz w:val="24"/>
          <w:szCs w:val="24"/>
        </w:rPr>
        <w:t>and voluntary initiatives such as the Montreux</w:t>
      </w:r>
      <w:r w:rsidR="00BD43D6">
        <w:rPr>
          <w:rFonts w:ascii="Times New Roman" w:hAnsi="Times New Roman" w:cs="Times New Roman"/>
          <w:sz w:val="24"/>
          <w:szCs w:val="24"/>
        </w:rPr>
        <w:t xml:space="preserve"> Document</w:t>
      </w:r>
      <w:r w:rsidR="00E36342">
        <w:rPr>
          <w:rFonts w:ascii="Times New Roman" w:hAnsi="Times New Roman" w:cs="Times New Roman"/>
          <w:sz w:val="24"/>
          <w:szCs w:val="24"/>
        </w:rPr>
        <w:t xml:space="preserve"> forum </w:t>
      </w:r>
      <w:r>
        <w:rPr>
          <w:rFonts w:ascii="Times New Roman" w:hAnsi="Times New Roman" w:cs="Times New Roman"/>
          <w:sz w:val="24"/>
          <w:szCs w:val="24"/>
        </w:rPr>
        <w:t>and the Internati</w:t>
      </w:r>
      <w:r w:rsidR="0039733D">
        <w:rPr>
          <w:rFonts w:ascii="Times New Roman" w:hAnsi="Times New Roman" w:cs="Times New Roman"/>
          <w:sz w:val="24"/>
          <w:szCs w:val="24"/>
        </w:rPr>
        <w:t xml:space="preserve">onal Code of Conduct for </w:t>
      </w:r>
      <w:r w:rsidR="0039733D">
        <w:rPr>
          <w:rFonts w:ascii="Times New Roman" w:hAnsi="Times New Roman" w:cs="Times New Roman"/>
          <w:sz w:val="24"/>
          <w:szCs w:val="24"/>
        </w:rPr>
        <w:lastRenderedPageBreak/>
        <w:t xml:space="preserve">private security service providers (ICOC) which have clearly led to improved standards across the industry. It is also encouraging to see that many companies have signed up to the ICOCA since its establishment and that the Montreux Document is also garnering a growing number of </w:t>
      </w:r>
      <w:r w:rsidR="00332C94">
        <w:rPr>
          <w:rFonts w:ascii="Times New Roman" w:hAnsi="Times New Roman" w:cs="Times New Roman"/>
          <w:sz w:val="24"/>
          <w:szCs w:val="24"/>
        </w:rPr>
        <w:t xml:space="preserve">signatories. </w:t>
      </w:r>
    </w:p>
    <w:p w:rsidR="00332C94" w:rsidRDefault="00332C94" w:rsidP="00997008">
      <w:pPr>
        <w:spacing w:after="0" w:line="360" w:lineRule="auto"/>
        <w:jc w:val="both"/>
        <w:rPr>
          <w:rFonts w:ascii="Times New Roman" w:hAnsi="Times New Roman" w:cs="Times New Roman"/>
          <w:sz w:val="24"/>
          <w:szCs w:val="24"/>
        </w:rPr>
      </w:pPr>
    </w:p>
    <w:p w:rsidR="00F017D0" w:rsidRDefault="0039733D"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Working Group has considered the objectives of ICOC and the Montreux Document as </w:t>
      </w:r>
      <w:r w:rsidR="00327364">
        <w:rPr>
          <w:rFonts w:ascii="Times New Roman" w:hAnsi="Times New Roman" w:cs="Times New Roman"/>
          <w:sz w:val="24"/>
          <w:szCs w:val="24"/>
        </w:rPr>
        <w:t xml:space="preserve">important complementary initiatives to its own work in </w:t>
      </w:r>
      <w:r w:rsidR="00A857C1">
        <w:rPr>
          <w:rFonts w:ascii="Times New Roman" w:hAnsi="Times New Roman" w:cs="Times New Roman"/>
          <w:sz w:val="24"/>
          <w:szCs w:val="24"/>
        </w:rPr>
        <w:t xml:space="preserve">advocating for </w:t>
      </w:r>
      <w:r w:rsidR="00327364">
        <w:rPr>
          <w:rFonts w:ascii="Times New Roman" w:hAnsi="Times New Roman" w:cs="Times New Roman"/>
          <w:sz w:val="24"/>
          <w:szCs w:val="24"/>
        </w:rPr>
        <w:t>more robust regulation</w:t>
      </w:r>
      <w:r w:rsidR="00A857C1">
        <w:rPr>
          <w:rFonts w:ascii="Times New Roman" w:hAnsi="Times New Roman" w:cs="Times New Roman"/>
          <w:sz w:val="24"/>
          <w:szCs w:val="24"/>
        </w:rPr>
        <w:t>s</w:t>
      </w:r>
      <w:r w:rsidR="00E17D1E">
        <w:rPr>
          <w:rFonts w:ascii="Times New Roman" w:hAnsi="Times New Roman" w:cs="Times New Roman"/>
          <w:sz w:val="24"/>
          <w:szCs w:val="24"/>
        </w:rPr>
        <w:t xml:space="preserve"> </w:t>
      </w:r>
      <w:r w:rsidR="00332C94">
        <w:rPr>
          <w:rFonts w:ascii="Times New Roman" w:hAnsi="Times New Roman" w:cs="Times New Roman"/>
          <w:sz w:val="24"/>
          <w:szCs w:val="24"/>
        </w:rPr>
        <w:t>of PMSCs</w:t>
      </w:r>
      <w:r w:rsidR="00A857C1">
        <w:rPr>
          <w:rFonts w:ascii="Times New Roman" w:hAnsi="Times New Roman" w:cs="Times New Roman"/>
          <w:sz w:val="24"/>
          <w:szCs w:val="24"/>
        </w:rPr>
        <w:t>. Indeed it appreciates the close co-operation it has had over the years in sharing information and engaging in regular dialogue with the ICOC</w:t>
      </w:r>
      <w:r w:rsidR="00332C94">
        <w:rPr>
          <w:rFonts w:ascii="Times New Roman" w:hAnsi="Times New Roman" w:cs="Times New Roman"/>
          <w:sz w:val="24"/>
          <w:szCs w:val="24"/>
        </w:rPr>
        <w:t>A</w:t>
      </w:r>
      <w:r w:rsidR="00A857C1">
        <w:rPr>
          <w:rFonts w:ascii="Times New Roman" w:hAnsi="Times New Roman" w:cs="Times New Roman"/>
          <w:sz w:val="24"/>
          <w:szCs w:val="24"/>
        </w:rPr>
        <w:t xml:space="preserve"> and </w:t>
      </w:r>
      <w:r w:rsidR="00332C94">
        <w:rPr>
          <w:rFonts w:ascii="Times New Roman" w:hAnsi="Times New Roman" w:cs="Times New Roman"/>
          <w:sz w:val="24"/>
          <w:szCs w:val="24"/>
        </w:rPr>
        <w:t xml:space="preserve">DCAF, </w:t>
      </w:r>
      <w:r w:rsidR="00A857C1">
        <w:rPr>
          <w:rFonts w:ascii="Times New Roman" w:hAnsi="Times New Roman" w:cs="Times New Roman"/>
          <w:sz w:val="24"/>
          <w:szCs w:val="24"/>
        </w:rPr>
        <w:t>the Secret</w:t>
      </w:r>
      <w:r w:rsidR="007B4C6B">
        <w:rPr>
          <w:rFonts w:ascii="Times New Roman" w:hAnsi="Times New Roman" w:cs="Times New Roman"/>
          <w:sz w:val="24"/>
          <w:szCs w:val="24"/>
        </w:rPr>
        <w:t>ariat for the Montreux Document</w:t>
      </w:r>
      <w:r w:rsidR="00332C94">
        <w:rPr>
          <w:rFonts w:ascii="Times New Roman" w:hAnsi="Times New Roman" w:cs="Times New Roman"/>
          <w:sz w:val="24"/>
          <w:szCs w:val="24"/>
        </w:rPr>
        <w:t>.</w:t>
      </w:r>
    </w:p>
    <w:p w:rsidR="00F017D0" w:rsidRDefault="00F017D0" w:rsidP="00997008">
      <w:pPr>
        <w:spacing w:after="0" w:line="360" w:lineRule="auto"/>
        <w:jc w:val="both"/>
        <w:rPr>
          <w:rFonts w:ascii="Times New Roman" w:hAnsi="Times New Roman" w:cs="Times New Roman"/>
          <w:sz w:val="24"/>
          <w:szCs w:val="24"/>
        </w:rPr>
      </w:pPr>
    </w:p>
    <w:p w:rsidR="0039733D" w:rsidRDefault="009A4221" w:rsidP="0099700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Gaps in addressing a</w:t>
      </w:r>
      <w:r w:rsidR="00F017D0">
        <w:rPr>
          <w:rFonts w:ascii="Times New Roman" w:hAnsi="Times New Roman" w:cs="Times New Roman"/>
          <w:i/>
          <w:sz w:val="24"/>
          <w:szCs w:val="24"/>
        </w:rPr>
        <w:t>ccountability and remedies for victims for human rights violations</w:t>
      </w:r>
      <w:r w:rsidR="00A857C1">
        <w:rPr>
          <w:rFonts w:ascii="Times New Roman" w:hAnsi="Times New Roman" w:cs="Times New Roman"/>
          <w:sz w:val="24"/>
          <w:szCs w:val="24"/>
        </w:rPr>
        <w:t xml:space="preserve"> </w:t>
      </w:r>
    </w:p>
    <w:p w:rsidR="00E17D1E" w:rsidRDefault="00E17D1E" w:rsidP="00997008">
      <w:pPr>
        <w:spacing w:after="0" w:line="360" w:lineRule="auto"/>
        <w:jc w:val="both"/>
        <w:rPr>
          <w:rFonts w:ascii="Times New Roman" w:hAnsi="Times New Roman" w:cs="Times New Roman"/>
          <w:sz w:val="24"/>
          <w:szCs w:val="24"/>
        </w:rPr>
      </w:pPr>
    </w:p>
    <w:p w:rsidR="00F20118" w:rsidRDefault="00E17D1E"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BD43D6">
        <w:rPr>
          <w:rFonts w:ascii="Times New Roman" w:hAnsi="Times New Roman" w:cs="Times New Roman"/>
          <w:sz w:val="24"/>
          <w:szCs w:val="24"/>
        </w:rPr>
        <w:t>e recognize</w:t>
      </w:r>
      <w:r>
        <w:rPr>
          <w:rFonts w:ascii="Times New Roman" w:hAnsi="Times New Roman" w:cs="Times New Roman"/>
          <w:sz w:val="24"/>
          <w:szCs w:val="24"/>
        </w:rPr>
        <w:t xml:space="preserve"> the </w:t>
      </w:r>
      <w:r w:rsidR="00AD7F4B">
        <w:rPr>
          <w:rFonts w:ascii="Times New Roman" w:hAnsi="Times New Roman" w:cs="Times New Roman"/>
          <w:sz w:val="24"/>
          <w:szCs w:val="24"/>
        </w:rPr>
        <w:t xml:space="preserve">important steps that have been taken by both </w:t>
      </w:r>
      <w:r w:rsidR="00BD43D6">
        <w:rPr>
          <w:rFonts w:ascii="Times New Roman" w:hAnsi="Times New Roman" w:cs="Times New Roman"/>
          <w:sz w:val="24"/>
          <w:szCs w:val="24"/>
        </w:rPr>
        <w:t xml:space="preserve">the </w:t>
      </w:r>
      <w:r w:rsidR="00AD7F4B">
        <w:rPr>
          <w:rFonts w:ascii="Times New Roman" w:hAnsi="Times New Roman" w:cs="Times New Roman"/>
          <w:sz w:val="24"/>
          <w:szCs w:val="24"/>
        </w:rPr>
        <w:t>Montreux Document</w:t>
      </w:r>
      <w:r w:rsidR="00BD43D6">
        <w:rPr>
          <w:rFonts w:ascii="Times New Roman" w:hAnsi="Times New Roman" w:cs="Times New Roman"/>
          <w:sz w:val="24"/>
          <w:szCs w:val="24"/>
        </w:rPr>
        <w:t xml:space="preserve"> Forum</w:t>
      </w:r>
      <w:r w:rsidR="00AD7F4B">
        <w:rPr>
          <w:rFonts w:ascii="Times New Roman" w:hAnsi="Times New Roman" w:cs="Times New Roman"/>
          <w:sz w:val="24"/>
          <w:szCs w:val="24"/>
        </w:rPr>
        <w:t xml:space="preserve"> and</w:t>
      </w:r>
      <w:r w:rsidR="00332C94">
        <w:rPr>
          <w:rFonts w:ascii="Times New Roman" w:hAnsi="Times New Roman" w:cs="Times New Roman"/>
          <w:sz w:val="24"/>
          <w:szCs w:val="24"/>
        </w:rPr>
        <w:t xml:space="preserve"> the</w:t>
      </w:r>
      <w:r w:rsidR="00AD7F4B">
        <w:rPr>
          <w:rFonts w:ascii="Times New Roman" w:hAnsi="Times New Roman" w:cs="Times New Roman"/>
          <w:sz w:val="24"/>
          <w:szCs w:val="24"/>
        </w:rPr>
        <w:t xml:space="preserve"> ICOC</w:t>
      </w:r>
      <w:r w:rsidR="00BD43D6">
        <w:rPr>
          <w:rFonts w:ascii="Times New Roman" w:hAnsi="Times New Roman" w:cs="Times New Roman"/>
          <w:sz w:val="24"/>
          <w:szCs w:val="24"/>
        </w:rPr>
        <w:t>A</w:t>
      </w:r>
      <w:r w:rsidR="00AD7F4B">
        <w:rPr>
          <w:rFonts w:ascii="Times New Roman" w:hAnsi="Times New Roman" w:cs="Times New Roman"/>
          <w:sz w:val="24"/>
          <w:szCs w:val="24"/>
        </w:rPr>
        <w:t xml:space="preserve"> in building constituencies among States, PMSCs, civil society organizations and international organizations</w:t>
      </w:r>
      <w:r w:rsidR="00102271">
        <w:rPr>
          <w:rFonts w:ascii="Times New Roman" w:hAnsi="Times New Roman" w:cs="Times New Roman"/>
          <w:sz w:val="24"/>
          <w:szCs w:val="24"/>
        </w:rPr>
        <w:t xml:space="preserve"> and in developing </w:t>
      </w:r>
      <w:r w:rsidR="00BD43D6">
        <w:rPr>
          <w:rFonts w:ascii="Times New Roman" w:hAnsi="Times New Roman" w:cs="Times New Roman"/>
          <w:sz w:val="24"/>
          <w:szCs w:val="24"/>
        </w:rPr>
        <w:t>best practices,</w:t>
      </w:r>
      <w:r w:rsidR="00332C94">
        <w:rPr>
          <w:rFonts w:ascii="Times New Roman" w:hAnsi="Times New Roman" w:cs="Times New Roman"/>
          <w:sz w:val="24"/>
          <w:szCs w:val="24"/>
        </w:rPr>
        <w:t xml:space="preserve"> regulations and</w:t>
      </w:r>
      <w:r w:rsidR="00102271">
        <w:rPr>
          <w:rFonts w:ascii="Times New Roman" w:hAnsi="Times New Roman" w:cs="Times New Roman"/>
          <w:sz w:val="24"/>
          <w:szCs w:val="24"/>
        </w:rPr>
        <w:t xml:space="preserve"> procedures (</w:t>
      </w:r>
      <w:r w:rsidR="00BD43D6">
        <w:rPr>
          <w:rFonts w:ascii="Times New Roman" w:hAnsi="Times New Roman" w:cs="Times New Roman"/>
          <w:sz w:val="24"/>
          <w:szCs w:val="24"/>
        </w:rPr>
        <w:t>for example, the</w:t>
      </w:r>
      <w:r w:rsidR="00102271">
        <w:rPr>
          <w:rFonts w:ascii="Times New Roman" w:hAnsi="Times New Roman" w:cs="Times New Roman"/>
          <w:sz w:val="24"/>
          <w:szCs w:val="24"/>
        </w:rPr>
        <w:t xml:space="preserve"> certification and complaints mechanisms for the ICOC in particular)</w:t>
      </w:r>
      <w:r w:rsidR="00BD43D6">
        <w:rPr>
          <w:rFonts w:ascii="Times New Roman" w:hAnsi="Times New Roman" w:cs="Times New Roman"/>
          <w:sz w:val="24"/>
          <w:szCs w:val="24"/>
        </w:rPr>
        <w:t>.</w:t>
      </w:r>
      <w:r w:rsidR="00102271">
        <w:rPr>
          <w:rFonts w:ascii="Times New Roman" w:hAnsi="Times New Roman" w:cs="Times New Roman"/>
          <w:sz w:val="24"/>
          <w:szCs w:val="24"/>
        </w:rPr>
        <w:t xml:space="preserve"> </w:t>
      </w:r>
      <w:r w:rsidR="00BD43D6">
        <w:rPr>
          <w:rFonts w:ascii="Times New Roman" w:hAnsi="Times New Roman" w:cs="Times New Roman"/>
          <w:sz w:val="24"/>
          <w:szCs w:val="24"/>
        </w:rPr>
        <w:t xml:space="preserve">Analysis of these initiatives, along with existing national legislation, confirms </w:t>
      </w:r>
      <w:r w:rsidR="00102271">
        <w:rPr>
          <w:rFonts w:ascii="Times New Roman" w:hAnsi="Times New Roman" w:cs="Times New Roman"/>
          <w:sz w:val="24"/>
          <w:szCs w:val="24"/>
        </w:rPr>
        <w:t xml:space="preserve">the </w:t>
      </w:r>
      <w:r w:rsidR="00BD43D6">
        <w:rPr>
          <w:rFonts w:ascii="Times New Roman" w:hAnsi="Times New Roman" w:cs="Times New Roman"/>
          <w:sz w:val="24"/>
          <w:szCs w:val="24"/>
        </w:rPr>
        <w:t>need for</w:t>
      </w:r>
      <w:r w:rsidR="00F20118">
        <w:rPr>
          <w:rFonts w:ascii="Times New Roman" w:hAnsi="Times New Roman" w:cs="Times New Roman"/>
          <w:sz w:val="24"/>
          <w:szCs w:val="24"/>
        </w:rPr>
        <w:t xml:space="preserve"> an international legally binding instrument </w:t>
      </w:r>
      <w:r w:rsidR="0073297F">
        <w:rPr>
          <w:rFonts w:ascii="Times New Roman" w:hAnsi="Times New Roman" w:cs="Times New Roman"/>
          <w:sz w:val="24"/>
          <w:szCs w:val="24"/>
        </w:rPr>
        <w:t xml:space="preserve">to </w:t>
      </w:r>
      <w:r w:rsidR="00BD43D6">
        <w:rPr>
          <w:rFonts w:ascii="Times New Roman" w:hAnsi="Times New Roman" w:cs="Times New Roman"/>
          <w:sz w:val="24"/>
          <w:szCs w:val="24"/>
        </w:rPr>
        <w:t xml:space="preserve">plug </w:t>
      </w:r>
      <w:r w:rsidR="0073297F">
        <w:rPr>
          <w:rFonts w:ascii="Times New Roman" w:hAnsi="Times New Roman" w:cs="Times New Roman"/>
          <w:sz w:val="24"/>
          <w:szCs w:val="24"/>
        </w:rPr>
        <w:t xml:space="preserve">gaps in accountability and </w:t>
      </w:r>
      <w:r w:rsidR="00BD43D6">
        <w:rPr>
          <w:rFonts w:ascii="Times New Roman" w:hAnsi="Times New Roman" w:cs="Times New Roman"/>
          <w:sz w:val="24"/>
          <w:szCs w:val="24"/>
        </w:rPr>
        <w:t>availability of</w:t>
      </w:r>
      <w:r w:rsidR="0073297F">
        <w:rPr>
          <w:rFonts w:ascii="Times New Roman" w:hAnsi="Times New Roman" w:cs="Times New Roman"/>
          <w:sz w:val="24"/>
          <w:szCs w:val="24"/>
        </w:rPr>
        <w:t xml:space="preserve"> effective remedies for victims of human rights violations.</w:t>
      </w:r>
      <w:r w:rsidR="00F20118">
        <w:rPr>
          <w:rFonts w:ascii="Times New Roman" w:hAnsi="Times New Roman" w:cs="Times New Roman"/>
          <w:sz w:val="24"/>
          <w:szCs w:val="24"/>
        </w:rPr>
        <w:t xml:space="preserve"> </w:t>
      </w:r>
    </w:p>
    <w:p w:rsidR="003E5F0F" w:rsidRDefault="003E5F0F" w:rsidP="00997008">
      <w:pPr>
        <w:spacing w:after="0" w:line="360" w:lineRule="auto"/>
        <w:jc w:val="both"/>
        <w:rPr>
          <w:rFonts w:ascii="Times New Roman" w:hAnsi="Times New Roman" w:cs="Times New Roman"/>
          <w:sz w:val="24"/>
          <w:szCs w:val="24"/>
        </w:rPr>
      </w:pPr>
    </w:p>
    <w:p w:rsidR="00365B41" w:rsidRDefault="00F20118"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important </w:t>
      </w:r>
      <w:r w:rsidR="00332C94">
        <w:rPr>
          <w:rFonts w:ascii="Times New Roman" w:hAnsi="Times New Roman" w:cs="Times New Roman"/>
          <w:sz w:val="24"/>
          <w:szCs w:val="24"/>
        </w:rPr>
        <w:t xml:space="preserve">progress </w:t>
      </w:r>
      <w:r>
        <w:rPr>
          <w:rFonts w:ascii="Times New Roman" w:hAnsi="Times New Roman" w:cs="Times New Roman"/>
          <w:sz w:val="24"/>
          <w:szCs w:val="24"/>
        </w:rPr>
        <w:t xml:space="preserve">has been made in accumulating support for self-regulation among States and companies, the Montreux Document and ICOC cannot in themselves ensure comprehensive accountability for human rights violations and remedies to victims. We believe that only clear legal norms backed by </w:t>
      </w:r>
      <w:r w:rsidR="004A3C71">
        <w:rPr>
          <w:rFonts w:ascii="Times New Roman" w:hAnsi="Times New Roman" w:cs="Times New Roman"/>
          <w:sz w:val="24"/>
          <w:szCs w:val="24"/>
        </w:rPr>
        <w:t>state enforcement can do this</w:t>
      </w:r>
      <w:r w:rsidR="00365B41">
        <w:rPr>
          <w:rFonts w:ascii="Times New Roman" w:hAnsi="Times New Roman" w:cs="Times New Roman"/>
          <w:sz w:val="24"/>
          <w:szCs w:val="24"/>
        </w:rPr>
        <w:t xml:space="preserve">. </w:t>
      </w:r>
    </w:p>
    <w:p w:rsidR="00365B41" w:rsidRDefault="00365B41" w:rsidP="00997008">
      <w:pPr>
        <w:spacing w:after="0" w:line="360" w:lineRule="auto"/>
        <w:jc w:val="both"/>
        <w:rPr>
          <w:rFonts w:ascii="Times New Roman" w:hAnsi="Times New Roman" w:cs="Times New Roman"/>
          <w:sz w:val="24"/>
          <w:szCs w:val="24"/>
        </w:rPr>
      </w:pPr>
    </w:p>
    <w:p w:rsidR="004A3C71" w:rsidRDefault="001852B7"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Certainly the</w:t>
      </w:r>
      <w:r w:rsidR="00365B41">
        <w:rPr>
          <w:rFonts w:ascii="Times New Roman" w:hAnsi="Times New Roman" w:cs="Times New Roman"/>
          <w:sz w:val="24"/>
          <w:szCs w:val="24"/>
        </w:rPr>
        <w:t xml:space="preserve"> Montreux Document encompasses international human rights and humanitarian law standards that S</w:t>
      </w:r>
      <w:r w:rsidR="00DF1D9F">
        <w:rPr>
          <w:rFonts w:ascii="Times New Roman" w:hAnsi="Times New Roman" w:cs="Times New Roman"/>
          <w:sz w:val="24"/>
          <w:szCs w:val="24"/>
        </w:rPr>
        <w:t>tates are obligated to adhere to.</w:t>
      </w:r>
      <w:r w:rsidR="00BA587A">
        <w:rPr>
          <w:rFonts w:ascii="Times New Roman" w:hAnsi="Times New Roman" w:cs="Times New Roman"/>
          <w:sz w:val="24"/>
          <w:szCs w:val="24"/>
        </w:rPr>
        <w:t xml:space="preserve"> </w:t>
      </w:r>
      <w:r w:rsidR="004A3C71">
        <w:rPr>
          <w:rFonts w:ascii="Times New Roman" w:hAnsi="Times New Roman" w:cs="Times New Roman"/>
          <w:sz w:val="24"/>
          <w:szCs w:val="24"/>
        </w:rPr>
        <w:t>H</w:t>
      </w:r>
      <w:r>
        <w:rPr>
          <w:rFonts w:ascii="Times New Roman" w:hAnsi="Times New Roman" w:cs="Times New Roman"/>
          <w:sz w:val="24"/>
          <w:szCs w:val="24"/>
        </w:rPr>
        <w:t xml:space="preserve">owever, it </w:t>
      </w:r>
      <w:r w:rsidR="00BA587A">
        <w:rPr>
          <w:rFonts w:ascii="Times New Roman" w:hAnsi="Times New Roman" w:cs="Times New Roman"/>
          <w:sz w:val="24"/>
          <w:szCs w:val="24"/>
        </w:rPr>
        <w:t>refers to existing IHL standards stipulated in the Geneva Convention</w:t>
      </w:r>
      <w:r w:rsidR="00332C94">
        <w:rPr>
          <w:rFonts w:ascii="Times New Roman" w:hAnsi="Times New Roman" w:cs="Times New Roman"/>
          <w:sz w:val="24"/>
          <w:szCs w:val="24"/>
        </w:rPr>
        <w:t>s</w:t>
      </w:r>
      <w:r w:rsidR="004A3C71">
        <w:rPr>
          <w:rFonts w:ascii="Times New Roman" w:hAnsi="Times New Roman" w:cs="Times New Roman"/>
          <w:sz w:val="24"/>
          <w:szCs w:val="24"/>
        </w:rPr>
        <w:t xml:space="preserve"> and</w:t>
      </w:r>
      <w:r w:rsidR="00BA587A">
        <w:rPr>
          <w:rFonts w:ascii="Times New Roman" w:hAnsi="Times New Roman" w:cs="Times New Roman"/>
          <w:sz w:val="24"/>
          <w:szCs w:val="24"/>
        </w:rPr>
        <w:t xml:space="preserve"> </w:t>
      </w:r>
      <w:r>
        <w:rPr>
          <w:rFonts w:ascii="Times New Roman" w:hAnsi="Times New Roman" w:cs="Times New Roman"/>
          <w:sz w:val="24"/>
          <w:szCs w:val="24"/>
        </w:rPr>
        <w:t xml:space="preserve">thus </w:t>
      </w:r>
      <w:r w:rsidR="00BA587A">
        <w:rPr>
          <w:rFonts w:ascii="Times New Roman" w:hAnsi="Times New Roman" w:cs="Times New Roman"/>
          <w:sz w:val="24"/>
          <w:szCs w:val="24"/>
        </w:rPr>
        <w:t>only applies to situations of armed conflict.</w:t>
      </w:r>
      <w:r w:rsidR="00276007">
        <w:rPr>
          <w:rFonts w:ascii="Times New Roman" w:hAnsi="Times New Roman" w:cs="Times New Roman"/>
          <w:sz w:val="24"/>
          <w:szCs w:val="24"/>
        </w:rPr>
        <w:t xml:space="preserve"> </w:t>
      </w:r>
    </w:p>
    <w:p w:rsidR="00DC16EE" w:rsidRDefault="00DC16EE" w:rsidP="00997008">
      <w:pPr>
        <w:spacing w:after="0" w:line="360" w:lineRule="auto"/>
        <w:jc w:val="both"/>
        <w:rPr>
          <w:rFonts w:ascii="Times New Roman" w:hAnsi="Times New Roman" w:cs="Times New Roman"/>
          <w:sz w:val="24"/>
          <w:szCs w:val="24"/>
        </w:rPr>
      </w:pPr>
    </w:p>
    <w:p w:rsidR="004A3C71" w:rsidRDefault="00774187"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Yet we all understand that PMSCs perform many activities outs</w:t>
      </w:r>
      <w:r w:rsidR="00DF1D9F">
        <w:rPr>
          <w:rFonts w:ascii="Times New Roman" w:hAnsi="Times New Roman" w:cs="Times New Roman"/>
          <w:sz w:val="24"/>
          <w:szCs w:val="24"/>
        </w:rPr>
        <w:t>ide of armed conflicts</w:t>
      </w:r>
      <w:r>
        <w:rPr>
          <w:rFonts w:ascii="Times New Roman" w:hAnsi="Times New Roman" w:cs="Times New Roman"/>
          <w:sz w:val="24"/>
          <w:szCs w:val="24"/>
        </w:rPr>
        <w:t>: they protect mines and oil refineries, work extensively within the extractive industry;</w:t>
      </w:r>
      <w:r w:rsidR="004A3C71">
        <w:rPr>
          <w:rFonts w:ascii="Times New Roman" w:hAnsi="Times New Roman" w:cs="Times New Roman"/>
          <w:sz w:val="24"/>
          <w:szCs w:val="24"/>
        </w:rPr>
        <w:t xml:space="preserve"> for example,</w:t>
      </w:r>
      <w:r>
        <w:rPr>
          <w:rFonts w:ascii="Times New Roman" w:hAnsi="Times New Roman" w:cs="Times New Roman"/>
          <w:sz w:val="24"/>
          <w:szCs w:val="24"/>
        </w:rPr>
        <w:t xml:space="preserve"> they participate in drug eradication efforts, they train national security forces and ca</w:t>
      </w:r>
      <w:r w:rsidR="00DF1D9F">
        <w:rPr>
          <w:rFonts w:ascii="Times New Roman" w:hAnsi="Times New Roman" w:cs="Times New Roman"/>
          <w:sz w:val="24"/>
          <w:szCs w:val="24"/>
        </w:rPr>
        <w:t xml:space="preserve">rry out </w:t>
      </w:r>
      <w:r w:rsidR="00DF1D9F">
        <w:rPr>
          <w:rFonts w:ascii="Times New Roman" w:hAnsi="Times New Roman" w:cs="Times New Roman"/>
          <w:sz w:val="24"/>
          <w:szCs w:val="24"/>
        </w:rPr>
        <w:lastRenderedPageBreak/>
        <w:t>intelligence operations.</w:t>
      </w:r>
      <w:r w:rsidR="00234680">
        <w:rPr>
          <w:rFonts w:ascii="Times New Roman" w:hAnsi="Times New Roman" w:cs="Times New Roman"/>
          <w:sz w:val="24"/>
          <w:szCs w:val="24"/>
        </w:rPr>
        <w:t xml:space="preserve"> In increasing numbers, we are also seeing PMSCs operate in detention centres such as those for migrants</w:t>
      </w:r>
      <w:r w:rsidR="004A3C71">
        <w:rPr>
          <w:rFonts w:ascii="Times New Roman" w:hAnsi="Times New Roman" w:cs="Times New Roman"/>
          <w:sz w:val="24"/>
          <w:szCs w:val="24"/>
        </w:rPr>
        <w:t xml:space="preserve"> in various parts of the world</w:t>
      </w:r>
      <w:r w:rsidR="00234680">
        <w:rPr>
          <w:rFonts w:ascii="Times New Roman" w:hAnsi="Times New Roman" w:cs="Times New Roman"/>
          <w:sz w:val="24"/>
          <w:szCs w:val="24"/>
        </w:rPr>
        <w:t xml:space="preserve">. </w:t>
      </w:r>
      <w:r w:rsidR="00D7324B">
        <w:rPr>
          <w:rFonts w:ascii="Times New Roman" w:hAnsi="Times New Roman" w:cs="Times New Roman"/>
          <w:sz w:val="24"/>
          <w:szCs w:val="24"/>
        </w:rPr>
        <w:t xml:space="preserve"> </w:t>
      </w:r>
    </w:p>
    <w:p w:rsidR="004A3C71" w:rsidRDefault="004A3C71" w:rsidP="00997008">
      <w:pPr>
        <w:spacing w:after="0" w:line="360" w:lineRule="auto"/>
        <w:jc w:val="both"/>
        <w:rPr>
          <w:rFonts w:ascii="Times New Roman" w:hAnsi="Times New Roman" w:cs="Times New Roman"/>
          <w:sz w:val="24"/>
          <w:szCs w:val="24"/>
        </w:rPr>
      </w:pPr>
    </w:p>
    <w:p w:rsidR="00276007" w:rsidRDefault="00D367F1"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incorporation of best practices in</w:t>
      </w:r>
      <w:r w:rsidR="00836E45">
        <w:rPr>
          <w:rFonts w:ascii="Times New Roman" w:hAnsi="Times New Roman" w:cs="Times New Roman"/>
          <w:sz w:val="24"/>
          <w:szCs w:val="24"/>
        </w:rPr>
        <w:t xml:space="preserve"> the</w:t>
      </w:r>
      <w:r w:rsidR="001D4316">
        <w:rPr>
          <w:rFonts w:ascii="Times New Roman" w:hAnsi="Times New Roman" w:cs="Times New Roman"/>
          <w:sz w:val="24"/>
          <w:szCs w:val="24"/>
        </w:rPr>
        <w:t xml:space="preserve"> Montreux Document</w:t>
      </w:r>
      <w:r>
        <w:rPr>
          <w:rFonts w:ascii="Times New Roman" w:hAnsi="Times New Roman" w:cs="Times New Roman"/>
          <w:sz w:val="24"/>
          <w:szCs w:val="24"/>
        </w:rPr>
        <w:t xml:space="preserve"> provides valuable guidance. However, </w:t>
      </w:r>
      <w:r w:rsidR="00836E45">
        <w:rPr>
          <w:rFonts w:ascii="Times New Roman" w:hAnsi="Times New Roman" w:cs="Times New Roman"/>
          <w:sz w:val="24"/>
          <w:szCs w:val="24"/>
        </w:rPr>
        <w:t xml:space="preserve">due to its voluntary </w:t>
      </w:r>
      <w:r>
        <w:rPr>
          <w:rFonts w:ascii="Times New Roman" w:hAnsi="Times New Roman" w:cs="Times New Roman"/>
          <w:sz w:val="24"/>
          <w:szCs w:val="24"/>
        </w:rPr>
        <w:t>nature, it is also</w:t>
      </w:r>
      <w:r w:rsidR="00836E45">
        <w:rPr>
          <w:rFonts w:ascii="Times New Roman" w:hAnsi="Times New Roman" w:cs="Times New Roman"/>
          <w:sz w:val="24"/>
          <w:szCs w:val="24"/>
        </w:rPr>
        <w:t xml:space="preserve"> non-binding</w:t>
      </w:r>
      <w:r w:rsidR="00D7324B">
        <w:rPr>
          <w:rFonts w:ascii="Times New Roman" w:hAnsi="Times New Roman" w:cs="Times New Roman"/>
          <w:sz w:val="24"/>
          <w:szCs w:val="24"/>
        </w:rPr>
        <w:t xml:space="preserve">. </w:t>
      </w:r>
      <w:r w:rsidR="00836E45">
        <w:rPr>
          <w:rFonts w:ascii="Times New Roman" w:hAnsi="Times New Roman" w:cs="Times New Roman"/>
          <w:sz w:val="24"/>
          <w:szCs w:val="24"/>
        </w:rPr>
        <w:t xml:space="preserve"> Further,</w:t>
      </w:r>
      <w:r w:rsidR="00D7324B">
        <w:rPr>
          <w:rFonts w:ascii="Times New Roman" w:hAnsi="Times New Roman" w:cs="Times New Roman"/>
          <w:sz w:val="24"/>
          <w:szCs w:val="24"/>
        </w:rPr>
        <w:t xml:space="preserve"> mandatory accountability measures are very narrow where human rights violations are concerned.  </w:t>
      </w:r>
      <w:r w:rsidR="001D4316">
        <w:rPr>
          <w:rFonts w:ascii="Times New Roman" w:hAnsi="Times New Roman" w:cs="Times New Roman"/>
          <w:sz w:val="24"/>
          <w:szCs w:val="24"/>
        </w:rPr>
        <w:t>Important issues that need consideration which may be problematic with the Montreux Document</w:t>
      </w:r>
      <w:r w:rsidR="003D62C9">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1D4316">
        <w:rPr>
          <w:rFonts w:ascii="Times New Roman" w:hAnsi="Times New Roman" w:cs="Times New Roman"/>
          <w:sz w:val="24"/>
          <w:szCs w:val="24"/>
        </w:rPr>
        <w:t>relate to extra-territoriality and jurisdictional concerns particularly where companies</w:t>
      </w:r>
      <w:r>
        <w:rPr>
          <w:rFonts w:ascii="Times New Roman" w:hAnsi="Times New Roman" w:cs="Times New Roman"/>
          <w:sz w:val="24"/>
          <w:szCs w:val="24"/>
        </w:rPr>
        <w:t xml:space="preserve"> are based in one country but have</w:t>
      </w:r>
      <w:r w:rsidR="001D4316">
        <w:rPr>
          <w:rFonts w:ascii="Times New Roman" w:hAnsi="Times New Roman" w:cs="Times New Roman"/>
          <w:sz w:val="24"/>
          <w:szCs w:val="24"/>
        </w:rPr>
        <w:t xml:space="preserve"> contractual and operational services in various others.</w:t>
      </w:r>
      <w:r w:rsidR="00DC16EE">
        <w:rPr>
          <w:rFonts w:ascii="Times New Roman" w:hAnsi="Times New Roman" w:cs="Times New Roman"/>
          <w:sz w:val="24"/>
          <w:szCs w:val="24"/>
        </w:rPr>
        <w:t xml:space="preserve"> I</w:t>
      </w:r>
      <w:r w:rsidR="00276007">
        <w:rPr>
          <w:rFonts w:ascii="Times New Roman" w:hAnsi="Times New Roman" w:cs="Times New Roman"/>
          <w:sz w:val="24"/>
          <w:szCs w:val="24"/>
        </w:rPr>
        <w:t xml:space="preserve">t is also </w:t>
      </w:r>
      <w:r w:rsidR="00DC16EE">
        <w:rPr>
          <w:rFonts w:ascii="Times New Roman" w:hAnsi="Times New Roman" w:cs="Times New Roman"/>
          <w:sz w:val="24"/>
          <w:szCs w:val="24"/>
        </w:rPr>
        <w:t>important to note that IHL only requires States to criminalise a very narrow set of IHL violations. The Geneva Convention standards which are incorporated into the Montreux Document only require prosecution and extradition if violations are defined as grave breaches.</w:t>
      </w:r>
      <w:r w:rsidR="001B66D2">
        <w:rPr>
          <w:rFonts w:ascii="Times New Roman" w:hAnsi="Times New Roman" w:cs="Times New Roman"/>
          <w:sz w:val="24"/>
          <w:szCs w:val="24"/>
        </w:rPr>
        <w:t xml:space="preserve"> What’s more, the grave breach regime applies only to international armed conflicts and the vast majority of armed conflicts today are non-international.</w:t>
      </w:r>
    </w:p>
    <w:p w:rsidR="00276007" w:rsidRDefault="00276007" w:rsidP="00997008">
      <w:pPr>
        <w:spacing w:after="0" w:line="360" w:lineRule="auto"/>
        <w:jc w:val="both"/>
        <w:rPr>
          <w:rFonts w:ascii="Times New Roman" w:hAnsi="Times New Roman" w:cs="Times New Roman"/>
          <w:sz w:val="24"/>
          <w:szCs w:val="24"/>
        </w:rPr>
      </w:pPr>
    </w:p>
    <w:p w:rsidR="003D62C9" w:rsidRDefault="00276007"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issues are complex but require thorough consideration given the human rights risks that PMSC operations pose and </w:t>
      </w:r>
      <w:r w:rsidR="00332C94">
        <w:rPr>
          <w:rFonts w:ascii="Times New Roman" w:hAnsi="Times New Roman" w:cs="Times New Roman"/>
          <w:sz w:val="24"/>
          <w:szCs w:val="24"/>
        </w:rPr>
        <w:t xml:space="preserve">also as </w:t>
      </w:r>
      <w:r>
        <w:rPr>
          <w:rFonts w:ascii="Times New Roman" w:hAnsi="Times New Roman" w:cs="Times New Roman"/>
          <w:sz w:val="24"/>
          <w:szCs w:val="24"/>
        </w:rPr>
        <w:t>many</w:t>
      </w:r>
      <w:r w:rsidR="00332C94">
        <w:rPr>
          <w:rFonts w:ascii="Times New Roman" w:hAnsi="Times New Roman" w:cs="Times New Roman"/>
          <w:sz w:val="24"/>
          <w:szCs w:val="24"/>
        </w:rPr>
        <w:t xml:space="preserve"> companies</w:t>
      </w:r>
      <w:r>
        <w:rPr>
          <w:rFonts w:ascii="Times New Roman" w:hAnsi="Times New Roman" w:cs="Times New Roman"/>
          <w:sz w:val="24"/>
          <w:szCs w:val="24"/>
        </w:rPr>
        <w:t xml:space="preserve"> are increasingly engaging in activities that can involve the use of force.</w:t>
      </w:r>
    </w:p>
    <w:p w:rsidR="00276007" w:rsidRDefault="00276007" w:rsidP="00276007">
      <w:pPr>
        <w:spacing w:after="0" w:line="360" w:lineRule="auto"/>
        <w:jc w:val="both"/>
        <w:rPr>
          <w:rFonts w:ascii="Times New Roman" w:hAnsi="Times New Roman" w:cs="Times New Roman"/>
          <w:sz w:val="24"/>
          <w:szCs w:val="24"/>
        </w:rPr>
      </w:pPr>
    </w:p>
    <w:p w:rsidR="00276007" w:rsidRDefault="00276007" w:rsidP="00276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voluntary nature of self-regulation means that only States and companies willing to be part of the process will be covered. ICOC </w:t>
      </w:r>
      <w:r w:rsidR="001B66D2">
        <w:rPr>
          <w:rFonts w:ascii="Times New Roman" w:hAnsi="Times New Roman" w:cs="Times New Roman"/>
          <w:sz w:val="24"/>
          <w:szCs w:val="24"/>
        </w:rPr>
        <w:t>membership will hopefully</w:t>
      </w:r>
      <w:r>
        <w:rPr>
          <w:rFonts w:ascii="Times New Roman" w:hAnsi="Times New Roman" w:cs="Times New Roman"/>
          <w:sz w:val="24"/>
          <w:szCs w:val="24"/>
        </w:rPr>
        <w:t xml:space="preserve"> grow in the coming years. However, there is a likelihood that smaller or less resourced companies would not be able to fulfil the requirements for membership and thus will not be obliged to adhere to ICOC standards.  Further, unless </w:t>
      </w:r>
      <w:r w:rsidR="001B66D2">
        <w:rPr>
          <w:rFonts w:ascii="Times New Roman" w:hAnsi="Times New Roman" w:cs="Times New Roman"/>
          <w:sz w:val="24"/>
          <w:szCs w:val="24"/>
        </w:rPr>
        <w:t xml:space="preserve">home </w:t>
      </w:r>
      <w:r>
        <w:rPr>
          <w:rFonts w:ascii="Times New Roman" w:hAnsi="Times New Roman" w:cs="Times New Roman"/>
          <w:sz w:val="24"/>
          <w:szCs w:val="24"/>
        </w:rPr>
        <w:t>States</w:t>
      </w:r>
      <w:r w:rsidR="001B66D2">
        <w:rPr>
          <w:rFonts w:ascii="Times New Roman" w:hAnsi="Times New Roman" w:cs="Times New Roman"/>
          <w:sz w:val="24"/>
          <w:szCs w:val="24"/>
        </w:rPr>
        <w:t>, contracting States and territorial States</w:t>
      </w:r>
      <w:r>
        <w:rPr>
          <w:rFonts w:ascii="Times New Roman" w:hAnsi="Times New Roman" w:cs="Times New Roman"/>
          <w:sz w:val="24"/>
          <w:szCs w:val="24"/>
        </w:rPr>
        <w:t xml:space="preserve"> require companies to be members </w:t>
      </w:r>
      <w:r w:rsidR="001B66D2">
        <w:rPr>
          <w:rFonts w:ascii="Times New Roman" w:hAnsi="Times New Roman" w:cs="Times New Roman"/>
          <w:sz w:val="24"/>
          <w:szCs w:val="24"/>
        </w:rPr>
        <w:t>in good standing,</w:t>
      </w:r>
      <w:r>
        <w:rPr>
          <w:rFonts w:ascii="Times New Roman" w:hAnsi="Times New Roman" w:cs="Times New Roman"/>
          <w:sz w:val="24"/>
          <w:szCs w:val="24"/>
        </w:rPr>
        <w:t xml:space="preserve"> the ICOC</w:t>
      </w:r>
      <w:r w:rsidR="001B66D2">
        <w:rPr>
          <w:rFonts w:ascii="Times New Roman" w:hAnsi="Times New Roman" w:cs="Times New Roman"/>
          <w:sz w:val="24"/>
          <w:szCs w:val="24"/>
        </w:rPr>
        <w:t>, provides no</w:t>
      </w:r>
      <w:r>
        <w:rPr>
          <w:rFonts w:ascii="Times New Roman" w:hAnsi="Times New Roman" w:cs="Times New Roman"/>
          <w:sz w:val="24"/>
          <w:szCs w:val="24"/>
        </w:rPr>
        <w:t xml:space="preserve"> real framework for accountability in the event human rights abuses or violations occur. Associations do not sanction human rights violations. It is States that need to do this in order to ensure effective remedies are provided for victims. For the most part, </w:t>
      </w:r>
      <w:r w:rsidR="00046827">
        <w:rPr>
          <w:rFonts w:ascii="Times New Roman" w:hAnsi="Times New Roman" w:cs="Times New Roman"/>
          <w:sz w:val="24"/>
          <w:szCs w:val="24"/>
        </w:rPr>
        <w:t xml:space="preserve">States do not require ICOC membership and </w:t>
      </w:r>
      <w:r>
        <w:rPr>
          <w:rFonts w:ascii="Times New Roman" w:hAnsi="Times New Roman" w:cs="Times New Roman"/>
          <w:sz w:val="24"/>
          <w:szCs w:val="24"/>
        </w:rPr>
        <w:t>the only real sanction that companies may face is a loss of membership</w:t>
      </w:r>
      <w:r w:rsidR="00046827">
        <w:rPr>
          <w:rFonts w:ascii="Times New Roman" w:hAnsi="Times New Roman" w:cs="Times New Roman"/>
          <w:sz w:val="24"/>
          <w:szCs w:val="24"/>
        </w:rPr>
        <w:t>.</w:t>
      </w:r>
      <w:r>
        <w:rPr>
          <w:rFonts w:ascii="Times New Roman" w:hAnsi="Times New Roman" w:cs="Times New Roman"/>
          <w:sz w:val="24"/>
          <w:szCs w:val="24"/>
        </w:rPr>
        <w:t xml:space="preserve"> However, this does not translate to effective remedies for victims. </w:t>
      </w:r>
    </w:p>
    <w:p w:rsidR="00276007" w:rsidRPr="003D62C9" w:rsidRDefault="00276007" w:rsidP="00997008">
      <w:pPr>
        <w:spacing w:after="0" w:line="360" w:lineRule="auto"/>
        <w:jc w:val="both"/>
        <w:rPr>
          <w:rFonts w:ascii="Times New Roman" w:hAnsi="Times New Roman" w:cs="Times New Roman"/>
          <w:sz w:val="24"/>
          <w:szCs w:val="24"/>
        </w:rPr>
      </w:pPr>
    </w:p>
    <w:p w:rsidR="00BC1E7E" w:rsidRPr="00BC1E7E" w:rsidRDefault="00BC1E7E"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points</w:t>
      </w:r>
      <w:r w:rsidR="003D62C9">
        <w:rPr>
          <w:rFonts w:ascii="Times New Roman" w:hAnsi="Times New Roman" w:cs="Times New Roman"/>
          <w:sz w:val="24"/>
          <w:szCs w:val="24"/>
        </w:rPr>
        <w:t xml:space="preserve"> I have mentioned</w:t>
      </w:r>
      <w:r w:rsidR="00D367F1">
        <w:rPr>
          <w:rFonts w:ascii="Times New Roman" w:hAnsi="Times New Roman" w:cs="Times New Roman"/>
          <w:sz w:val="24"/>
          <w:szCs w:val="24"/>
        </w:rPr>
        <w:t xml:space="preserve"> continue to</w:t>
      </w:r>
      <w:r>
        <w:rPr>
          <w:rFonts w:ascii="Times New Roman" w:hAnsi="Times New Roman" w:cs="Times New Roman"/>
          <w:sz w:val="24"/>
          <w:szCs w:val="24"/>
        </w:rPr>
        <w:t xml:space="preserve"> highlight the essential issue on which the Working Group bases its support for an international binding instrument to regulate PMSC activities, </w:t>
      </w:r>
      <w:r>
        <w:rPr>
          <w:rFonts w:ascii="Times New Roman" w:hAnsi="Times New Roman" w:cs="Times New Roman"/>
          <w:sz w:val="24"/>
          <w:szCs w:val="24"/>
        </w:rPr>
        <w:lastRenderedPageBreak/>
        <w:t xml:space="preserve">which is the lack of existing strong accountability framework and the lack of mechanisms by which victims of human rights violations can access effective remedies. </w:t>
      </w:r>
    </w:p>
    <w:p w:rsidR="00365B41" w:rsidRDefault="00365B41" w:rsidP="00997008">
      <w:pPr>
        <w:spacing w:after="0" w:line="360" w:lineRule="auto"/>
        <w:jc w:val="both"/>
        <w:rPr>
          <w:rFonts w:ascii="Times New Roman" w:hAnsi="Times New Roman" w:cs="Times New Roman"/>
          <w:b/>
          <w:sz w:val="24"/>
          <w:szCs w:val="24"/>
        </w:rPr>
      </w:pPr>
    </w:p>
    <w:p w:rsidR="00F20118" w:rsidRPr="00BC1E7E" w:rsidRDefault="00BC1E7E" w:rsidP="0099700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Elements for a legally binding instrument </w:t>
      </w:r>
    </w:p>
    <w:p w:rsidR="00C05F8D" w:rsidRDefault="00C05F8D" w:rsidP="00997008">
      <w:pPr>
        <w:spacing w:after="0" w:line="360" w:lineRule="auto"/>
        <w:jc w:val="both"/>
        <w:rPr>
          <w:rFonts w:ascii="Times New Roman" w:hAnsi="Times New Roman" w:cs="Times New Roman"/>
          <w:sz w:val="24"/>
          <w:szCs w:val="24"/>
        </w:rPr>
      </w:pPr>
    </w:p>
    <w:p w:rsidR="00B91F41" w:rsidRDefault="00B91F41"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Madam Chairperson, without going into great detail, I wish to recall the concept note that </w:t>
      </w:r>
      <w:r w:rsidR="00046827">
        <w:rPr>
          <w:rFonts w:ascii="Times New Roman" w:hAnsi="Times New Roman" w:cs="Times New Roman"/>
          <w:sz w:val="24"/>
          <w:szCs w:val="24"/>
        </w:rPr>
        <w:t>The Mercenaries Working Group</w:t>
      </w:r>
      <w:r>
        <w:rPr>
          <w:rFonts w:ascii="Times New Roman" w:hAnsi="Times New Roman" w:cs="Times New Roman"/>
          <w:sz w:val="24"/>
          <w:szCs w:val="24"/>
        </w:rPr>
        <w:t xml:space="preserve"> presented to this forum in its fourth session last year, outlining the main elements which could inform the existing draft of a possible Convention on PMSCs. </w:t>
      </w:r>
      <w:r w:rsidR="00DC16EE">
        <w:rPr>
          <w:rFonts w:ascii="Times New Roman" w:hAnsi="Times New Roman" w:cs="Times New Roman"/>
          <w:sz w:val="24"/>
          <w:szCs w:val="24"/>
        </w:rPr>
        <w:t xml:space="preserve"> </w:t>
      </w:r>
      <w:r w:rsidR="00D367F1">
        <w:rPr>
          <w:rFonts w:ascii="Times New Roman" w:hAnsi="Times New Roman" w:cs="Times New Roman"/>
          <w:sz w:val="24"/>
          <w:szCs w:val="24"/>
        </w:rPr>
        <w:t xml:space="preserve">The Working Group believes these elements are significant and need to be addressed when discussing PMSC regulation. </w:t>
      </w:r>
    </w:p>
    <w:p w:rsidR="00532332" w:rsidRDefault="00532332" w:rsidP="00997008">
      <w:pPr>
        <w:spacing w:after="0" w:line="360" w:lineRule="auto"/>
        <w:jc w:val="both"/>
        <w:rPr>
          <w:rFonts w:ascii="Times New Roman" w:hAnsi="Times New Roman" w:cs="Times New Roman"/>
          <w:sz w:val="24"/>
          <w:szCs w:val="24"/>
        </w:rPr>
      </w:pPr>
    </w:p>
    <w:p w:rsidR="00532332" w:rsidRDefault="00532332"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w:t>
      </w:r>
      <w:r w:rsidR="00D367F1">
        <w:rPr>
          <w:rFonts w:ascii="Times New Roman" w:hAnsi="Times New Roman" w:cs="Times New Roman"/>
          <w:sz w:val="24"/>
          <w:szCs w:val="24"/>
        </w:rPr>
        <w:t>ept note provides guidance</w:t>
      </w:r>
      <w:r w:rsidR="00332C94">
        <w:rPr>
          <w:rFonts w:ascii="Times New Roman" w:hAnsi="Times New Roman" w:cs="Times New Roman"/>
          <w:sz w:val="24"/>
          <w:szCs w:val="24"/>
        </w:rPr>
        <w:t xml:space="preserve"> on</w:t>
      </w:r>
      <w:r>
        <w:rPr>
          <w:rFonts w:ascii="Times New Roman" w:hAnsi="Times New Roman" w:cs="Times New Roman"/>
          <w:sz w:val="24"/>
          <w:szCs w:val="24"/>
        </w:rPr>
        <w:t xml:space="preserve"> issues </w:t>
      </w:r>
      <w:r w:rsidR="00332C94">
        <w:rPr>
          <w:rFonts w:ascii="Times New Roman" w:hAnsi="Times New Roman" w:cs="Times New Roman"/>
          <w:sz w:val="24"/>
          <w:szCs w:val="24"/>
        </w:rPr>
        <w:t>including</w:t>
      </w:r>
      <w:r>
        <w:rPr>
          <w:rFonts w:ascii="Times New Roman" w:hAnsi="Times New Roman" w:cs="Times New Roman"/>
          <w:sz w:val="24"/>
          <w:szCs w:val="24"/>
        </w:rPr>
        <w:t xml:space="preserve"> inherent state functions</w:t>
      </w:r>
      <w:r w:rsidR="00046827">
        <w:rPr>
          <w:rFonts w:ascii="Times New Roman" w:hAnsi="Times New Roman" w:cs="Times New Roman"/>
          <w:sz w:val="24"/>
          <w:szCs w:val="24"/>
        </w:rPr>
        <w:t>,</w:t>
      </w:r>
      <w:r>
        <w:rPr>
          <w:rFonts w:ascii="Times New Roman" w:hAnsi="Times New Roman" w:cs="Times New Roman"/>
          <w:sz w:val="24"/>
          <w:szCs w:val="24"/>
        </w:rPr>
        <w:t xml:space="preserve"> noting that some State functions such as direct participation in hostilities in armed conflict, detention and interrogation of prisoners of war may not be outsourced.  The classification of service activity is also covered where services are identified by activities which increase the risk of human rights violations when undertaken by private actors. </w:t>
      </w:r>
      <w:r w:rsidR="00D367F1">
        <w:rPr>
          <w:rFonts w:ascii="Times New Roman" w:hAnsi="Times New Roman" w:cs="Times New Roman"/>
          <w:sz w:val="24"/>
          <w:szCs w:val="24"/>
        </w:rPr>
        <w:t>Classification</w:t>
      </w:r>
      <w:r>
        <w:rPr>
          <w:rFonts w:ascii="Times New Roman" w:hAnsi="Times New Roman" w:cs="Times New Roman"/>
          <w:sz w:val="24"/>
          <w:szCs w:val="24"/>
        </w:rPr>
        <w:t xml:space="preserve"> look</w:t>
      </w:r>
      <w:r w:rsidR="00D367F1">
        <w:rPr>
          <w:rFonts w:ascii="Times New Roman" w:hAnsi="Times New Roman" w:cs="Times New Roman"/>
          <w:sz w:val="24"/>
          <w:szCs w:val="24"/>
        </w:rPr>
        <w:t>s</w:t>
      </w:r>
      <w:r>
        <w:rPr>
          <w:rFonts w:ascii="Times New Roman" w:hAnsi="Times New Roman" w:cs="Times New Roman"/>
          <w:sz w:val="24"/>
          <w:szCs w:val="24"/>
        </w:rPr>
        <w:t xml:space="preserve"> into whether services are military in nature or not; whether service providers are armed or not and the different contexts in which these services are offered. These contexts are not restricted to armed conflict situations</w:t>
      </w:r>
      <w:r w:rsidR="00D367F1">
        <w:rPr>
          <w:rFonts w:ascii="Times New Roman" w:hAnsi="Times New Roman" w:cs="Times New Roman"/>
          <w:sz w:val="24"/>
          <w:szCs w:val="24"/>
        </w:rPr>
        <w:t xml:space="preserve"> and thus can cover any situation where PMSCs operate</w:t>
      </w:r>
      <w:r>
        <w:rPr>
          <w:rFonts w:ascii="Times New Roman" w:hAnsi="Times New Roman" w:cs="Times New Roman"/>
          <w:sz w:val="24"/>
          <w:szCs w:val="24"/>
        </w:rPr>
        <w:t xml:space="preserve">. </w:t>
      </w:r>
    </w:p>
    <w:p w:rsidR="00532332" w:rsidRDefault="00532332" w:rsidP="00997008">
      <w:pPr>
        <w:spacing w:after="0" w:line="360" w:lineRule="auto"/>
        <w:jc w:val="both"/>
        <w:rPr>
          <w:rFonts w:ascii="Times New Roman" w:hAnsi="Times New Roman" w:cs="Times New Roman"/>
          <w:sz w:val="24"/>
          <w:szCs w:val="24"/>
        </w:rPr>
      </w:pPr>
    </w:p>
    <w:p w:rsidR="00532332" w:rsidRDefault="00D367F1"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additional</w:t>
      </w:r>
      <w:r w:rsidR="00532332">
        <w:rPr>
          <w:rFonts w:ascii="Times New Roman" w:hAnsi="Times New Roman" w:cs="Times New Roman"/>
          <w:sz w:val="24"/>
          <w:szCs w:val="24"/>
        </w:rPr>
        <w:t xml:space="preserve"> important element which the Working Group puts forward is that inter-governmental organizations can also be party to </w:t>
      </w:r>
      <w:r>
        <w:rPr>
          <w:rFonts w:ascii="Times New Roman" w:hAnsi="Times New Roman" w:cs="Times New Roman"/>
          <w:sz w:val="24"/>
          <w:szCs w:val="24"/>
        </w:rPr>
        <w:t>a</w:t>
      </w:r>
      <w:r w:rsidR="00532332">
        <w:rPr>
          <w:rFonts w:ascii="Times New Roman" w:hAnsi="Times New Roman" w:cs="Times New Roman"/>
          <w:sz w:val="24"/>
          <w:szCs w:val="24"/>
        </w:rPr>
        <w:t xml:space="preserve"> Convention</w:t>
      </w:r>
      <w:r>
        <w:rPr>
          <w:rFonts w:ascii="Times New Roman" w:hAnsi="Times New Roman" w:cs="Times New Roman"/>
          <w:sz w:val="24"/>
          <w:szCs w:val="24"/>
        </w:rPr>
        <w:t xml:space="preserve"> on PMSCs,</w:t>
      </w:r>
      <w:r w:rsidR="00532332">
        <w:rPr>
          <w:rFonts w:ascii="Times New Roman" w:hAnsi="Times New Roman" w:cs="Times New Roman"/>
          <w:sz w:val="24"/>
          <w:szCs w:val="24"/>
        </w:rPr>
        <w:t xml:space="preserve"> thus reinforcing the notion of accountability and supporting the growing trend of such organizations becoming party to international instruments. </w:t>
      </w:r>
    </w:p>
    <w:p w:rsidR="00532332" w:rsidRDefault="00532332" w:rsidP="00997008">
      <w:pPr>
        <w:spacing w:after="0" w:line="360" w:lineRule="auto"/>
        <w:jc w:val="both"/>
        <w:rPr>
          <w:rFonts w:ascii="Times New Roman" w:hAnsi="Times New Roman" w:cs="Times New Roman"/>
          <w:sz w:val="24"/>
          <w:szCs w:val="24"/>
        </w:rPr>
      </w:pPr>
    </w:p>
    <w:p w:rsidR="00532332" w:rsidRDefault="00D367F1"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w:t>
      </w:r>
      <w:r w:rsidR="00532332">
        <w:rPr>
          <w:rFonts w:ascii="Times New Roman" w:hAnsi="Times New Roman" w:cs="Times New Roman"/>
          <w:sz w:val="24"/>
          <w:szCs w:val="24"/>
        </w:rPr>
        <w:t xml:space="preserve"> critical issues</w:t>
      </w:r>
      <w:r>
        <w:rPr>
          <w:rFonts w:ascii="Times New Roman" w:hAnsi="Times New Roman" w:cs="Times New Roman"/>
          <w:sz w:val="24"/>
          <w:szCs w:val="24"/>
        </w:rPr>
        <w:t xml:space="preserve"> which are covered include</w:t>
      </w:r>
      <w:r w:rsidR="00532332">
        <w:rPr>
          <w:rFonts w:ascii="Times New Roman" w:hAnsi="Times New Roman" w:cs="Times New Roman"/>
          <w:sz w:val="24"/>
          <w:szCs w:val="24"/>
        </w:rPr>
        <w:t xml:space="preserve"> a proposed framework for regulating jurisdiction which would strengthen accountability and extra-territorial provisions notably to cover complex environments in which PMSCs operate</w:t>
      </w:r>
      <w:r>
        <w:rPr>
          <w:rFonts w:ascii="Times New Roman" w:hAnsi="Times New Roman" w:cs="Times New Roman"/>
          <w:sz w:val="24"/>
          <w:szCs w:val="24"/>
        </w:rPr>
        <w:t>. Furthermore,</w:t>
      </w:r>
      <w:r w:rsidR="00532332">
        <w:rPr>
          <w:rFonts w:ascii="Times New Roman" w:hAnsi="Times New Roman" w:cs="Times New Roman"/>
          <w:sz w:val="24"/>
          <w:szCs w:val="24"/>
        </w:rPr>
        <w:t xml:space="preserve"> the establishment of an oversight mechanism to ensure remedy and reparations for victims</w:t>
      </w:r>
      <w:r>
        <w:rPr>
          <w:rFonts w:ascii="Times New Roman" w:hAnsi="Times New Roman" w:cs="Times New Roman"/>
          <w:sz w:val="24"/>
          <w:szCs w:val="24"/>
        </w:rPr>
        <w:t xml:space="preserve"> is also an important factor</w:t>
      </w:r>
      <w:r w:rsidR="00332C94">
        <w:rPr>
          <w:rFonts w:ascii="Times New Roman" w:hAnsi="Times New Roman" w:cs="Times New Roman"/>
          <w:sz w:val="24"/>
          <w:szCs w:val="24"/>
        </w:rPr>
        <w:t>.</w:t>
      </w:r>
      <w:r w:rsidR="00532332">
        <w:rPr>
          <w:rFonts w:ascii="Times New Roman" w:hAnsi="Times New Roman" w:cs="Times New Roman"/>
          <w:sz w:val="24"/>
          <w:szCs w:val="24"/>
        </w:rPr>
        <w:t xml:space="preserve"> Though the modality of this mechanism is not determined, the Working Group deems that any mechanism which can regularly, efficiently and comprehensively undertake monitoring and investigation and guarantee remedy for victims is worthy of review. These may include </w:t>
      </w:r>
      <w:r>
        <w:rPr>
          <w:rFonts w:ascii="Times New Roman" w:hAnsi="Times New Roman" w:cs="Times New Roman"/>
          <w:sz w:val="24"/>
          <w:szCs w:val="24"/>
        </w:rPr>
        <w:t xml:space="preserve">a committee or an ombudsperson for example. </w:t>
      </w:r>
    </w:p>
    <w:p w:rsidR="00532332" w:rsidRDefault="00532332" w:rsidP="00997008">
      <w:pPr>
        <w:spacing w:after="0" w:line="360" w:lineRule="auto"/>
        <w:jc w:val="both"/>
        <w:rPr>
          <w:rFonts w:ascii="Times New Roman" w:hAnsi="Times New Roman" w:cs="Times New Roman"/>
          <w:sz w:val="24"/>
          <w:szCs w:val="24"/>
        </w:rPr>
      </w:pPr>
    </w:p>
    <w:p w:rsidR="00532332" w:rsidRDefault="00D367F1"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w:t>
      </w:r>
      <w:r w:rsidR="00532332">
        <w:rPr>
          <w:rFonts w:ascii="Times New Roman" w:hAnsi="Times New Roman" w:cs="Times New Roman"/>
          <w:sz w:val="24"/>
          <w:szCs w:val="24"/>
        </w:rPr>
        <w:t>elements that are covered in detail and which are important in addressing existing regulatory gaps include having a coherent provisi</w:t>
      </w:r>
      <w:r>
        <w:rPr>
          <w:rFonts w:ascii="Times New Roman" w:hAnsi="Times New Roman" w:cs="Times New Roman"/>
          <w:sz w:val="24"/>
          <w:szCs w:val="24"/>
        </w:rPr>
        <w:t>on to regulate</w:t>
      </w:r>
      <w:r w:rsidR="00532332">
        <w:rPr>
          <w:rFonts w:ascii="Times New Roman" w:hAnsi="Times New Roman" w:cs="Times New Roman"/>
          <w:sz w:val="24"/>
          <w:szCs w:val="24"/>
        </w:rPr>
        <w:t xml:space="preserve"> licensing of companies, vetting of personnel, licensing of se</w:t>
      </w:r>
      <w:r w:rsidR="000E1817">
        <w:rPr>
          <w:rFonts w:ascii="Times New Roman" w:hAnsi="Times New Roman" w:cs="Times New Roman"/>
          <w:sz w:val="24"/>
          <w:szCs w:val="24"/>
        </w:rPr>
        <w:t xml:space="preserve">rvices, possession of arms and the requirement for company registration which would assist in monitoring company personnel and activities. The use of a State-appointed authority to authorize licensing to companies is also crucial. </w:t>
      </w:r>
    </w:p>
    <w:p w:rsidR="00DC16EE" w:rsidRDefault="00DC16EE" w:rsidP="00997008">
      <w:pPr>
        <w:spacing w:after="0" w:line="360" w:lineRule="auto"/>
        <w:jc w:val="both"/>
        <w:rPr>
          <w:rFonts w:ascii="Times New Roman" w:hAnsi="Times New Roman" w:cs="Times New Roman"/>
          <w:sz w:val="24"/>
          <w:szCs w:val="24"/>
        </w:rPr>
      </w:pPr>
    </w:p>
    <w:p w:rsidR="00DC16EE" w:rsidRDefault="000E1817"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Working Group highlighted these elements based on its research and consultations which have shown inconsistent regulation or regulatory gaps </w:t>
      </w:r>
      <w:r w:rsidR="00332C94">
        <w:rPr>
          <w:rFonts w:ascii="Times New Roman" w:hAnsi="Times New Roman" w:cs="Times New Roman"/>
          <w:sz w:val="24"/>
          <w:szCs w:val="24"/>
        </w:rPr>
        <w:t>concerning</w:t>
      </w:r>
      <w:r>
        <w:rPr>
          <w:rFonts w:ascii="Times New Roman" w:hAnsi="Times New Roman" w:cs="Times New Roman"/>
          <w:sz w:val="24"/>
          <w:szCs w:val="24"/>
        </w:rPr>
        <w:t xml:space="preserve"> these issues. The </w:t>
      </w:r>
      <w:r w:rsidR="00D367F1">
        <w:rPr>
          <w:rFonts w:ascii="Times New Roman" w:hAnsi="Times New Roman" w:cs="Times New Roman"/>
          <w:sz w:val="24"/>
          <w:szCs w:val="24"/>
        </w:rPr>
        <w:t xml:space="preserve">Concept Note is annexed and </w:t>
      </w:r>
      <w:r w:rsidR="002229D3">
        <w:rPr>
          <w:rFonts w:ascii="Times New Roman" w:hAnsi="Times New Roman" w:cs="Times New Roman"/>
          <w:sz w:val="24"/>
          <w:szCs w:val="24"/>
        </w:rPr>
        <w:t xml:space="preserve">can elaborate further on these elements. </w:t>
      </w:r>
      <w:r w:rsidR="00D367F1">
        <w:rPr>
          <w:rFonts w:ascii="Times New Roman" w:hAnsi="Times New Roman" w:cs="Times New Roman"/>
          <w:sz w:val="24"/>
          <w:szCs w:val="24"/>
        </w:rPr>
        <w:t xml:space="preserve"> </w:t>
      </w:r>
    </w:p>
    <w:p w:rsidR="00B91F41" w:rsidRDefault="00B91F41" w:rsidP="00997008">
      <w:pPr>
        <w:spacing w:after="0" w:line="360" w:lineRule="auto"/>
        <w:jc w:val="both"/>
        <w:rPr>
          <w:rFonts w:ascii="Times New Roman" w:hAnsi="Times New Roman" w:cs="Times New Roman"/>
          <w:sz w:val="24"/>
          <w:szCs w:val="24"/>
        </w:rPr>
      </w:pPr>
    </w:p>
    <w:p w:rsidR="008F7FE2" w:rsidRDefault="00BC1E7E" w:rsidP="0099700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Conclusion </w:t>
      </w:r>
    </w:p>
    <w:p w:rsidR="002875D5" w:rsidRDefault="002875D5" w:rsidP="00997008">
      <w:pPr>
        <w:spacing w:after="0" w:line="360" w:lineRule="auto"/>
        <w:jc w:val="both"/>
        <w:rPr>
          <w:rFonts w:ascii="Times New Roman" w:hAnsi="Times New Roman" w:cs="Times New Roman"/>
          <w:i/>
          <w:sz w:val="24"/>
          <w:szCs w:val="24"/>
        </w:rPr>
      </w:pPr>
    </w:p>
    <w:p w:rsidR="002229D3" w:rsidRDefault="002875D5"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Madam Chairperson, </w:t>
      </w:r>
    </w:p>
    <w:p w:rsidR="002229D3" w:rsidRDefault="002229D3" w:rsidP="00997008">
      <w:pPr>
        <w:spacing w:after="0" w:line="360" w:lineRule="auto"/>
        <w:jc w:val="both"/>
        <w:rPr>
          <w:rFonts w:ascii="Times New Roman" w:hAnsi="Times New Roman" w:cs="Times New Roman"/>
          <w:sz w:val="24"/>
          <w:szCs w:val="24"/>
        </w:rPr>
      </w:pPr>
    </w:p>
    <w:p w:rsidR="00856E5B" w:rsidRDefault="002875D5"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wish to conclude my statement by </w:t>
      </w:r>
      <w:r w:rsidR="00E50A3D">
        <w:rPr>
          <w:rFonts w:ascii="Times New Roman" w:hAnsi="Times New Roman" w:cs="Times New Roman"/>
          <w:sz w:val="24"/>
          <w:szCs w:val="24"/>
        </w:rPr>
        <w:t xml:space="preserve">saying that </w:t>
      </w:r>
      <w:r w:rsidR="00E14C58">
        <w:rPr>
          <w:rFonts w:ascii="Times New Roman" w:hAnsi="Times New Roman" w:cs="Times New Roman"/>
          <w:sz w:val="24"/>
          <w:szCs w:val="24"/>
        </w:rPr>
        <w:t xml:space="preserve">all the points that I have mentioned have shown that more work is still needed to adequately address the regulatory gaps in </w:t>
      </w:r>
      <w:r w:rsidR="002229D3">
        <w:rPr>
          <w:rFonts w:ascii="Times New Roman" w:hAnsi="Times New Roman" w:cs="Times New Roman"/>
          <w:sz w:val="24"/>
          <w:szCs w:val="24"/>
        </w:rPr>
        <w:t xml:space="preserve">the </w:t>
      </w:r>
      <w:r w:rsidR="00E14C58">
        <w:rPr>
          <w:rFonts w:ascii="Times New Roman" w:hAnsi="Times New Roman" w:cs="Times New Roman"/>
          <w:sz w:val="24"/>
          <w:szCs w:val="24"/>
        </w:rPr>
        <w:t>PMSC</w:t>
      </w:r>
      <w:r w:rsidR="0028300D">
        <w:rPr>
          <w:rFonts w:ascii="Times New Roman" w:hAnsi="Times New Roman" w:cs="Times New Roman"/>
          <w:sz w:val="24"/>
          <w:szCs w:val="24"/>
        </w:rPr>
        <w:t xml:space="preserve"> </w:t>
      </w:r>
      <w:r w:rsidR="002229D3">
        <w:rPr>
          <w:rFonts w:ascii="Times New Roman" w:hAnsi="Times New Roman" w:cs="Times New Roman"/>
          <w:sz w:val="24"/>
          <w:szCs w:val="24"/>
        </w:rPr>
        <w:t>industry</w:t>
      </w:r>
      <w:r w:rsidR="00E14C58">
        <w:rPr>
          <w:rFonts w:ascii="Times New Roman" w:hAnsi="Times New Roman" w:cs="Times New Roman"/>
          <w:sz w:val="24"/>
          <w:szCs w:val="24"/>
        </w:rPr>
        <w:t>. T</w:t>
      </w:r>
      <w:r w:rsidR="00E50A3D">
        <w:rPr>
          <w:rFonts w:ascii="Times New Roman" w:hAnsi="Times New Roman" w:cs="Times New Roman"/>
          <w:sz w:val="24"/>
          <w:szCs w:val="24"/>
        </w:rPr>
        <w:t>he Working Group hopes that the discussions this week would be product</w:t>
      </w:r>
      <w:r w:rsidR="0035164A">
        <w:rPr>
          <w:rFonts w:ascii="Times New Roman" w:hAnsi="Times New Roman" w:cs="Times New Roman"/>
          <w:sz w:val="24"/>
          <w:szCs w:val="24"/>
        </w:rPr>
        <w:t>ive in terms of having a victim</w:t>
      </w:r>
      <w:r w:rsidR="00E50A3D">
        <w:rPr>
          <w:rFonts w:ascii="Times New Roman" w:hAnsi="Times New Roman" w:cs="Times New Roman"/>
          <w:sz w:val="24"/>
          <w:szCs w:val="24"/>
        </w:rPr>
        <w:t>-oriented a</w:t>
      </w:r>
      <w:r w:rsidR="00856E5B">
        <w:rPr>
          <w:rFonts w:ascii="Times New Roman" w:hAnsi="Times New Roman" w:cs="Times New Roman"/>
          <w:sz w:val="24"/>
          <w:szCs w:val="24"/>
        </w:rPr>
        <w:t>pproach when addressing PMSC regulation</w:t>
      </w:r>
      <w:r w:rsidR="00E50A3D">
        <w:rPr>
          <w:rFonts w:ascii="Times New Roman" w:hAnsi="Times New Roman" w:cs="Times New Roman"/>
          <w:sz w:val="24"/>
          <w:szCs w:val="24"/>
        </w:rPr>
        <w:t xml:space="preserve">. </w:t>
      </w:r>
    </w:p>
    <w:p w:rsidR="00856E5B" w:rsidRDefault="00856E5B" w:rsidP="00997008">
      <w:pPr>
        <w:spacing w:after="0" w:line="360" w:lineRule="auto"/>
        <w:jc w:val="both"/>
        <w:rPr>
          <w:rFonts w:ascii="Times New Roman" w:hAnsi="Times New Roman" w:cs="Times New Roman"/>
          <w:sz w:val="24"/>
          <w:szCs w:val="24"/>
        </w:rPr>
      </w:pPr>
    </w:p>
    <w:p w:rsidR="00E50A3D" w:rsidRDefault="00E50A3D"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last five years since this forum began, </w:t>
      </w:r>
      <w:r w:rsidR="00856E5B">
        <w:rPr>
          <w:rFonts w:ascii="Times New Roman" w:hAnsi="Times New Roman" w:cs="Times New Roman"/>
          <w:sz w:val="24"/>
          <w:szCs w:val="24"/>
        </w:rPr>
        <w:t xml:space="preserve">we </w:t>
      </w:r>
      <w:r>
        <w:rPr>
          <w:rFonts w:ascii="Times New Roman" w:hAnsi="Times New Roman" w:cs="Times New Roman"/>
          <w:sz w:val="24"/>
          <w:szCs w:val="24"/>
        </w:rPr>
        <w:t>have heard</w:t>
      </w:r>
      <w:r w:rsidR="00856E5B">
        <w:rPr>
          <w:rFonts w:ascii="Times New Roman" w:hAnsi="Times New Roman" w:cs="Times New Roman"/>
          <w:sz w:val="24"/>
          <w:szCs w:val="24"/>
        </w:rPr>
        <w:t xml:space="preserve"> of</w:t>
      </w:r>
      <w:r>
        <w:rPr>
          <w:rFonts w:ascii="Times New Roman" w:hAnsi="Times New Roman" w:cs="Times New Roman"/>
          <w:sz w:val="24"/>
          <w:szCs w:val="24"/>
        </w:rPr>
        <w:t xml:space="preserve"> best practices</w:t>
      </w:r>
      <w:r w:rsidR="00856E5B">
        <w:rPr>
          <w:rFonts w:ascii="Times New Roman" w:hAnsi="Times New Roman" w:cs="Times New Roman"/>
          <w:sz w:val="24"/>
          <w:szCs w:val="24"/>
        </w:rPr>
        <w:t xml:space="preserve"> in the context of volunt</w:t>
      </w:r>
      <w:r>
        <w:rPr>
          <w:rFonts w:ascii="Times New Roman" w:hAnsi="Times New Roman" w:cs="Times New Roman"/>
          <w:sz w:val="24"/>
          <w:szCs w:val="24"/>
        </w:rPr>
        <w:t xml:space="preserve">ary self-regulation </w:t>
      </w:r>
      <w:r w:rsidR="00856E5B">
        <w:rPr>
          <w:rFonts w:ascii="Times New Roman" w:hAnsi="Times New Roman" w:cs="Times New Roman"/>
          <w:sz w:val="24"/>
          <w:szCs w:val="24"/>
        </w:rPr>
        <w:t xml:space="preserve">and we have also </w:t>
      </w:r>
      <w:r>
        <w:rPr>
          <w:rFonts w:ascii="Times New Roman" w:hAnsi="Times New Roman" w:cs="Times New Roman"/>
          <w:sz w:val="24"/>
          <w:szCs w:val="24"/>
        </w:rPr>
        <w:t xml:space="preserve">heard opposition to </w:t>
      </w:r>
      <w:r w:rsidR="00856E5B">
        <w:rPr>
          <w:rFonts w:ascii="Times New Roman" w:hAnsi="Times New Roman" w:cs="Times New Roman"/>
          <w:sz w:val="24"/>
          <w:szCs w:val="24"/>
        </w:rPr>
        <w:t xml:space="preserve">adopting </w:t>
      </w:r>
      <w:r>
        <w:rPr>
          <w:rFonts w:ascii="Times New Roman" w:hAnsi="Times New Roman" w:cs="Times New Roman"/>
          <w:sz w:val="24"/>
          <w:szCs w:val="24"/>
        </w:rPr>
        <w:t>an international legally binding instrument on PMSCs. However,</w:t>
      </w:r>
      <w:r w:rsidR="00856E5B">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E14C58">
        <w:rPr>
          <w:rFonts w:ascii="Times New Roman" w:hAnsi="Times New Roman" w:cs="Times New Roman"/>
          <w:sz w:val="24"/>
          <w:szCs w:val="24"/>
        </w:rPr>
        <w:t>submissions have</w:t>
      </w:r>
      <w:r>
        <w:rPr>
          <w:rFonts w:ascii="Times New Roman" w:hAnsi="Times New Roman" w:cs="Times New Roman"/>
          <w:sz w:val="24"/>
          <w:szCs w:val="24"/>
        </w:rPr>
        <w:t xml:space="preserve"> not provide</w:t>
      </w:r>
      <w:r w:rsidR="00E14C58">
        <w:rPr>
          <w:rFonts w:ascii="Times New Roman" w:hAnsi="Times New Roman" w:cs="Times New Roman"/>
          <w:sz w:val="24"/>
          <w:szCs w:val="24"/>
        </w:rPr>
        <w:t>d</w:t>
      </w:r>
      <w:r>
        <w:rPr>
          <w:rFonts w:ascii="Times New Roman" w:hAnsi="Times New Roman" w:cs="Times New Roman"/>
          <w:sz w:val="24"/>
          <w:szCs w:val="24"/>
        </w:rPr>
        <w:t xml:space="preserve"> adequate responses to the questions on accountability and remedies</w:t>
      </w:r>
      <w:r w:rsidR="00E14C58">
        <w:rPr>
          <w:rFonts w:ascii="Times New Roman" w:hAnsi="Times New Roman" w:cs="Times New Roman"/>
          <w:sz w:val="24"/>
          <w:szCs w:val="24"/>
        </w:rPr>
        <w:t xml:space="preserve"> for victims of PMSC violations</w:t>
      </w:r>
      <w:r>
        <w:rPr>
          <w:rFonts w:ascii="Times New Roman" w:hAnsi="Times New Roman" w:cs="Times New Roman"/>
          <w:sz w:val="24"/>
          <w:szCs w:val="24"/>
        </w:rPr>
        <w:t xml:space="preserve">. As some civil society representatives have said time and time again in this forum, </w:t>
      </w:r>
      <w:r w:rsidR="00A14949">
        <w:rPr>
          <w:rFonts w:ascii="Times New Roman" w:hAnsi="Times New Roman" w:cs="Times New Roman"/>
          <w:sz w:val="24"/>
          <w:szCs w:val="24"/>
        </w:rPr>
        <w:t xml:space="preserve">reports of human rights violations associated with the activities of PMSCs </w:t>
      </w:r>
      <w:r w:rsidR="00E14C58">
        <w:rPr>
          <w:rFonts w:ascii="Times New Roman" w:hAnsi="Times New Roman" w:cs="Times New Roman"/>
          <w:sz w:val="24"/>
          <w:szCs w:val="24"/>
        </w:rPr>
        <w:t>are increasing</w:t>
      </w:r>
      <w:r w:rsidR="00046827">
        <w:rPr>
          <w:rFonts w:ascii="Times New Roman" w:hAnsi="Times New Roman" w:cs="Times New Roman"/>
          <w:sz w:val="24"/>
          <w:szCs w:val="24"/>
        </w:rPr>
        <w:t>,</w:t>
      </w:r>
      <w:r w:rsidR="00E14C58">
        <w:rPr>
          <w:rFonts w:ascii="Times New Roman" w:hAnsi="Times New Roman" w:cs="Times New Roman"/>
          <w:sz w:val="24"/>
          <w:szCs w:val="24"/>
        </w:rPr>
        <w:t xml:space="preserve"> </w:t>
      </w:r>
      <w:r w:rsidR="002229D3">
        <w:rPr>
          <w:rFonts w:ascii="Times New Roman" w:hAnsi="Times New Roman" w:cs="Times New Roman"/>
          <w:sz w:val="24"/>
          <w:szCs w:val="24"/>
        </w:rPr>
        <w:t>thus</w:t>
      </w:r>
      <w:r w:rsidR="00E14C58">
        <w:rPr>
          <w:rFonts w:ascii="Times New Roman" w:hAnsi="Times New Roman" w:cs="Times New Roman"/>
          <w:sz w:val="24"/>
          <w:szCs w:val="24"/>
        </w:rPr>
        <w:t xml:space="preserve"> </w:t>
      </w:r>
      <w:r w:rsidR="00A14949">
        <w:rPr>
          <w:rFonts w:ascii="Times New Roman" w:hAnsi="Times New Roman" w:cs="Times New Roman"/>
          <w:sz w:val="24"/>
          <w:szCs w:val="24"/>
        </w:rPr>
        <w:t xml:space="preserve"> </w:t>
      </w:r>
      <w:r w:rsidR="002229D3">
        <w:rPr>
          <w:rFonts w:ascii="Times New Roman" w:hAnsi="Times New Roman" w:cs="Times New Roman"/>
          <w:sz w:val="24"/>
          <w:szCs w:val="24"/>
        </w:rPr>
        <w:t xml:space="preserve">raising </w:t>
      </w:r>
      <w:r w:rsidR="00A14949">
        <w:rPr>
          <w:rFonts w:ascii="Times New Roman" w:hAnsi="Times New Roman" w:cs="Times New Roman"/>
          <w:sz w:val="24"/>
          <w:szCs w:val="24"/>
        </w:rPr>
        <w:t xml:space="preserve">questions about the legitimacy of the private use of force, the capacity of States to effectively control their territory and the issue of accountability and access to effective remedies. </w:t>
      </w:r>
      <w:r w:rsidR="00E14C58">
        <w:rPr>
          <w:rFonts w:ascii="Times New Roman" w:hAnsi="Times New Roman" w:cs="Times New Roman"/>
          <w:sz w:val="24"/>
          <w:szCs w:val="24"/>
        </w:rPr>
        <w:t>We have also heard from stakeholders that w</w:t>
      </w:r>
      <w:r w:rsidR="00A14949">
        <w:rPr>
          <w:rFonts w:ascii="Times New Roman" w:hAnsi="Times New Roman" w:cs="Times New Roman"/>
          <w:sz w:val="24"/>
          <w:szCs w:val="24"/>
        </w:rPr>
        <w:t>eak national legislation and enforcement mechanisms, along with ad hoc and fragmented industry self-regulation cannot address these concerns effectively.  Victims of human rights violations related to PMSCs face tremendous hurdles in having their grievances addressed and are often at a disadvantage compared to corporate respondents due</w:t>
      </w:r>
      <w:r w:rsidR="00E14C58">
        <w:rPr>
          <w:rFonts w:ascii="Times New Roman" w:hAnsi="Times New Roman" w:cs="Times New Roman"/>
          <w:sz w:val="24"/>
          <w:szCs w:val="24"/>
        </w:rPr>
        <w:t xml:space="preserve"> to</w:t>
      </w:r>
      <w:r w:rsidR="00A14949">
        <w:rPr>
          <w:rFonts w:ascii="Times New Roman" w:hAnsi="Times New Roman" w:cs="Times New Roman"/>
          <w:sz w:val="24"/>
          <w:szCs w:val="24"/>
        </w:rPr>
        <w:t xml:space="preserve"> </w:t>
      </w:r>
      <w:r w:rsidR="003A0032">
        <w:rPr>
          <w:rFonts w:ascii="Times New Roman" w:hAnsi="Times New Roman" w:cs="Times New Roman"/>
          <w:sz w:val="24"/>
          <w:szCs w:val="24"/>
        </w:rPr>
        <w:t>lengthy and expensive judicial procedures.</w:t>
      </w:r>
      <w:r w:rsidR="00A14949">
        <w:rPr>
          <w:rFonts w:ascii="Times New Roman" w:hAnsi="Times New Roman" w:cs="Times New Roman"/>
          <w:sz w:val="24"/>
          <w:szCs w:val="24"/>
        </w:rPr>
        <w:t xml:space="preserve"> This </w:t>
      </w:r>
      <w:r w:rsidR="00E4014F">
        <w:rPr>
          <w:rFonts w:ascii="Times New Roman" w:hAnsi="Times New Roman" w:cs="Times New Roman"/>
          <w:sz w:val="24"/>
          <w:szCs w:val="24"/>
        </w:rPr>
        <w:t xml:space="preserve">is further </w:t>
      </w:r>
      <w:r w:rsidR="002229D3">
        <w:rPr>
          <w:rFonts w:ascii="Times New Roman" w:hAnsi="Times New Roman" w:cs="Times New Roman"/>
          <w:sz w:val="24"/>
          <w:szCs w:val="24"/>
        </w:rPr>
        <w:t xml:space="preserve">worsened </w:t>
      </w:r>
      <w:r w:rsidR="00E4014F">
        <w:rPr>
          <w:rFonts w:ascii="Times New Roman" w:hAnsi="Times New Roman" w:cs="Times New Roman"/>
          <w:sz w:val="24"/>
          <w:szCs w:val="24"/>
        </w:rPr>
        <w:t>when</w:t>
      </w:r>
      <w:r w:rsidR="00A14949">
        <w:rPr>
          <w:rFonts w:ascii="Times New Roman" w:hAnsi="Times New Roman" w:cs="Times New Roman"/>
          <w:sz w:val="24"/>
          <w:szCs w:val="24"/>
        </w:rPr>
        <w:t xml:space="preserve"> the</w:t>
      </w:r>
      <w:r w:rsidR="00E4014F">
        <w:rPr>
          <w:rFonts w:ascii="Times New Roman" w:hAnsi="Times New Roman" w:cs="Times New Roman"/>
          <w:sz w:val="24"/>
          <w:szCs w:val="24"/>
        </w:rPr>
        <w:t xml:space="preserve"> concerned</w:t>
      </w:r>
      <w:r w:rsidR="00A14949">
        <w:rPr>
          <w:rFonts w:ascii="Times New Roman" w:hAnsi="Times New Roman" w:cs="Times New Roman"/>
          <w:sz w:val="24"/>
          <w:szCs w:val="24"/>
        </w:rPr>
        <w:t xml:space="preserve"> States do not have the political will </w:t>
      </w:r>
      <w:r w:rsidR="006C401B">
        <w:rPr>
          <w:rFonts w:ascii="Times New Roman" w:hAnsi="Times New Roman" w:cs="Times New Roman"/>
          <w:sz w:val="24"/>
          <w:szCs w:val="24"/>
        </w:rPr>
        <w:t xml:space="preserve">to prioritise accountability for victims. </w:t>
      </w:r>
    </w:p>
    <w:p w:rsidR="006C401B" w:rsidRDefault="006C401B" w:rsidP="00997008">
      <w:pPr>
        <w:spacing w:after="0" w:line="360" w:lineRule="auto"/>
        <w:jc w:val="both"/>
        <w:rPr>
          <w:rFonts w:ascii="Times New Roman" w:hAnsi="Times New Roman" w:cs="Times New Roman"/>
          <w:sz w:val="24"/>
          <w:szCs w:val="24"/>
        </w:rPr>
      </w:pPr>
    </w:p>
    <w:p w:rsidR="002229D3" w:rsidRDefault="006C401B" w:rsidP="006C4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 this </w:t>
      </w:r>
      <w:r w:rsidR="002229D3">
        <w:rPr>
          <w:rFonts w:ascii="Times New Roman" w:hAnsi="Times New Roman" w:cs="Times New Roman"/>
          <w:sz w:val="24"/>
          <w:szCs w:val="24"/>
        </w:rPr>
        <w:t xml:space="preserve">context </w:t>
      </w:r>
      <w:r>
        <w:rPr>
          <w:rFonts w:ascii="Times New Roman" w:hAnsi="Times New Roman" w:cs="Times New Roman"/>
          <w:sz w:val="24"/>
          <w:szCs w:val="24"/>
        </w:rPr>
        <w:t xml:space="preserve">that the Working Group continues to call for an international legally binding instrument on PMSCs which would complement national legislation and </w:t>
      </w:r>
      <w:r w:rsidR="00E14C58">
        <w:rPr>
          <w:rFonts w:ascii="Times New Roman" w:hAnsi="Times New Roman" w:cs="Times New Roman"/>
          <w:sz w:val="24"/>
          <w:szCs w:val="24"/>
        </w:rPr>
        <w:t>voluntary</w:t>
      </w:r>
      <w:r>
        <w:rPr>
          <w:rFonts w:ascii="Times New Roman" w:hAnsi="Times New Roman" w:cs="Times New Roman"/>
          <w:sz w:val="24"/>
          <w:szCs w:val="24"/>
        </w:rPr>
        <w:t xml:space="preserve"> initiatives </w:t>
      </w:r>
      <w:r w:rsidR="00E14C58">
        <w:rPr>
          <w:rFonts w:ascii="Times New Roman" w:hAnsi="Times New Roman" w:cs="Times New Roman"/>
          <w:sz w:val="24"/>
          <w:szCs w:val="24"/>
        </w:rPr>
        <w:t>in</w:t>
      </w:r>
      <w:r w:rsidR="002229D3">
        <w:rPr>
          <w:rFonts w:ascii="Times New Roman" w:hAnsi="Times New Roman" w:cs="Times New Roman"/>
          <w:sz w:val="24"/>
          <w:szCs w:val="24"/>
        </w:rPr>
        <w:t xml:space="preserve"> providing effective and robust regulation of PMSCs</w:t>
      </w:r>
      <w:r w:rsidR="00876A16">
        <w:rPr>
          <w:rFonts w:ascii="Times New Roman" w:hAnsi="Times New Roman" w:cs="Times New Roman"/>
          <w:sz w:val="24"/>
          <w:szCs w:val="24"/>
        </w:rPr>
        <w:t>.</w:t>
      </w:r>
      <w:r w:rsidR="002229D3">
        <w:rPr>
          <w:rFonts w:ascii="Times New Roman" w:hAnsi="Times New Roman" w:cs="Times New Roman"/>
          <w:sz w:val="24"/>
          <w:szCs w:val="24"/>
        </w:rPr>
        <w:t xml:space="preserve"> </w:t>
      </w:r>
    </w:p>
    <w:p w:rsidR="00876A16" w:rsidRDefault="00876A16" w:rsidP="006C401B">
      <w:pPr>
        <w:spacing w:after="0" w:line="360" w:lineRule="auto"/>
        <w:jc w:val="both"/>
        <w:rPr>
          <w:rFonts w:ascii="Times New Roman" w:hAnsi="Times New Roman" w:cs="Times New Roman"/>
          <w:sz w:val="24"/>
          <w:szCs w:val="24"/>
        </w:rPr>
      </w:pPr>
    </w:p>
    <w:p w:rsidR="00E14C58" w:rsidRDefault="00E14C58" w:rsidP="006C4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Working Group</w:t>
      </w:r>
      <w:r w:rsidR="00E4014F">
        <w:rPr>
          <w:rFonts w:ascii="Times New Roman" w:hAnsi="Times New Roman" w:cs="Times New Roman"/>
          <w:sz w:val="24"/>
          <w:szCs w:val="24"/>
        </w:rPr>
        <w:t xml:space="preserve"> also </w:t>
      </w:r>
      <w:r w:rsidR="002229D3">
        <w:rPr>
          <w:rFonts w:ascii="Times New Roman" w:hAnsi="Times New Roman" w:cs="Times New Roman"/>
          <w:sz w:val="24"/>
          <w:szCs w:val="24"/>
        </w:rPr>
        <w:t>views</w:t>
      </w:r>
      <w:r w:rsidR="00E4014F">
        <w:rPr>
          <w:rFonts w:ascii="Times New Roman" w:hAnsi="Times New Roman" w:cs="Times New Roman"/>
          <w:sz w:val="24"/>
          <w:szCs w:val="24"/>
        </w:rPr>
        <w:t xml:space="preserve"> that an international binding instrument is the best option forward in ensuring </w:t>
      </w:r>
      <w:r w:rsidR="00014231">
        <w:rPr>
          <w:rFonts w:ascii="Times New Roman" w:hAnsi="Times New Roman" w:cs="Times New Roman"/>
          <w:sz w:val="24"/>
          <w:szCs w:val="24"/>
        </w:rPr>
        <w:t>that human rights, particularly of those belonging to vulnerable groups, are fully protected wherever private contractors operate. This includes</w:t>
      </w:r>
      <w:r w:rsidR="00876A16">
        <w:rPr>
          <w:rFonts w:ascii="Times New Roman" w:hAnsi="Times New Roman" w:cs="Times New Roman"/>
          <w:sz w:val="24"/>
          <w:szCs w:val="24"/>
        </w:rPr>
        <w:t xml:space="preserve"> operations in detention facilities and </w:t>
      </w:r>
      <w:r w:rsidR="00014231">
        <w:rPr>
          <w:rFonts w:ascii="Times New Roman" w:hAnsi="Times New Roman" w:cs="Times New Roman"/>
          <w:sz w:val="24"/>
          <w:szCs w:val="24"/>
        </w:rPr>
        <w:t>the extractive industry</w:t>
      </w:r>
      <w:r w:rsidR="004D5106">
        <w:rPr>
          <w:rFonts w:ascii="Times New Roman" w:hAnsi="Times New Roman" w:cs="Times New Roman"/>
          <w:sz w:val="24"/>
          <w:szCs w:val="24"/>
        </w:rPr>
        <w:t xml:space="preserve">. </w:t>
      </w:r>
      <w:r w:rsidR="008D4702">
        <w:rPr>
          <w:rFonts w:ascii="Times New Roman" w:hAnsi="Times New Roman" w:cs="Times New Roman"/>
          <w:sz w:val="24"/>
          <w:szCs w:val="24"/>
        </w:rPr>
        <w:t>A binding instrument</w:t>
      </w:r>
      <w:r w:rsidR="00014231">
        <w:rPr>
          <w:rFonts w:ascii="Times New Roman" w:hAnsi="Times New Roman" w:cs="Times New Roman"/>
          <w:sz w:val="24"/>
          <w:szCs w:val="24"/>
        </w:rPr>
        <w:t xml:space="preserve"> would also ensure that remedies are available</w:t>
      </w:r>
      <w:r w:rsidR="008D4702">
        <w:rPr>
          <w:rFonts w:ascii="Times New Roman" w:hAnsi="Times New Roman" w:cs="Times New Roman"/>
          <w:sz w:val="24"/>
          <w:szCs w:val="24"/>
        </w:rPr>
        <w:t xml:space="preserve"> for victims</w:t>
      </w:r>
      <w:r w:rsidR="00014231">
        <w:rPr>
          <w:rFonts w:ascii="Times New Roman" w:hAnsi="Times New Roman" w:cs="Times New Roman"/>
          <w:sz w:val="24"/>
          <w:szCs w:val="24"/>
        </w:rPr>
        <w:t xml:space="preserve"> and </w:t>
      </w:r>
      <w:r w:rsidR="00B464D0">
        <w:rPr>
          <w:rFonts w:ascii="Times New Roman" w:hAnsi="Times New Roman" w:cs="Times New Roman"/>
          <w:sz w:val="24"/>
          <w:szCs w:val="24"/>
        </w:rPr>
        <w:t xml:space="preserve">that </w:t>
      </w:r>
      <w:r w:rsidR="00014231">
        <w:rPr>
          <w:rFonts w:ascii="Times New Roman" w:hAnsi="Times New Roman" w:cs="Times New Roman"/>
          <w:sz w:val="24"/>
          <w:szCs w:val="24"/>
        </w:rPr>
        <w:t xml:space="preserve">perpetrators are held accountable, should human rights violations occur.  </w:t>
      </w:r>
    </w:p>
    <w:p w:rsidR="002875D5" w:rsidRDefault="002875D5" w:rsidP="00997008">
      <w:pPr>
        <w:spacing w:after="0" w:line="360" w:lineRule="auto"/>
        <w:jc w:val="both"/>
        <w:rPr>
          <w:rFonts w:ascii="Times New Roman" w:hAnsi="Times New Roman" w:cs="Times New Roman"/>
          <w:sz w:val="24"/>
          <w:szCs w:val="24"/>
        </w:rPr>
      </w:pPr>
    </w:p>
    <w:p w:rsidR="00095ECA" w:rsidRDefault="00095ECA" w:rsidP="00997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thank you all for your attention. </w:t>
      </w:r>
    </w:p>
    <w:p w:rsidR="00F23EBE" w:rsidRPr="00F23EBE" w:rsidRDefault="00F23EBE" w:rsidP="00F23EBE">
      <w:pPr>
        <w:jc w:val="center"/>
        <w:rPr>
          <w:rFonts w:ascii="Times New Roman" w:eastAsia="Times New Roman" w:hAnsi="Times New Roman" w:cs="Times New Roman"/>
          <w:b/>
          <w:sz w:val="24"/>
          <w:szCs w:val="24"/>
          <w:lang w:val="en-US"/>
        </w:rPr>
      </w:pPr>
      <w:r>
        <w:rPr>
          <w:rFonts w:ascii="Times New Roman" w:hAnsi="Times New Roman" w:cs="Times New Roman"/>
          <w:sz w:val="24"/>
          <w:szCs w:val="24"/>
        </w:rPr>
        <w:br w:type="page"/>
      </w:r>
      <w:r w:rsidRPr="00F23EBE">
        <w:rPr>
          <w:rFonts w:ascii="Times New Roman" w:eastAsia="Times New Roman" w:hAnsi="Times New Roman" w:cs="Times New Roman"/>
          <w:b/>
          <w:sz w:val="24"/>
          <w:szCs w:val="24"/>
          <w:lang w:val="en-US"/>
        </w:rPr>
        <w:lastRenderedPageBreak/>
        <w:t>CONCEPT NOTE ON A POSSIBLE LEGALLY BINDING INSTRUMENT</w:t>
      </w:r>
    </w:p>
    <w:p w:rsidR="00F23EBE" w:rsidRPr="00F23EBE" w:rsidRDefault="00F23EBE" w:rsidP="00F23EBE">
      <w:pPr>
        <w:spacing w:after="0"/>
        <w:jc w:val="center"/>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t>FOR THE REGULATION OF PRIVATE MILITARY SECURITY COMPANIES</w:t>
      </w:r>
    </w:p>
    <w:p w:rsidR="00F23EBE" w:rsidRPr="00F23EBE" w:rsidRDefault="00F23EBE" w:rsidP="00F23EBE">
      <w:pPr>
        <w:spacing w:before="100" w:beforeAutospacing="1" w:after="100" w:afterAutospacing="1"/>
        <w:jc w:val="center"/>
        <w:rPr>
          <w:rFonts w:ascii="Times New Roman" w:eastAsia="Times New Roman" w:hAnsi="Times New Roman" w:cs="Times New Roman"/>
          <w:bCs/>
          <w:sz w:val="24"/>
          <w:szCs w:val="24"/>
          <w:u w:val="single"/>
          <w:lang w:val="en-US"/>
        </w:rPr>
      </w:pPr>
      <w:r w:rsidRPr="00F23EBE">
        <w:rPr>
          <w:rFonts w:ascii="Times New Roman" w:eastAsia="Times New Roman" w:hAnsi="Times New Roman" w:cs="Times New Roman"/>
          <w:sz w:val="24"/>
          <w:szCs w:val="24"/>
          <w:u w:val="single"/>
          <w:lang w:val="en-US"/>
        </w:rPr>
        <w:t xml:space="preserve">Working Group on the use of mercenaries as a means of violating human rights </w:t>
      </w:r>
      <w:r w:rsidRPr="00F23EBE">
        <w:rPr>
          <w:rFonts w:ascii="Times New Roman" w:eastAsia="Times New Roman" w:hAnsi="Times New Roman" w:cs="Times New Roman"/>
          <w:bCs/>
          <w:sz w:val="24"/>
          <w:szCs w:val="24"/>
          <w:u w:val="single"/>
          <w:lang w:val="en-US"/>
        </w:rPr>
        <w:t>and impeding the exercise of the right of peoples to self-determination</w:t>
      </w:r>
    </w:p>
    <w:p w:rsidR="00F23EBE" w:rsidRPr="00F23EBE" w:rsidRDefault="00F23EBE" w:rsidP="00F23EBE">
      <w:pPr>
        <w:spacing w:before="100" w:beforeAutospacing="1" w:after="100" w:afterAutospacing="1"/>
        <w:jc w:val="both"/>
        <w:rPr>
          <w:rFonts w:ascii="Times New Roman" w:eastAsia="Times New Roman" w:hAnsi="Times New Roman" w:cs="Times New Roman"/>
          <w:bCs/>
          <w:sz w:val="24"/>
          <w:szCs w:val="24"/>
          <w:lang w:val="en-US"/>
        </w:rPr>
      </w:pPr>
      <w:r w:rsidRPr="00F23EBE">
        <w:rPr>
          <w:rFonts w:ascii="Times New Roman" w:eastAsia="Times New Roman" w:hAnsi="Times New Roman" w:cs="Times New Roman"/>
          <w:bCs/>
          <w:sz w:val="24"/>
          <w:szCs w:val="24"/>
          <w:lang w:val="en-US"/>
        </w:rPr>
        <w:t xml:space="preserve">     The Working Group is pleased to contribute to the evolution of the discussion on a possible legally binding instrument on private military and security companies (PMSCs).  Its 2010 report (A/HRC/15/25), further to Resolution 10/11 of the Human Rights Council, recommended the establishment of the </w:t>
      </w:r>
      <w:r w:rsidRPr="00F23EBE">
        <w:rPr>
          <w:rFonts w:ascii="Times New Roman" w:eastAsia="Times New Roman" w:hAnsi="Times New Roman" w:cs="Times New Roman"/>
          <w:sz w:val="24"/>
          <w:szCs w:val="24"/>
          <w:lang w:val="en-US"/>
        </w:rPr>
        <w:t>Open-Ended Intergovernmental Working Group to consider the possibility of elaborating an international regulatory framework on the regulation, monitoring and oversight of the activities of private military and security companies</w:t>
      </w:r>
      <w:r w:rsidRPr="00F23EBE">
        <w:rPr>
          <w:rFonts w:ascii="Times New Roman" w:eastAsia="Times New Roman" w:hAnsi="Times New Roman" w:cs="Times New Roman"/>
          <w:bCs/>
          <w:sz w:val="24"/>
          <w:szCs w:val="24"/>
          <w:lang w:val="en-US"/>
        </w:rPr>
        <w:t xml:space="preserve"> (OEIGWG).  The first draft of a possible convention, also in that report, has been the subject of deliberation at the three sessions of the OEIWG, in which the Working Group has also participated.</w:t>
      </w:r>
    </w:p>
    <w:p w:rsidR="00F23EBE" w:rsidRPr="00F23EBE" w:rsidRDefault="00F23EBE" w:rsidP="00F23EBE">
      <w:pPr>
        <w:spacing w:before="100" w:beforeAutospacing="1" w:after="100" w:afterAutospacing="1"/>
        <w:jc w:val="both"/>
        <w:rPr>
          <w:rFonts w:ascii="Times New Roman" w:eastAsia="Times New Roman" w:hAnsi="Times New Roman" w:cs="Times New Roman"/>
          <w:bCs/>
          <w:sz w:val="24"/>
          <w:szCs w:val="24"/>
          <w:lang w:val="en-US"/>
        </w:rPr>
      </w:pPr>
      <w:r w:rsidRPr="00F23EBE">
        <w:rPr>
          <w:rFonts w:ascii="Times New Roman" w:eastAsia="Times New Roman" w:hAnsi="Times New Roman" w:cs="Times New Roman"/>
          <w:bCs/>
          <w:sz w:val="24"/>
          <w:szCs w:val="24"/>
          <w:lang w:val="en-US"/>
        </w:rPr>
        <w:t xml:space="preserve">     The Working Group decided to refine its work on this issue through undertaking a national legislation study on a regional basis.  The research has sought to identify trends, gaps and good practice in the field, with three reports thus far submitted to the Human Rights Council and a global analysis to be presented to the General Assembly in 2016.  The Working Group has also held two expert meetings and consulted with stakeholders, including on the use of PMSCs by the UN.  These efforts have contributed to preliminary conclusions and to the development of its recommendations with respect to the core elements of a draft convention, which the Working Group presents in this paper. </w:t>
      </w:r>
    </w:p>
    <w:p w:rsidR="00F23EBE" w:rsidRPr="00F23EBE" w:rsidRDefault="00F23EBE" w:rsidP="00F23EBE">
      <w:pPr>
        <w:spacing w:before="100" w:beforeAutospacing="1" w:after="100" w:afterAutospacing="1"/>
        <w:jc w:val="both"/>
        <w:rPr>
          <w:rFonts w:ascii="Times New Roman" w:eastAsia="Times New Roman" w:hAnsi="Times New Roman" w:cs="Times New Roman"/>
          <w:bCs/>
          <w:sz w:val="24"/>
          <w:szCs w:val="24"/>
          <w:lang w:val="en-US"/>
        </w:rPr>
      </w:pPr>
      <w:r w:rsidRPr="00F23EBE">
        <w:rPr>
          <w:rFonts w:ascii="Times New Roman" w:eastAsia="Times New Roman" w:hAnsi="Times New Roman" w:cs="Times New Roman"/>
          <w:sz w:val="24"/>
          <w:szCs w:val="24"/>
          <w:lang w:val="en-US"/>
        </w:rPr>
        <w:t xml:space="preserve">     The research has revealed, inter alia, that while some countries have legislation regulating PMSCs, each country approaches the privatization of the security industry differently. This results in patchy and inconsistent regulation. Considering the transnational nature of private security and military services, as well as the generally significant likelihood of PMSC personnel use of force and involvement in hostilities, the Working Group stresses that the different approaches and regulatory gaps demonstrated in the study may result in serious undermining of the rule of law, the effective functioning of a democratic state institution responsible for ensuring public safety, as well as the accountability of PMSC personnel for violations of the law. Furthermore, the noted regulatory gaps create potential risks to various fundamental human rights.  These include the right to life, right to security, the prohibition of arbitrary deprivation of liberty, the prohibition of torture, cruel, inhuman or degrading treatment, and the right of victims to effective remedies.</w:t>
      </w:r>
    </w:p>
    <w:p w:rsidR="00F23EBE" w:rsidRDefault="00F23EBE" w:rsidP="00F23EBE">
      <w:pPr>
        <w:spacing w:before="100" w:beforeAutospacing="1" w:after="100" w:afterAutospacing="1"/>
        <w:jc w:val="both"/>
        <w:rPr>
          <w:rFonts w:ascii="Times New Roman" w:eastAsia="Times New Roman" w:hAnsi="Times New Roman" w:cs="Times New Roman"/>
          <w:bCs/>
          <w:sz w:val="24"/>
          <w:szCs w:val="24"/>
          <w:lang w:val="en-US"/>
        </w:rPr>
      </w:pPr>
      <w:r w:rsidRPr="00F23EBE">
        <w:rPr>
          <w:rFonts w:ascii="Times New Roman" w:eastAsia="Times New Roman" w:hAnsi="Times New Roman" w:cs="Times New Roman"/>
          <w:bCs/>
          <w:sz w:val="24"/>
          <w:szCs w:val="24"/>
          <w:lang w:val="en-US"/>
        </w:rPr>
        <w:t xml:space="preserve">     As such, the following text outlines the main elements informing the revision of the existing Draft of a possible Convention on Private Military and Security Companies.</w:t>
      </w:r>
    </w:p>
    <w:p w:rsidR="00F23EBE" w:rsidRPr="00F23EBE" w:rsidRDefault="00F23EBE" w:rsidP="00F23EBE">
      <w:pPr>
        <w:spacing w:before="100" w:beforeAutospacing="1" w:after="100" w:afterAutospacing="1"/>
        <w:jc w:val="both"/>
        <w:rPr>
          <w:rFonts w:ascii="Times New Roman" w:eastAsia="Times New Roman" w:hAnsi="Times New Roman" w:cs="Times New Roman"/>
          <w:bCs/>
          <w:sz w:val="24"/>
          <w:szCs w:val="24"/>
          <w:lang w:val="en-US"/>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lastRenderedPageBreak/>
        <w:t>The Working Group acknowledges that certain functions are inherent to the State. Functions that are inherent to the State are those for which the State retains ultimate responsibility regardless of whether or not the State outsources that function. The Working Group also believes that some inherent State functions may not be outsourced</w:t>
      </w:r>
    </w:p>
    <w:p w:rsidR="00F23EBE" w:rsidRPr="00F23EBE" w:rsidRDefault="00F23EBE" w:rsidP="00F23EBE">
      <w:pPr>
        <w:spacing w:after="0"/>
        <w:ind w:left="720"/>
        <w:contextualSpacing/>
        <w:jc w:val="both"/>
        <w:rPr>
          <w:rFonts w:ascii="Times New Roman" w:eastAsia="Times New Roman" w:hAnsi="Times New Roman" w:cs="Times New Roman"/>
          <w:i/>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Working Group has sought to define in part the nature of inherent functions of the State (Draft Art. 2 (i)). The definition provides for responsibility and accountability by the State for all its inherent functions, regardless of whether these functions are outsourced to other entities or not.</w:t>
      </w:r>
    </w:p>
    <w:p w:rsidR="00F23EBE" w:rsidRPr="00F23EBE" w:rsidRDefault="00F23EBE" w:rsidP="00F23EBE">
      <w:pPr>
        <w:spacing w:after="0"/>
        <w:ind w:left="360"/>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It also identifies the two core functions that cannot be outsourced to other entities (Draft Art. 7).  These derive from obligations under international humanitarian law, notably the Third Geneva Convention.  As such, the following activities cannot be outsourced by States to PMSCs:</w:t>
      </w:r>
    </w:p>
    <w:p w:rsidR="00F23EBE" w:rsidRPr="00F23EBE" w:rsidRDefault="00F23EBE" w:rsidP="00F23EB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Direct participation in hostilities in armed conflict</w:t>
      </w:r>
      <w:r w:rsidRPr="00F23EBE">
        <w:rPr>
          <w:rFonts w:ascii="Times New Roman" w:eastAsia="Times New Roman" w:hAnsi="Times New Roman" w:cs="Times New Roman"/>
          <w:sz w:val="24"/>
          <w:szCs w:val="24"/>
          <w:vertAlign w:val="superscript"/>
          <w:lang w:val="en-US"/>
        </w:rPr>
        <w:footnoteReference w:id="1"/>
      </w:r>
      <w:r w:rsidRPr="00F23EBE">
        <w:rPr>
          <w:rFonts w:ascii="Times New Roman" w:eastAsia="Times New Roman" w:hAnsi="Times New Roman" w:cs="Times New Roman"/>
          <w:sz w:val="24"/>
          <w:szCs w:val="24"/>
          <w:lang w:val="en-US"/>
        </w:rPr>
        <w:t>;</w:t>
      </w:r>
    </w:p>
    <w:p w:rsidR="00F23EBE" w:rsidRPr="00F23EBE" w:rsidRDefault="00F23EBE" w:rsidP="00F23EB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Detention and interrogation of prisoners of war, as defined in the Third Geneva Convention.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rPr>
      </w:pPr>
      <w:r w:rsidRPr="00F23EBE">
        <w:rPr>
          <w:rFonts w:ascii="Times New Roman" w:eastAsia="Times New Roman" w:hAnsi="Times New Roman" w:cs="Times New Roman"/>
          <w:sz w:val="24"/>
          <w:szCs w:val="24"/>
          <w:lang w:val="en-US"/>
        </w:rPr>
        <w:t xml:space="preserve">     In this latter respect, Article 39 of </w:t>
      </w:r>
      <w:r w:rsidRPr="00F23EBE">
        <w:rPr>
          <w:rFonts w:ascii="Times New Roman" w:eastAsia="Times New Roman" w:hAnsi="Times New Roman" w:cs="Times New Roman"/>
          <w:bCs/>
          <w:spacing w:val="3"/>
          <w:sz w:val="24"/>
          <w:szCs w:val="24"/>
          <w:lang w:val="en-US"/>
        </w:rPr>
        <w:t>Convention (III) relative to the Treatment of Prisoners of War, Geneva, 12 August 1949</w:t>
      </w:r>
      <w:r w:rsidRPr="00F23EBE">
        <w:rPr>
          <w:rFonts w:ascii="Times New Roman" w:eastAsia="Times New Roman" w:hAnsi="Times New Roman" w:cs="Times New Roman"/>
          <w:sz w:val="24"/>
          <w:szCs w:val="24"/>
          <w:lang w:val="en-US"/>
        </w:rPr>
        <w:t xml:space="preserve"> reads: “</w:t>
      </w:r>
      <w:r w:rsidRPr="00F23EBE">
        <w:rPr>
          <w:rFonts w:ascii="Times New Roman" w:eastAsia="Times New Roman" w:hAnsi="Times New Roman" w:cs="Times New Roman"/>
          <w:sz w:val="24"/>
          <w:szCs w:val="24"/>
        </w:rPr>
        <w:t xml:space="preserve">Every prisoner of war camp shall be put under the immediate authority of a responsible commissioned officer belonging to the regular armed forces of the Detaining Power.”  </w:t>
      </w:r>
      <w:r w:rsidRPr="00F23EBE">
        <w:rPr>
          <w:rFonts w:ascii="Times New Roman" w:eastAsia="Times New Roman" w:hAnsi="Times New Roman" w:cs="Times New Roman"/>
          <w:bCs/>
          <w:sz w:val="24"/>
          <w:szCs w:val="24"/>
        </w:rPr>
        <w:t xml:space="preserve">Similarly, </w:t>
      </w:r>
      <w:r w:rsidRPr="00F23EBE">
        <w:rPr>
          <w:rFonts w:ascii="Times New Roman" w:eastAsia="Times New Roman" w:hAnsi="Times New Roman" w:cs="Times New Roman"/>
          <w:bCs/>
          <w:spacing w:val="3"/>
          <w:sz w:val="24"/>
          <w:szCs w:val="24"/>
          <w:lang w:val="en-US"/>
        </w:rPr>
        <w:t xml:space="preserve">Convention (IV) relative to the Protection of Civilian Persons in Time of War. Geneva, 12 August 1949, in its </w:t>
      </w:r>
      <w:r w:rsidRPr="00F23EBE">
        <w:rPr>
          <w:rFonts w:ascii="Times New Roman" w:eastAsia="Times New Roman" w:hAnsi="Times New Roman" w:cs="Times New Roman"/>
          <w:bCs/>
          <w:sz w:val="24"/>
          <w:szCs w:val="24"/>
        </w:rPr>
        <w:t>Article 99 states that “</w:t>
      </w:r>
      <w:r w:rsidRPr="00F23EBE">
        <w:rPr>
          <w:rFonts w:ascii="Times New Roman" w:eastAsia="Times New Roman" w:hAnsi="Times New Roman" w:cs="Times New Roman"/>
          <w:sz w:val="24"/>
          <w:szCs w:val="24"/>
        </w:rPr>
        <w:t>Every place of internment shall be put under the authority of a responsible officer, chosen from the regular military forces or the regular civil administration of the Detaining Power.”</w:t>
      </w:r>
    </w:p>
    <w:p w:rsidR="00F23EBE" w:rsidRDefault="00F23EBE" w:rsidP="00F23EBE">
      <w:pPr>
        <w:spacing w:before="100" w:beforeAutospacing="1" w:after="100" w:afterAutospacing="1"/>
        <w:jc w:val="both"/>
        <w:rPr>
          <w:rFonts w:ascii="Times New Roman" w:eastAsia="Times New Roman" w:hAnsi="Times New Roman" w:cs="Times New Roman"/>
          <w:sz w:val="24"/>
          <w:szCs w:val="24"/>
        </w:rPr>
      </w:pPr>
    </w:p>
    <w:p w:rsidR="00F23EBE" w:rsidRDefault="00F23EBE" w:rsidP="00F23EBE">
      <w:pPr>
        <w:spacing w:before="100" w:beforeAutospacing="1" w:after="100" w:afterAutospacing="1"/>
        <w:jc w:val="both"/>
        <w:rPr>
          <w:rFonts w:ascii="Times New Roman" w:eastAsia="Times New Roman" w:hAnsi="Times New Roman" w:cs="Times New Roman"/>
          <w:sz w:val="24"/>
          <w:szCs w:val="24"/>
        </w:rPr>
      </w:pPr>
    </w:p>
    <w:p w:rsidR="00F23EBE" w:rsidRDefault="00F23EBE" w:rsidP="00F23EBE">
      <w:pPr>
        <w:spacing w:before="100" w:beforeAutospacing="1" w:after="100" w:afterAutospacing="1"/>
        <w:jc w:val="both"/>
        <w:rPr>
          <w:rFonts w:ascii="Times New Roman" w:eastAsia="Times New Roman" w:hAnsi="Times New Roman" w:cs="Times New Roman"/>
          <w:sz w:val="24"/>
          <w:szCs w:val="24"/>
        </w:rPr>
      </w:pP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rPr>
      </w:pP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lastRenderedPageBreak/>
        <w:t xml:space="preserve">     Furthermore, the Working Group study has shown significant regulatory gaps as a consequence of vague definitions of the ambit of services, and because so little of the analysed legislation covers private military companies or their military activities.  This is especially so considering that PMSCs normally provide various other services besides guarding and patrolling, such as military services, as well as training and advisory services on security matters, and implementation of security measures.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Given this observation, the Working Group finds it useful to define in terms of classifications of activity the services it deems necessary to address.  These classifications are predicated on identifying which activities increase the risk of human rights violations when undertaken by private actors.  Notably, they also fill the gap presented by the Montreux Document, which applies solely to armed conflict.</w:t>
      </w:r>
    </w:p>
    <w:p w:rsidR="00F23EBE" w:rsidRPr="00F23EBE" w:rsidRDefault="00F23EBE" w:rsidP="00F23EBE">
      <w:pPr>
        <w:autoSpaceDE w:val="0"/>
        <w:autoSpaceDN w:val="0"/>
        <w:adjustRightInd w:val="0"/>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Working Group thus proposes to include in the draft legislation recommendations for recognition of different classifications of service activity, in terms of the following: </w:t>
      </w:r>
    </w:p>
    <w:p w:rsidR="00F23EBE" w:rsidRPr="00F23EBE" w:rsidRDefault="00F23EBE" w:rsidP="00F23EBE">
      <w:pPr>
        <w:autoSpaceDE w:val="0"/>
        <w:autoSpaceDN w:val="0"/>
        <w:adjustRightInd w:val="0"/>
        <w:spacing w:after="0"/>
        <w:jc w:val="both"/>
        <w:rPr>
          <w:rFonts w:ascii="Times New Roman" w:eastAsia="Times New Roman" w:hAnsi="Times New Roman" w:cs="Times New Roman"/>
          <w:sz w:val="24"/>
          <w:szCs w:val="24"/>
          <w:lang w:val="en-US"/>
        </w:rPr>
      </w:pPr>
    </w:p>
    <w:p w:rsidR="00F23EBE" w:rsidRPr="00F23EBE" w:rsidRDefault="00F23EBE" w:rsidP="00F23EB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Whether the services are:</w:t>
      </w:r>
    </w:p>
    <w:p w:rsidR="00F23EBE" w:rsidRPr="00F23EBE" w:rsidRDefault="00F23EBE" w:rsidP="00F23EB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military services</w:t>
      </w:r>
    </w:p>
    <w:p w:rsidR="00F23EBE" w:rsidRPr="00F23EBE" w:rsidRDefault="00F23EBE" w:rsidP="00F23EB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services not of a military character</w:t>
      </w:r>
    </w:p>
    <w:p w:rsidR="00F23EBE" w:rsidRPr="00F23EBE" w:rsidRDefault="00F23EBE" w:rsidP="00F23EBE">
      <w:pPr>
        <w:autoSpaceDE w:val="0"/>
        <w:autoSpaceDN w:val="0"/>
        <w:adjustRightInd w:val="0"/>
        <w:spacing w:after="0"/>
        <w:ind w:left="720"/>
        <w:contextualSpacing/>
        <w:jc w:val="both"/>
        <w:rPr>
          <w:rFonts w:ascii="Times New Roman" w:eastAsia="Times New Roman" w:hAnsi="Times New Roman" w:cs="Times New Roman"/>
          <w:sz w:val="24"/>
          <w:szCs w:val="24"/>
          <w:lang w:val="en-US" w:eastAsia="en-GB"/>
        </w:rPr>
      </w:pPr>
    </w:p>
    <w:p w:rsidR="00F23EBE" w:rsidRPr="00F23EBE" w:rsidRDefault="00F23EBE" w:rsidP="00F23EB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Whether the service providers are:</w:t>
      </w:r>
    </w:p>
    <w:p w:rsidR="00F23EBE" w:rsidRPr="00F23EBE" w:rsidRDefault="00F23EBE" w:rsidP="00F23EB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armed</w:t>
      </w:r>
    </w:p>
    <w:p w:rsidR="00F23EBE" w:rsidRPr="00F23EBE" w:rsidRDefault="00F23EBE" w:rsidP="00F23EB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unarmed</w:t>
      </w:r>
    </w:p>
    <w:p w:rsidR="00F23EBE" w:rsidRPr="00F23EBE" w:rsidRDefault="00F23EBE" w:rsidP="00F23EBE">
      <w:pPr>
        <w:autoSpaceDE w:val="0"/>
        <w:autoSpaceDN w:val="0"/>
        <w:adjustRightInd w:val="0"/>
        <w:spacing w:after="0"/>
        <w:ind w:left="720"/>
        <w:contextualSpacing/>
        <w:jc w:val="both"/>
        <w:rPr>
          <w:rFonts w:ascii="Times New Roman" w:eastAsia="Times New Roman" w:hAnsi="Times New Roman" w:cs="Times New Roman"/>
          <w:sz w:val="24"/>
          <w:szCs w:val="24"/>
          <w:lang w:val="en-US" w:eastAsia="en-GB"/>
        </w:rPr>
      </w:pPr>
    </w:p>
    <w:p w:rsidR="00F23EBE" w:rsidRPr="00F23EBE" w:rsidRDefault="00F23EBE" w:rsidP="00F23EB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The different scenarios under which services are offered:</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armed conflicts</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anti-terrorism activity</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drug wars</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border control and immigration</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detention centres</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maritime context</w:t>
      </w:r>
    </w:p>
    <w:p w:rsidR="00F23EBE" w:rsidRPr="00F23EBE" w:rsidRDefault="00F23EBE" w:rsidP="00F23EB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other context</w:t>
      </w:r>
    </w:p>
    <w:p w:rsidR="00F23EBE" w:rsidRPr="00F23EBE" w:rsidRDefault="00F23EBE" w:rsidP="00F23EBE">
      <w:pPr>
        <w:autoSpaceDE w:val="0"/>
        <w:autoSpaceDN w:val="0"/>
        <w:adjustRightInd w:val="0"/>
        <w:spacing w:after="0"/>
        <w:ind w:left="720"/>
        <w:contextualSpacing/>
        <w:jc w:val="both"/>
        <w:rPr>
          <w:rFonts w:ascii="Times New Roman" w:eastAsia="Times New Roman" w:hAnsi="Times New Roman" w:cs="Times New Roman"/>
          <w:sz w:val="24"/>
          <w:szCs w:val="24"/>
          <w:lang w:val="en-US" w:eastAsia="en-GB"/>
        </w:rPr>
      </w:pPr>
    </w:p>
    <w:p w:rsidR="00F23EBE" w:rsidRPr="00F23EBE" w:rsidRDefault="00F23EBE" w:rsidP="00F23EB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Different types of services:</w:t>
      </w:r>
    </w:p>
    <w:p w:rsidR="00F23EBE" w:rsidRP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offensive or defensive operations</w:t>
      </w:r>
    </w:p>
    <w:p w:rsidR="00F23EBE" w:rsidRP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implementation of security measures</w:t>
      </w:r>
    </w:p>
    <w:p w:rsidR="00F23EBE" w:rsidRP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provision of arms and equipment</w:t>
      </w:r>
    </w:p>
    <w:p w:rsidR="00F23EBE" w:rsidRP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intelligence, training and advisory services</w:t>
      </w:r>
    </w:p>
    <w:p w:rsidR="00F23EBE" w:rsidRP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guarding, patrolling and transport</w:t>
      </w:r>
    </w:p>
    <w:p w:rsidR="00F23EBE" w:rsidRDefault="00F23EBE" w:rsidP="00F23EBE">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other type of services</w:t>
      </w:r>
    </w:p>
    <w:p w:rsid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p>
    <w:p w:rsid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p>
    <w:p w:rsid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p>
    <w:p w:rsid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p>
    <w:p w:rsid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p>
    <w:p w:rsidR="00F23EBE" w:rsidRPr="00F23EBE" w:rsidRDefault="00F23EBE" w:rsidP="00F23EBE">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lastRenderedPageBreak/>
        <w:t>Inter-governmental organizations, as well as States, can be Party to the Convention</w:t>
      </w:r>
    </w:p>
    <w:p w:rsidR="00F23EBE" w:rsidRPr="00F23EBE" w:rsidRDefault="00F23EBE" w:rsidP="00F23EBE">
      <w:pPr>
        <w:spacing w:after="0"/>
        <w:ind w:left="720"/>
        <w:contextualSpacing/>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This (Draft Art. 3) links to pre-ambular paragraph 11 on accountability of inter-governmental organizations, and reflects the growing trend of intergovernmental organizations, such as the EU, to assert their objective international legal personality and become Party to international instruments.  It is also a reinforcement of the same assertions made in the first draft of the possible convention </w:t>
      </w:r>
      <w:r w:rsidRPr="00F23EBE">
        <w:rPr>
          <w:rFonts w:ascii="Times New Roman" w:eastAsia="Times New Roman" w:hAnsi="Times New Roman" w:cs="Times New Roman"/>
          <w:bCs/>
          <w:sz w:val="24"/>
          <w:szCs w:val="24"/>
          <w:lang w:val="en-US"/>
        </w:rPr>
        <w:t>(A/HRC/15/25).</w:t>
      </w:r>
      <w:r w:rsidRPr="00F23EBE">
        <w:rPr>
          <w:rFonts w:ascii="Times New Roman" w:eastAsia="Times New Roman" w:hAnsi="Times New Roman" w:cs="Times New Roman"/>
          <w:sz w:val="24"/>
          <w:szCs w:val="24"/>
          <w:lang w:val="en-US"/>
        </w:rPr>
        <w:t xml:space="preserve"> </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i/>
          <w:sz w:val="24"/>
          <w:szCs w:val="24"/>
          <w:lang w:val="en-US"/>
        </w:rPr>
        <w:t xml:space="preserve"> </w:t>
      </w:r>
      <w:r w:rsidRPr="00F23EBE">
        <w:rPr>
          <w:rFonts w:ascii="Times New Roman" w:eastAsia="Times New Roman" w:hAnsi="Times New Roman" w:cs="Times New Roman"/>
          <w:b/>
          <w:sz w:val="24"/>
          <w:szCs w:val="24"/>
          <w:lang w:val="en-US"/>
        </w:rPr>
        <w:t>There is one coherent article(Art. 6) on implementation, covering obligations</w:t>
      </w:r>
    </w:p>
    <w:p w:rsidR="00F23EBE" w:rsidRPr="00F23EBE" w:rsidRDefault="00F23EBE" w:rsidP="00F23EBE">
      <w:pPr>
        <w:spacing w:after="0"/>
        <w:ind w:left="720"/>
        <w:contextualSpacing/>
        <w:jc w:val="both"/>
        <w:rPr>
          <w:rFonts w:ascii="Times New Roman" w:eastAsia="Times New Roman" w:hAnsi="Times New Roman" w:cs="Times New Roman"/>
          <w:i/>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Obligations apply to domestic and international companies, as well as to services offered to states, inter-governmental, non-state or corporate clients.  This Article assembles the various implementation related Articles of the first draft convention, in particular its Articles 7 (1), Article 12, Article 13, and Article 19 (4)</w:t>
      </w:r>
    </w:p>
    <w:p w:rsidR="00F23EBE" w:rsidRPr="00F23EBE" w:rsidRDefault="00F23EBE" w:rsidP="00F23EBE">
      <w:pPr>
        <w:spacing w:after="0"/>
        <w:jc w:val="both"/>
        <w:rPr>
          <w:rFonts w:ascii="Times New Roman" w:eastAsia="Times New Roman" w:hAnsi="Times New Roman" w:cs="Times New Roman"/>
          <w:i/>
          <w:sz w:val="24"/>
          <w:szCs w:val="24"/>
          <w:lang w:val="en-US"/>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t>A license is defined as permission evidenced by a document authorizing specified activities under a law of general application issued by a State-appointed body authorized to grant such permission</w:t>
      </w:r>
    </w:p>
    <w:p w:rsidR="00F23EBE" w:rsidRPr="00F23EBE" w:rsidRDefault="00F23EBE" w:rsidP="00F23EBE">
      <w:pPr>
        <w:spacing w:after="0"/>
        <w:ind w:left="720"/>
        <w:contextualSpacing/>
        <w:jc w:val="both"/>
        <w:rPr>
          <w:rFonts w:ascii="Times New Roman" w:eastAsia="Times New Roman" w:hAnsi="Times New Roman" w:cs="Times New Roman"/>
          <w:sz w:val="24"/>
          <w:szCs w:val="24"/>
          <w:lang w:val="en-US"/>
        </w:rPr>
      </w:pPr>
    </w:p>
    <w:p w:rsidR="00F23EBE" w:rsidRPr="00F23EBE" w:rsidRDefault="00F23EBE" w:rsidP="00F23EBE">
      <w:pPr>
        <w:spacing w:after="0"/>
        <w:jc w:val="both"/>
        <w:textAlignment w:val="top"/>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 xml:space="preserve">     A license serves as a modality for establishing and enforcing standards, and a revised definition is offered.</w:t>
      </w:r>
    </w:p>
    <w:p w:rsidR="00F23EBE" w:rsidRPr="00F23EBE" w:rsidRDefault="00F23EBE" w:rsidP="00F23EBE">
      <w:pPr>
        <w:spacing w:after="0"/>
        <w:jc w:val="both"/>
        <w:textAlignment w:val="top"/>
        <w:rPr>
          <w:rFonts w:ascii="Times New Roman" w:eastAsia="Times New Roman" w:hAnsi="Times New Roman" w:cs="Times New Roman"/>
          <w:sz w:val="24"/>
          <w:szCs w:val="24"/>
          <w:lang w:val="en-US" w:eastAsia="en-GB"/>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t>There is one coherent article on licensing (Draft Art. 9), encompassing:</w:t>
      </w:r>
    </w:p>
    <w:p w:rsidR="00F23EBE" w:rsidRPr="00F23EBE" w:rsidRDefault="00F23EBE" w:rsidP="00F23EBE">
      <w:pPr>
        <w:spacing w:after="0"/>
        <w:ind w:left="720"/>
        <w:contextualSpacing/>
        <w:jc w:val="both"/>
        <w:rPr>
          <w:rFonts w:ascii="Times New Roman" w:eastAsia="Times New Roman" w:hAnsi="Times New Roman" w:cs="Times New Roman"/>
          <w:i/>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rPr>
        <w:t xml:space="preserve">     While some national laws, such as those of Costa Rica and Mexico, make reference to human rights, this is not common practice globally.  The Working Group thus asserts that incorporation of clear human rights and humanitarian law standards into contracting, licensing, and authorization procedures should serve as minimum standards in </w:t>
      </w:r>
      <w:r w:rsidRPr="00F23EBE">
        <w:rPr>
          <w:rFonts w:ascii="Times New Roman" w:eastAsia="Times New Roman" w:hAnsi="Times New Roman" w:cs="Times New Roman"/>
          <w:sz w:val="24"/>
          <w:szCs w:val="24"/>
          <w:lang w:val="en-US" w:eastAsia="en-GB"/>
        </w:rPr>
        <w:t xml:space="preserve">regulation.  It must also be the basis for </w:t>
      </w:r>
      <w:r w:rsidRPr="00F23EBE">
        <w:rPr>
          <w:rFonts w:ascii="Times New Roman" w:eastAsia="Times New Roman" w:hAnsi="Times New Roman" w:cs="Times New Roman"/>
          <w:iCs/>
          <w:sz w:val="24"/>
          <w:szCs w:val="24"/>
          <w:lang w:val="en-US" w:eastAsia="en-GB"/>
        </w:rPr>
        <w:t>due diligence</w:t>
      </w:r>
      <w:r w:rsidRPr="00F23EBE">
        <w:rPr>
          <w:rFonts w:ascii="Times New Roman" w:eastAsia="Times New Roman" w:hAnsi="Times New Roman" w:cs="Times New Roman"/>
          <w:sz w:val="24"/>
          <w:szCs w:val="24"/>
          <w:lang w:val="en-US" w:eastAsia="en-GB"/>
        </w:rPr>
        <w:t>.  This effort further serves to make explicit and legally binding what are now voluntary standards, such as in the International Code of Conduct, the Montreux Document, and the UN Guiding Principles on Business and Human Rights.</w:t>
      </w:r>
    </w:p>
    <w:p w:rsidR="00F23EBE" w:rsidRPr="00F23EBE" w:rsidRDefault="00F23EBE" w:rsidP="00F23EBE">
      <w:pPr>
        <w:spacing w:after="0"/>
        <w:jc w:val="both"/>
        <w:rPr>
          <w:rFonts w:ascii="Times New Roman" w:eastAsia="Times New Roman" w:hAnsi="Times New Roman" w:cs="Times New Roman"/>
          <w:sz w:val="24"/>
          <w:szCs w:val="24"/>
          <w:lang w:val="en-US" w:eastAsia="en-GB"/>
        </w:rPr>
      </w:pPr>
    </w:p>
    <w:p w:rsidR="00F23EBE" w:rsidRPr="00F23EBE" w:rsidRDefault="00F23EBE" w:rsidP="00F23EBE">
      <w:pPr>
        <w:spacing w:after="0"/>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 xml:space="preserve">     This Article aims to be comprehensive in the subject and content of licensing regimes, addressing the spectrum of relevant actors and activities potentially impacting on the protection of human rights.  It brings together the license related Articles of the first draft possible convention, including its Article 14, Article 15 and Article 19 (3).</w:t>
      </w:r>
    </w:p>
    <w:p w:rsidR="00F23EBE" w:rsidRPr="00F23EBE" w:rsidRDefault="00F23EBE" w:rsidP="00F23EBE">
      <w:pPr>
        <w:spacing w:after="0"/>
        <w:jc w:val="both"/>
        <w:rPr>
          <w:rFonts w:ascii="Times New Roman" w:eastAsia="Times New Roman" w:hAnsi="Times New Roman" w:cs="Times New Roman"/>
          <w:sz w:val="24"/>
          <w:szCs w:val="24"/>
          <w:lang w:val="en-US" w:eastAsia="en-GB"/>
        </w:rPr>
      </w:pPr>
    </w:p>
    <w:p w:rsidR="00F23EBE" w:rsidRDefault="00F23EBE" w:rsidP="00F23EBE">
      <w:pPr>
        <w:spacing w:after="0"/>
        <w:jc w:val="both"/>
        <w:rPr>
          <w:rFonts w:ascii="Times New Roman" w:eastAsia="Times New Roman" w:hAnsi="Times New Roman" w:cs="Times New Roman"/>
          <w:sz w:val="24"/>
          <w:szCs w:val="24"/>
          <w:lang w:val="en-US" w:eastAsia="en-GB"/>
        </w:rPr>
      </w:pPr>
    </w:p>
    <w:p w:rsidR="00F23EBE" w:rsidRDefault="00F23EBE" w:rsidP="00F23EBE">
      <w:pPr>
        <w:spacing w:after="0"/>
        <w:jc w:val="both"/>
        <w:rPr>
          <w:rFonts w:ascii="Times New Roman" w:eastAsia="Times New Roman" w:hAnsi="Times New Roman" w:cs="Times New Roman"/>
          <w:sz w:val="24"/>
          <w:szCs w:val="24"/>
          <w:lang w:val="en-US" w:eastAsia="en-GB"/>
        </w:rPr>
      </w:pPr>
    </w:p>
    <w:p w:rsidR="00F23EBE" w:rsidRDefault="00F23EBE" w:rsidP="00F23EBE">
      <w:pPr>
        <w:spacing w:after="0"/>
        <w:jc w:val="both"/>
        <w:rPr>
          <w:rFonts w:ascii="Times New Roman" w:eastAsia="Times New Roman" w:hAnsi="Times New Roman" w:cs="Times New Roman"/>
          <w:sz w:val="24"/>
          <w:szCs w:val="24"/>
          <w:lang w:val="en-US" w:eastAsia="en-GB"/>
        </w:rPr>
      </w:pPr>
    </w:p>
    <w:p w:rsidR="00F23EBE" w:rsidRDefault="00F23EBE" w:rsidP="00F23EBE">
      <w:pPr>
        <w:spacing w:after="0"/>
        <w:jc w:val="both"/>
        <w:rPr>
          <w:rFonts w:ascii="Times New Roman" w:eastAsia="Times New Roman" w:hAnsi="Times New Roman" w:cs="Times New Roman"/>
          <w:sz w:val="24"/>
          <w:szCs w:val="24"/>
          <w:lang w:val="en-US" w:eastAsia="en-GB"/>
        </w:rPr>
      </w:pPr>
    </w:p>
    <w:p w:rsidR="00F23EBE" w:rsidRDefault="00F23EBE" w:rsidP="00F23EBE">
      <w:pPr>
        <w:spacing w:after="0"/>
        <w:jc w:val="both"/>
        <w:rPr>
          <w:rFonts w:ascii="Times New Roman" w:eastAsia="Times New Roman" w:hAnsi="Times New Roman" w:cs="Times New Roman"/>
          <w:sz w:val="24"/>
          <w:szCs w:val="24"/>
          <w:lang w:val="en-US" w:eastAsia="en-GB"/>
        </w:rPr>
      </w:pPr>
    </w:p>
    <w:p w:rsidR="00F23EBE" w:rsidRPr="00F23EBE" w:rsidRDefault="00F23EBE" w:rsidP="00F23EBE">
      <w:pPr>
        <w:spacing w:after="0"/>
        <w:jc w:val="both"/>
        <w:rPr>
          <w:rFonts w:ascii="Times New Roman" w:eastAsia="Times New Roman" w:hAnsi="Times New Roman" w:cs="Times New Roman"/>
          <w:sz w:val="24"/>
          <w:szCs w:val="24"/>
          <w:lang w:val="en-US" w:eastAsia="en-GB"/>
        </w:rPr>
      </w:pPr>
    </w:p>
    <w:p w:rsidR="00F23EBE" w:rsidRPr="00F23EBE" w:rsidRDefault="00F23EBE" w:rsidP="00F23EBE">
      <w:pPr>
        <w:numPr>
          <w:ilvl w:val="0"/>
          <w:numId w:val="4"/>
        </w:numPr>
        <w:spacing w:after="0" w:line="240" w:lineRule="auto"/>
        <w:contextualSpacing/>
        <w:jc w:val="both"/>
        <w:rPr>
          <w:rFonts w:ascii="Times New Roman" w:eastAsia="Times New Roman" w:hAnsi="Times New Roman" w:cs="Times New Roman"/>
          <w:b/>
          <w:i/>
          <w:sz w:val="24"/>
          <w:szCs w:val="24"/>
          <w:lang w:val="en-US"/>
        </w:rPr>
      </w:pPr>
      <w:r w:rsidRPr="00F23EBE">
        <w:rPr>
          <w:rFonts w:ascii="Times New Roman" w:eastAsia="Times New Roman" w:hAnsi="Times New Roman" w:cs="Times New Roman"/>
          <w:b/>
          <w:i/>
          <w:sz w:val="24"/>
          <w:szCs w:val="24"/>
          <w:lang w:val="en-US"/>
        </w:rPr>
        <w:lastRenderedPageBreak/>
        <w:t>Licensing of companies, including vetting of personnel</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Working Group research revealed that, in Europe, with the exception of Switzerland, none of the analysed legislation included international human rights and humanitarian law references in the criteria of authorisation of PMSC activities.  The same situation applied to any other related standards regarding the selection process and the training materials.  </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 xml:space="preserve">     Similarly</w:t>
      </w:r>
      <w:r w:rsidRPr="00F23EBE">
        <w:rPr>
          <w:rFonts w:ascii="Times New Roman" w:eastAsia="Times New Roman" w:hAnsi="Times New Roman" w:cs="Times New Roman"/>
          <w:sz w:val="24"/>
          <w:szCs w:val="24"/>
          <w:lang w:val="en-US"/>
        </w:rPr>
        <w:t>, Guatemala is the only country in Central America whose regulation excludes the activities of PSCs whose personnel have served in another security company and have been discharged for violation of human rights.</w:t>
      </w:r>
      <w:r w:rsidRPr="00F23EBE">
        <w:rPr>
          <w:rFonts w:ascii="Times New Roman" w:eastAsia="Times New Roman" w:hAnsi="Times New Roman" w:cs="Times New Roman"/>
          <w:sz w:val="24"/>
          <w:szCs w:val="24"/>
          <w:lang w:val="en-US" w:eastAsia="en-GB"/>
        </w:rPr>
        <w:t xml:space="preserve"> In South America, most of the countries examined do not have specific requirements regarding background information on human rights violations. </w:t>
      </w:r>
    </w:p>
    <w:p w:rsidR="00F23EBE" w:rsidRPr="00F23EBE" w:rsidRDefault="00F23EBE" w:rsidP="00F23EBE">
      <w:pPr>
        <w:spacing w:after="0"/>
        <w:jc w:val="both"/>
        <w:rPr>
          <w:rFonts w:ascii="Times New Roman" w:eastAsia="Times New Roman" w:hAnsi="Times New Roman" w:cs="Times New Roman"/>
          <w:sz w:val="24"/>
          <w:szCs w:val="24"/>
          <w:lang w:val="en-US" w:eastAsia="en-GB"/>
        </w:rPr>
      </w:pPr>
    </w:p>
    <w:p w:rsidR="00F23EBE" w:rsidRPr="00F23EBE" w:rsidRDefault="00F23EBE" w:rsidP="00F23EBE">
      <w:pPr>
        <w:spacing w:after="0"/>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 w:eastAsia="en-GB"/>
        </w:rPr>
        <w:t xml:space="preserve">     One exception is the Buenos Aires Act prohibiting associates of private security companies who benefited from the law of amnesty - and were indulted for acts constituting human rights violations during the period 1975-1983), who</w:t>
      </w:r>
      <w:r w:rsidRPr="00F23EBE">
        <w:rPr>
          <w:rFonts w:ascii="Times New Roman" w:eastAsia="Times New Roman" w:hAnsi="Times New Roman" w:cs="Times New Roman"/>
          <w:sz w:val="24"/>
          <w:szCs w:val="24"/>
          <w:lang w:val="en-US" w:eastAsia="en-GB"/>
        </w:rPr>
        <w:t xml:space="preserve"> must be accredited with an extended certificate by the competent human rights bodies</w:t>
      </w:r>
      <w:r w:rsidRPr="00F23EBE">
        <w:rPr>
          <w:rFonts w:ascii="Times New Roman" w:eastAsia="Times New Roman" w:hAnsi="Times New Roman" w:cs="Times New Roman"/>
          <w:sz w:val="24"/>
          <w:szCs w:val="24"/>
          <w:vertAlign w:val="superscript"/>
          <w:lang w:val="en-US" w:eastAsia="en-GB"/>
        </w:rPr>
        <w:footnoteReference w:id="2"/>
      </w:r>
      <w:r w:rsidRPr="00F23EBE">
        <w:rPr>
          <w:rFonts w:ascii="Times New Roman" w:eastAsia="Times New Roman" w:hAnsi="Times New Roman" w:cs="Times New Roman"/>
          <w:sz w:val="24"/>
          <w:szCs w:val="24"/>
          <w:lang w:val="en-US" w:eastAsia="en-GB"/>
        </w:rPr>
        <w:t>.</w:t>
      </w:r>
    </w:p>
    <w:p w:rsidR="00F23EBE" w:rsidRPr="00F23EBE" w:rsidRDefault="00F23EBE" w:rsidP="00F23EBE">
      <w:pPr>
        <w:spacing w:after="0"/>
        <w:jc w:val="both"/>
        <w:rPr>
          <w:rFonts w:ascii="Times New Roman" w:eastAsia="Times New Roman" w:hAnsi="Times New Roman" w:cs="Times New Roman"/>
          <w:sz w:val="24"/>
          <w:szCs w:val="24"/>
          <w:lang w:val="en-US" w:eastAsia="en-GB"/>
        </w:rPr>
      </w:pPr>
      <w:r w:rsidRPr="00F23EBE">
        <w:rPr>
          <w:rFonts w:ascii="Times New Roman" w:eastAsia="Times New Roman" w:hAnsi="Times New Roman" w:cs="Times New Roman"/>
          <w:sz w:val="24"/>
          <w:szCs w:val="24"/>
          <w:lang w:val="en-US" w:eastAsia="en-GB"/>
        </w:rPr>
        <w:t xml:space="preserve">   </w:t>
      </w: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eastAsia="en-GB"/>
        </w:rPr>
        <w:t xml:space="preserve">     The Working group thus recommends explicit reference to human rights violations and standards in related legislation and regulation.</w:t>
      </w:r>
      <w:r w:rsidRPr="00F23EBE">
        <w:rPr>
          <w:rFonts w:ascii="Times New Roman" w:eastAsia="Times New Roman" w:hAnsi="Times New Roman" w:cs="Times New Roman"/>
          <w:sz w:val="24"/>
          <w:szCs w:val="24"/>
          <w:vertAlign w:val="superscript"/>
          <w:lang w:val="en-US" w:eastAsia="en-GB"/>
        </w:rPr>
        <w:footnoteReference w:id="3"/>
      </w:r>
    </w:p>
    <w:p w:rsidR="00F23EBE" w:rsidRPr="00F23EBE" w:rsidRDefault="00F23EBE" w:rsidP="00F23EBE">
      <w:pPr>
        <w:spacing w:after="0"/>
        <w:jc w:val="both"/>
        <w:textAlignment w:val="top"/>
        <w:rPr>
          <w:rFonts w:ascii="Times New Roman" w:eastAsia="Times New Roman" w:hAnsi="Times New Roman" w:cs="Times New Roman"/>
          <w:sz w:val="24"/>
          <w:szCs w:val="24"/>
          <w:lang w:val="en-US" w:eastAsia="en-GB"/>
        </w:rPr>
      </w:pPr>
    </w:p>
    <w:p w:rsidR="00F23EBE" w:rsidRPr="00F23EBE" w:rsidRDefault="00F23EBE" w:rsidP="00F23EBE">
      <w:pPr>
        <w:numPr>
          <w:ilvl w:val="0"/>
          <w:numId w:val="4"/>
        </w:numPr>
        <w:spacing w:after="0" w:line="240" w:lineRule="auto"/>
        <w:contextualSpacing/>
        <w:jc w:val="both"/>
        <w:rPr>
          <w:rFonts w:ascii="Times New Roman" w:eastAsia="Times New Roman" w:hAnsi="Times New Roman" w:cs="Times New Roman"/>
          <w:b/>
          <w:i/>
          <w:sz w:val="24"/>
          <w:szCs w:val="24"/>
          <w:lang w:val="en-US"/>
        </w:rPr>
      </w:pPr>
      <w:r w:rsidRPr="00F23EBE">
        <w:rPr>
          <w:rFonts w:ascii="Times New Roman" w:eastAsia="Times New Roman" w:hAnsi="Times New Roman" w:cs="Times New Roman"/>
          <w:b/>
          <w:i/>
          <w:sz w:val="24"/>
          <w:szCs w:val="24"/>
          <w:lang w:val="en-US"/>
        </w:rPr>
        <w:t>Licensing the import and export of services</w:t>
      </w:r>
    </w:p>
    <w:p w:rsidR="00F23EBE" w:rsidRPr="00F23EBE" w:rsidRDefault="00F23EBE" w:rsidP="00F23EBE">
      <w:pPr>
        <w:spacing w:after="0"/>
        <w:ind w:left="720"/>
        <w:contextualSpacing/>
        <w:jc w:val="both"/>
        <w:rPr>
          <w:rFonts w:ascii="Times New Roman" w:eastAsia="Times New Roman" w:hAnsi="Times New Roman" w:cs="Times New Roman"/>
          <w:sz w:val="24"/>
          <w:szCs w:val="24"/>
          <w:lang w:val="en-US"/>
        </w:rPr>
      </w:pPr>
    </w:p>
    <w:p w:rsidR="00F23EBE" w:rsidRPr="00F23EBE" w:rsidRDefault="00F23EBE" w:rsidP="00F23EBE">
      <w:pPr>
        <w:numPr>
          <w:ilvl w:val="0"/>
          <w:numId w:val="4"/>
        </w:numPr>
        <w:spacing w:after="0" w:line="240" w:lineRule="auto"/>
        <w:contextualSpacing/>
        <w:jc w:val="both"/>
        <w:rPr>
          <w:rFonts w:ascii="Times New Roman" w:eastAsia="Times New Roman" w:hAnsi="Times New Roman" w:cs="Times New Roman"/>
          <w:b/>
          <w:i/>
          <w:sz w:val="24"/>
          <w:szCs w:val="24"/>
          <w:lang w:val="en-US"/>
        </w:rPr>
      </w:pPr>
      <w:r w:rsidRPr="00F23EBE">
        <w:rPr>
          <w:rFonts w:ascii="Times New Roman" w:eastAsia="Times New Roman" w:hAnsi="Times New Roman" w:cs="Times New Roman"/>
          <w:b/>
          <w:i/>
          <w:sz w:val="24"/>
          <w:szCs w:val="24"/>
          <w:lang w:val="en-US"/>
        </w:rPr>
        <w:t>Licensing the possession of arms</w:t>
      </w:r>
    </w:p>
    <w:p w:rsidR="00F23EBE" w:rsidRPr="00F23EBE" w:rsidRDefault="00F23EBE" w:rsidP="00F23EBE">
      <w:pPr>
        <w:spacing w:after="0"/>
        <w:ind w:left="720"/>
        <w:contextualSpacing/>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Working Group study demonstrates that in the laws relevant for the activities of PMSCs in Europe, there are no specific provisions on the illegal acquisition of weapons and on illicit trafficking in arms by PMSC personnel, revealing a clear gap of regulation. In order to ensure that PMSC personnel respect the international standards related to arms control licensing procedures, arms transfer, acquisition of weapons, trafficking in arms and that the staff of PMSC can be held accountable for illegal acquisition of weapons and illicit trafficking in arms, it is essential to establish some standard</w:t>
      </w:r>
      <w:r w:rsidRPr="00F23EBE">
        <w:rPr>
          <w:rFonts w:ascii="Times New Roman" w:eastAsia="Times New Roman" w:hAnsi="Times New Roman" w:cs="Times New Roman"/>
          <w:sz w:val="24"/>
          <w:szCs w:val="24"/>
          <w:lang w:val="en-US" w:eastAsia="en-GB"/>
        </w:rPr>
        <w:t xml:space="preserve"> methods of acquiring, exporting, importing, and possessing weapons by private military and security companies and their employees. </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spacing w:after="24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lastRenderedPageBreak/>
        <w:t xml:space="preserve">     In Latin America, in the special laws for PSCs, there are no particular provisions regarding the origin of the weapons and their acquisition by PSCs. Only Panama (Decree No. 21) requires that weapons are purchased in the domestic market.</w:t>
      </w:r>
      <w:r w:rsidRPr="00F23EBE">
        <w:rPr>
          <w:rFonts w:ascii="Times New Roman" w:eastAsia="Times New Roman" w:hAnsi="Times New Roman" w:cs="Times New Roman"/>
          <w:sz w:val="24"/>
          <w:szCs w:val="24"/>
          <w:vertAlign w:val="superscript"/>
          <w:lang w:val="en-US"/>
        </w:rPr>
        <w:footnoteReference w:id="4"/>
      </w:r>
      <w:r w:rsidRPr="00F23EBE">
        <w:rPr>
          <w:rFonts w:ascii="Times New Roman" w:eastAsia="Times New Roman" w:hAnsi="Times New Roman" w:cs="Times New Roman"/>
          <w:sz w:val="24"/>
          <w:szCs w:val="24"/>
          <w:lang w:val="en-US"/>
        </w:rPr>
        <w:t xml:space="preserve"> There are no rules on the acquisition of weapons in national or international illegal markets by PSCs and no specific sanctions on such incidents if they incur within a PSC. This is a common gap in the region in the case of infringements or offenses committed by private security providers, in particular companies.</w:t>
      </w:r>
      <w:r w:rsidRPr="00F23EBE">
        <w:rPr>
          <w:rFonts w:ascii="Times New Roman" w:eastAsia="Times New Roman" w:hAnsi="Times New Roman" w:cs="Times New Roman"/>
          <w:sz w:val="24"/>
          <w:szCs w:val="24"/>
          <w:vertAlign w:val="superscript"/>
          <w:lang w:val="en-US"/>
        </w:rPr>
        <w:footnoteReference w:id="5"/>
      </w:r>
    </w:p>
    <w:p w:rsidR="00F23EBE" w:rsidRPr="00F23EBE" w:rsidRDefault="00F23EBE" w:rsidP="00F23EBE">
      <w:pPr>
        <w:numPr>
          <w:ilvl w:val="0"/>
          <w:numId w:val="4"/>
        </w:numPr>
        <w:spacing w:after="0" w:line="240" w:lineRule="auto"/>
        <w:contextualSpacing/>
        <w:jc w:val="both"/>
        <w:rPr>
          <w:rFonts w:ascii="Times New Roman" w:eastAsia="Times New Roman" w:hAnsi="Times New Roman" w:cs="Times New Roman"/>
          <w:b/>
          <w:i/>
          <w:sz w:val="24"/>
          <w:szCs w:val="24"/>
          <w:lang w:val="en-US"/>
        </w:rPr>
      </w:pPr>
      <w:r w:rsidRPr="00F23EBE">
        <w:rPr>
          <w:rFonts w:ascii="Times New Roman" w:eastAsia="Times New Roman" w:hAnsi="Times New Roman" w:cs="Times New Roman"/>
          <w:b/>
          <w:i/>
          <w:sz w:val="24"/>
          <w:szCs w:val="24"/>
          <w:lang w:val="en-US"/>
        </w:rPr>
        <w:t>Licensing the possession of equipment other than arms e.g. vehicles, drones</w:t>
      </w:r>
    </w:p>
    <w:p w:rsidR="00F23EBE" w:rsidRPr="00F23EBE" w:rsidRDefault="00F23EBE" w:rsidP="00F23EBE">
      <w:pPr>
        <w:spacing w:after="0"/>
        <w:ind w:left="720"/>
        <w:contextualSpacing/>
        <w:jc w:val="both"/>
        <w:rPr>
          <w:rFonts w:ascii="Times New Roman" w:eastAsia="Times New Roman" w:hAnsi="Times New Roman" w:cs="Times New Roman"/>
          <w:b/>
          <w:i/>
          <w:sz w:val="24"/>
          <w:szCs w:val="24"/>
          <w:lang w:val="en-US"/>
        </w:rPr>
      </w:pPr>
    </w:p>
    <w:p w:rsidR="00F23EBE" w:rsidRPr="00F23EBE" w:rsidRDefault="00F23EBE" w:rsidP="00F23EBE">
      <w:pPr>
        <w:numPr>
          <w:ilvl w:val="0"/>
          <w:numId w:val="4"/>
        </w:numPr>
        <w:spacing w:after="0" w:line="240" w:lineRule="auto"/>
        <w:contextualSpacing/>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b/>
          <w:i/>
          <w:sz w:val="24"/>
          <w:szCs w:val="24"/>
          <w:lang w:val="en-US"/>
        </w:rPr>
        <w:t>Licensing of individuals, with minimum criteria, including training</w:t>
      </w:r>
    </w:p>
    <w:p w:rsidR="00F23EBE" w:rsidRPr="00F23EBE" w:rsidRDefault="00F23EBE" w:rsidP="00F23EBE">
      <w:pPr>
        <w:spacing w:after="0"/>
        <w:ind w:left="720"/>
        <w:contextualSpacing/>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While some countries include human rights in their training programs, such as Brazil, Colombia and Switzerland, incorporation is inconsistent. The Working Group therefore finds it is essential to ensure </w:t>
      </w:r>
      <w:r w:rsidRPr="00F23EBE">
        <w:rPr>
          <w:rFonts w:ascii="Times New Roman" w:eastAsia="Times New Roman" w:hAnsi="Times New Roman" w:cs="Times New Roman"/>
          <w:bCs/>
          <w:sz w:val="24"/>
          <w:szCs w:val="24"/>
          <w:lang w:val="en-US" w:eastAsia="en-GB"/>
        </w:rPr>
        <w:t xml:space="preserve">mandatory legal trainings with references to the </w:t>
      </w:r>
      <w:r w:rsidRPr="00F23EBE">
        <w:rPr>
          <w:rFonts w:ascii="Times New Roman" w:eastAsia="Times New Roman" w:hAnsi="Times New Roman" w:cs="Times New Roman"/>
          <w:sz w:val="24"/>
          <w:szCs w:val="24"/>
          <w:lang w:val="en-US"/>
        </w:rPr>
        <w:t>relevant international human rights and humanitarian law standards.</w:t>
      </w: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Default="00F23EBE" w:rsidP="00F23EBE">
      <w:pPr>
        <w:spacing w:after="160"/>
        <w:jc w:val="both"/>
        <w:rPr>
          <w:rFonts w:ascii="Times New Roman" w:eastAsia="Times New Roman" w:hAnsi="Times New Roman" w:cs="Times New Roman"/>
          <w:sz w:val="24"/>
          <w:szCs w:val="24"/>
          <w:lang w:val="en-US"/>
        </w:rPr>
      </w:pPr>
    </w:p>
    <w:p w:rsidR="00F23EBE" w:rsidRDefault="00F23EBE" w:rsidP="00F23EBE">
      <w:pPr>
        <w:spacing w:after="160"/>
        <w:jc w:val="both"/>
        <w:rPr>
          <w:rFonts w:ascii="Times New Roman" w:eastAsia="Times New Roman" w:hAnsi="Times New Roman" w:cs="Times New Roman"/>
          <w:sz w:val="24"/>
          <w:szCs w:val="24"/>
          <w:lang w:val="en-US"/>
        </w:rPr>
      </w:pPr>
    </w:p>
    <w:p w:rsid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spacing w:after="160"/>
        <w:jc w:val="both"/>
        <w:rPr>
          <w:rFonts w:ascii="Times New Roman" w:eastAsia="Times New Roman" w:hAnsi="Times New Roman" w:cs="Times New Roman"/>
          <w:sz w:val="24"/>
          <w:szCs w:val="24"/>
          <w:lang w:val="en-US"/>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lastRenderedPageBreak/>
        <w:t>There is an article on registration (Draft Art. 10), as a secondary step following licensing, and serving as a monitoring system</w:t>
      </w:r>
    </w:p>
    <w:p w:rsidR="00F23EBE" w:rsidRPr="00F23EBE" w:rsidRDefault="00F23EBE" w:rsidP="00F23EBE">
      <w:pPr>
        <w:spacing w:after="0"/>
        <w:jc w:val="both"/>
        <w:rPr>
          <w:rFonts w:ascii="Times New Roman" w:eastAsia="Times New Roman" w:hAnsi="Times New Roman" w:cs="Times New Roman"/>
          <w:i/>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With regard to the national registration of PMSCs in Europe, the Working Group study points out that none of the analysed States’ national legislation requires from PMSCs a specific registration other than the general registration in the trade and commerce register.</w:t>
      </w:r>
      <w:r w:rsidRPr="00F23EBE">
        <w:rPr>
          <w:rFonts w:ascii="Times New Roman" w:eastAsia="Times New Roman" w:hAnsi="Times New Roman" w:cs="Times New Roman"/>
          <w:sz w:val="24"/>
          <w:szCs w:val="24"/>
          <w:vertAlign w:val="superscript"/>
          <w:lang w:val="en-US"/>
        </w:rPr>
        <w:footnoteReference w:id="6"/>
      </w:r>
      <w:r w:rsidRPr="00F23EBE">
        <w:rPr>
          <w:rFonts w:ascii="Times New Roman" w:eastAsia="Times New Roman" w:hAnsi="Times New Roman" w:cs="Times New Roman"/>
          <w:sz w:val="24"/>
          <w:szCs w:val="24"/>
          <w:lang w:val="en-US"/>
        </w:rPr>
        <w:t xml:space="preserve">  </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spacing w:after="0"/>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license registry definition (c) and operative paragraphs (Article 16, 2 and 3) in the first draft of the possible convention are thus retained. </w:t>
      </w:r>
    </w:p>
    <w:p w:rsidR="00F23EBE" w:rsidRPr="00F23EBE" w:rsidRDefault="00F23EBE" w:rsidP="00F23EBE">
      <w:pPr>
        <w:spacing w:after="0"/>
        <w:jc w:val="both"/>
        <w:rPr>
          <w:rFonts w:ascii="Times New Roman" w:eastAsia="Times New Roman" w:hAnsi="Times New Roman" w:cs="Times New Roman"/>
          <w:sz w:val="24"/>
          <w:szCs w:val="24"/>
          <w:lang w:val="en-US"/>
        </w:rPr>
      </w:pPr>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t>Regulation of jurisdiction is redefined (Draft Art. 15)</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In Europe, with the exception of Switzerland, the absence of rules on direct participation in hostilities of PMSC personnel and the lack of extraterritorial application of the concerned laws, as well as the missing provisions on the export of security and military services abroad, further add to the regulatory gaps.  This is especially relevant in light of the transnational nature of private security and military services, and the generally high likelihood of PMSC personnel’s use of force and involvement in hostilities.</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With respect to Latin America, none of the laws address the provision of services abroad, except in one case, and there is no provision on the extraterritorial application of these laws.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Given the above analysis, and that the private military and security industry often operates in complex environments characterized by weakened rule of law, accountability may be better ensured through territorial and universal jurisdiction.  The extraterritorial provisions in the draft convention are accordingly strengthened, applying the following hierarchy of principles:</w:t>
      </w:r>
    </w:p>
    <w:p w:rsidR="00F23EBE" w:rsidRPr="00F23EBE" w:rsidRDefault="00F23EBE" w:rsidP="00F23EB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Active person</w:t>
      </w:r>
    </w:p>
    <w:p w:rsidR="00F23EBE" w:rsidRPr="00F23EBE" w:rsidRDefault="00F23EBE" w:rsidP="00F23EB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Passive person</w:t>
      </w:r>
    </w:p>
    <w:p w:rsidR="00F23EBE" w:rsidRPr="00F23EBE" w:rsidRDefault="00F23EBE" w:rsidP="00F23EB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Territoriality</w:t>
      </w:r>
    </w:p>
    <w:p w:rsidR="00F23EBE" w:rsidRDefault="00F23EBE" w:rsidP="00F23EB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Universal jurisdiction</w:t>
      </w:r>
    </w:p>
    <w:p w:rsidR="00F23EBE" w:rsidRDefault="00F23EBE" w:rsidP="00F23EBE">
      <w:pPr>
        <w:spacing w:before="100" w:beforeAutospacing="1" w:after="100" w:afterAutospacing="1" w:line="240" w:lineRule="auto"/>
        <w:jc w:val="both"/>
        <w:rPr>
          <w:rFonts w:ascii="Times New Roman" w:eastAsia="Times New Roman" w:hAnsi="Times New Roman" w:cs="Times New Roman"/>
          <w:sz w:val="24"/>
          <w:szCs w:val="24"/>
          <w:lang w:val="en-US"/>
        </w:rPr>
      </w:pPr>
    </w:p>
    <w:p w:rsidR="00F23EBE" w:rsidRDefault="00F23EBE" w:rsidP="00F23EBE">
      <w:pPr>
        <w:spacing w:before="100" w:beforeAutospacing="1" w:after="100" w:afterAutospacing="1" w:line="240" w:lineRule="auto"/>
        <w:jc w:val="both"/>
        <w:rPr>
          <w:rFonts w:ascii="Times New Roman" w:eastAsia="Times New Roman" w:hAnsi="Times New Roman" w:cs="Times New Roman"/>
          <w:sz w:val="24"/>
          <w:szCs w:val="24"/>
          <w:lang w:val="en-US"/>
        </w:rPr>
      </w:pPr>
    </w:p>
    <w:p w:rsidR="00F23EBE" w:rsidRPr="00F23EBE" w:rsidRDefault="00F23EBE" w:rsidP="00F23EBE">
      <w:pPr>
        <w:spacing w:before="100" w:beforeAutospacing="1" w:after="100" w:afterAutospacing="1" w:line="240" w:lineRule="auto"/>
        <w:jc w:val="both"/>
        <w:rPr>
          <w:rFonts w:ascii="Times New Roman" w:eastAsia="Times New Roman" w:hAnsi="Times New Roman" w:cs="Times New Roman"/>
          <w:sz w:val="24"/>
          <w:szCs w:val="24"/>
          <w:lang w:val="en-US"/>
        </w:rPr>
      </w:pPr>
      <w:bookmarkStart w:id="0" w:name="_GoBack"/>
      <w:bookmarkEnd w:id="0"/>
    </w:p>
    <w:p w:rsidR="00F23EBE" w:rsidRPr="00F23EBE" w:rsidRDefault="00F23EBE" w:rsidP="00F23EBE">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lastRenderedPageBreak/>
        <w:t>A mechanism should be established pursuant to the Convention, for the purposes of oversight and ensuring remedy and reparations for victims - this may be a committee, ombudsperson or other modality</w:t>
      </w:r>
    </w:p>
    <w:p w:rsidR="00F23EBE" w:rsidRPr="00F23EBE" w:rsidRDefault="00F23EBE" w:rsidP="00F23EBE">
      <w:pPr>
        <w:spacing w:after="0"/>
        <w:ind w:left="720"/>
        <w:contextualSpacing/>
        <w:jc w:val="both"/>
        <w:rPr>
          <w:rFonts w:ascii="Times New Roman" w:eastAsia="Times New Roman" w:hAnsi="Times New Roman" w:cs="Times New Roman"/>
          <w:i/>
          <w:sz w:val="24"/>
          <w:szCs w:val="24"/>
          <w:lang w:val="en-US"/>
        </w:rPr>
      </w:pP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In the Working Group study of national legislation in South America, major gaps were observed with regard to accountability concerning the protection of human rights by private security personnel. N</w:t>
      </w:r>
      <w:r w:rsidRPr="00F23EBE">
        <w:rPr>
          <w:rFonts w:ascii="Times New Roman" w:eastAsia="Times New Roman" w:hAnsi="Times New Roman" w:cs="Times New Roman"/>
          <w:sz w:val="24"/>
          <w:szCs w:val="24"/>
          <w:lang w:val="en-US" w:eastAsia="en-GB"/>
        </w:rPr>
        <w:t xml:space="preserve">o crimes are associated with the violation of human rights in the special regulations of the activities of private security companies. </w:t>
      </w:r>
      <w:r w:rsidRPr="00F23EBE">
        <w:rPr>
          <w:rFonts w:ascii="Times New Roman" w:eastAsia="Times New Roman" w:hAnsi="Times New Roman" w:cs="Times New Roman"/>
          <w:sz w:val="24"/>
          <w:szCs w:val="24"/>
          <w:lang w:val="en-US"/>
        </w:rPr>
        <w:t xml:space="preserve">None of the laws examined establishes mechanisms for reparations to victims, and only a few make reference to reparations.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eastAsia="en-GB"/>
        </w:rPr>
        <w:t xml:space="preserve">     For Europe, the analysis indicates that the relevant legislation </w:t>
      </w:r>
      <w:r w:rsidRPr="00F23EBE">
        <w:rPr>
          <w:rFonts w:ascii="Times New Roman" w:eastAsia="Times New Roman" w:hAnsi="Times New Roman" w:cs="Times New Roman"/>
          <w:bCs/>
          <w:sz w:val="24"/>
          <w:szCs w:val="24"/>
          <w:lang w:val="en-US" w:eastAsia="en-GB"/>
        </w:rPr>
        <w:t>lacks specific rules on the content of monitoring activities and inspections. The legislation also does not make reference to the company’s or its personnel’s compliance with the standards of international human rights law and humanitarian law, and to effective remedies to victims.</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In light of this, the Working Group proposes to establish a framework for oversight, and for reparation and remedy for victims (Draft Art. 13 on” Judicially enforceable remedies for victims”). Such a framework is also in keeping with the “Protect, Respect, Remedy” approach of the UN Guiding Principles on Business and Human Rights.  Part V of the first possible draft convention (Articles 29 to 39) is thus retained.</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Much of the rest of the original draft convention is also retained, including all but one of the pre-ambular paragraphs, Articles 5 and 11, and all of Part VI (Articles 40 to 49).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p>
    <w:p w:rsidR="00F23EBE" w:rsidRPr="00F23EBE" w:rsidRDefault="00F23EBE" w:rsidP="00F23EBE">
      <w:pPr>
        <w:spacing w:before="100" w:beforeAutospacing="1" w:after="100" w:afterAutospacing="1"/>
        <w:jc w:val="both"/>
        <w:rPr>
          <w:rFonts w:ascii="Times New Roman" w:eastAsia="Times New Roman" w:hAnsi="Times New Roman" w:cs="Times New Roman"/>
          <w:b/>
          <w:sz w:val="24"/>
          <w:szCs w:val="24"/>
          <w:lang w:val="en-US"/>
        </w:rPr>
      </w:pPr>
      <w:r w:rsidRPr="00F23EBE">
        <w:rPr>
          <w:rFonts w:ascii="Times New Roman" w:eastAsia="Times New Roman" w:hAnsi="Times New Roman" w:cs="Times New Roman"/>
          <w:b/>
          <w:sz w:val="24"/>
          <w:szCs w:val="24"/>
          <w:lang w:val="en-US"/>
        </w:rPr>
        <w:t>Conclusion</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r w:rsidRPr="00F23EBE">
        <w:rPr>
          <w:rFonts w:ascii="Times New Roman" w:eastAsia="Times New Roman" w:hAnsi="Times New Roman" w:cs="Times New Roman"/>
          <w:sz w:val="24"/>
          <w:szCs w:val="24"/>
          <w:lang w:val="en-US"/>
        </w:rPr>
        <w:t xml:space="preserve">    The Working Group trusts that these proposed revisions constitute a current, focused, streamlined, and realistic option for consideration as the OEIGWG proceeds with its deliberations. </w:t>
      </w:r>
    </w:p>
    <w:p w:rsidR="00F23EBE" w:rsidRPr="00F23EBE" w:rsidRDefault="00F23EBE" w:rsidP="00F23EBE">
      <w:pPr>
        <w:spacing w:before="100" w:beforeAutospacing="1" w:after="100" w:afterAutospacing="1"/>
        <w:jc w:val="both"/>
        <w:rPr>
          <w:rFonts w:ascii="Times New Roman" w:eastAsia="Times New Roman" w:hAnsi="Times New Roman" w:cs="Times New Roman"/>
          <w:sz w:val="24"/>
          <w:szCs w:val="24"/>
          <w:lang w:val="en-US"/>
        </w:rPr>
      </w:pPr>
    </w:p>
    <w:p w:rsidR="00F23EBE" w:rsidRPr="00F23EBE" w:rsidRDefault="00F23EBE">
      <w:pPr>
        <w:rPr>
          <w:rFonts w:ascii="Times New Roman" w:hAnsi="Times New Roman" w:cs="Times New Roman"/>
          <w:sz w:val="24"/>
          <w:szCs w:val="24"/>
          <w:lang w:val="en-US"/>
        </w:rPr>
      </w:pPr>
    </w:p>
    <w:sectPr w:rsidR="00F23EBE" w:rsidRPr="00F23EB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DE" w:rsidRDefault="000B31DE" w:rsidP="000217EF">
      <w:pPr>
        <w:spacing w:after="0" w:line="240" w:lineRule="auto"/>
      </w:pPr>
      <w:r>
        <w:separator/>
      </w:r>
    </w:p>
  </w:endnote>
  <w:endnote w:type="continuationSeparator" w:id="0">
    <w:p w:rsidR="000B31DE" w:rsidRDefault="000B31DE" w:rsidP="0002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967172"/>
      <w:docPartObj>
        <w:docPartGallery w:val="Page Numbers (Bottom of Page)"/>
        <w:docPartUnique/>
      </w:docPartObj>
    </w:sdtPr>
    <w:sdtEndPr>
      <w:rPr>
        <w:noProof/>
      </w:rPr>
    </w:sdtEndPr>
    <w:sdtContent>
      <w:p w:rsidR="00046827" w:rsidRDefault="00046827">
        <w:pPr>
          <w:pStyle w:val="Footer"/>
          <w:jc w:val="right"/>
        </w:pPr>
        <w:r>
          <w:fldChar w:fldCharType="begin"/>
        </w:r>
        <w:r>
          <w:instrText xml:space="preserve"> PAGE   \* MERGEFORMAT </w:instrText>
        </w:r>
        <w:r>
          <w:fldChar w:fldCharType="separate"/>
        </w:r>
        <w:r w:rsidR="00F23EBE">
          <w:rPr>
            <w:noProof/>
          </w:rPr>
          <w:t>15</w:t>
        </w:r>
        <w:r>
          <w:rPr>
            <w:noProof/>
          </w:rPr>
          <w:fldChar w:fldCharType="end"/>
        </w:r>
      </w:p>
    </w:sdtContent>
  </w:sdt>
  <w:p w:rsidR="00046827" w:rsidRDefault="00046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DE" w:rsidRDefault="000B31DE" w:rsidP="000217EF">
      <w:pPr>
        <w:spacing w:after="0" w:line="240" w:lineRule="auto"/>
      </w:pPr>
      <w:r>
        <w:separator/>
      </w:r>
    </w:p>
  </w:footnote>
  <w:footnote w:type="continuationSeparator" w:id="0">
    <w:p w:rsidR="000B31DE" w:rsidRDefault="000B31DE" w:rsidP="000217EF">
      <w:pPr>
        <w:spacing w:after="0" w:line="240" w:lineRule="auto"/>
      </w:pPr>
      <w:r>
        <w:continuationSeparator/>
      </w:r>
    </w:p>
  </w:footnote>
  <w:footnote w:id="1">
    <w:p w:rsidR="00F23EBE" w:rsidRPr="005A57E0" w:rsidRDefault="00F23EBE" w:rsidP="00F23EBE">
      <w:pPr>
        <w:pStyle w:val="NormalWeb"/>
        <w:spacing w:line="276" w:lineRule="auto"/>
        <w:rPr>
          <w:rFonts w:ascii="Times New Roman" w:hAnsi="Times New Roman"/>
        </w:rPr>
      </w:pPr>
      <w:r>
        <w:rPr>
          <w:rStyle w:val="FootnoteReference"/>
        </w:rPr>
        <w:footnoteRef/>
      </w:r>
      <w:r>
        <w:t xml:space="preserve"> Regarding </w:t>
      </w:r>
      <w:r w:rsidRPr="00BE7302">
        <w:rPr>
          <w:rFonts w:ascii="Times New Roman" w:hAnsi="Times New Roman"/>
        </w:rPr>
        <w:t xml:space="preserve">Article 43 of the </w:t>
      </w:r>
      <w:r w:rsidRPr="00BE7302">
        <w:rPr>
          <w:rFonts w:ascii="Times New Roman" w:hAnsi="Times New Roman"/>
          <w:bCs/>
          <w:spacing w:val="3"/>
        </w:rPr>
        <w:t>Protocol Additional to the Geneva Conventions of 12 August 1949, and relating to the Protection of Victims of International Armed Conflicts (Protocol I), 8 June 1977</w:t>
      </w:r>
      <w:r>
        <w:rPr>
          <w:rFonts w:ascii="Times New Roman" w:hAnsi="Times New Roman"/>
          <w:bCs/>
          <w:spacing w:val="3"/>
        </w:rPr>
        <w:t>, one commentary notes that</w:t>
      </w:r>
      <w:r w:rsidRPr="00BE7302">
        <w:rPr>
          <w:rFonts w:ascii="Times New Roman" w:hAnsi="Times New Roman"/>
        </w:rPr>
        <w:t xml:space="preserve"> ' the conditions which should all be met to participate directly</w:t>
      </w:r>
      <w:r>
        <w:rPr>
          <w:rFonts w:ascii="Times New Roman" w:hAnsi="Times New Roman"/>
        </w:rPr>
        <w:t xml:space="preserve"> in hostilities</w:t>
      </w:r>
      <w:r w:rsidRPr="00BE7302">
        <w:rPr>
          <w:rFonts w:ascii="Times New Roman" w:hAnsi="Times New Roman"/>
        </w:rPr>
        <w:t xml:space="preserve"> are the following: a) subordination to a "Party to the conflict" which represents a collective entity which is, at least</w:t>
      </w:r>
      <w:r>
        <w:rPr>
          <w:rFonts w:ascii="Times New Roman" w:hAnsi="Times New Roman"/>
        </w:rPr>
        <w:t xml:space="preserve"> in</w:t>
      </w:r>
      <w:r w:rsidRPr="00BE7302">
        <w:rPr>
          <w:rFonts w:ascii="Times New Roman" w:hAnsi="Times New Roman"/>
        </w:rPr>
        <w:t xml:space="preserve"> part, a subject of international law; b) an organization of a military character; c) a responsible command exercising effective control over the members of the organization; d) respect for the rules of international </w:t>
      </w:r>
      <w:r>
        <w:rPr>
          <w:rFonts w:ascii="Times New Roman" w:hAnsi="Times New Roman"/>
        </w:rPr>
        <w:t xml:space="preserve">law applicable in </w:t>
      </w:r>
      <w:r w:rsidRPr="00BE7302">
        <w:rPr>
          <w:rFonts w:ascii="Times New Roman" w:hAnsi="Times New Roman"/>
        </w:rPr>
        <w:t>armed conflict. These four conditions shou</w:t>
      </w:r>
      <w:r>
        <w:rPr>
          <w:rFonts w:ascii="Times New Roman" w:hAnsi="Times New Roman"/>
        </w:rPr>
        <w:t xml:space="preserve">ld be fulfilled effectively and in combination in </w:t>
      </w:r>
      <w:r w:rsidRPr="00BE7302">
        <w:rPr>
          <w:rFonts w:ascii="Times New Roman" w:hAnsi="Times New Roman"/>
        </w:rPr>
        <w:t>the field.</w:t>
      </w:r>
      <w:r>
        <w:rPr>
          <w:rFonts w:ascii="Times New Roman" w:hAnsi="Times New Roman"/>
        </w:rPr>
        <w:t xml:space="preserve"> </w:t>
      </w:r>
      <w:r w:rsidRPr="005618E0">
        <w:rPr>
          <w:rFonts w:ascii="Times New Roman" w:hAnsi="Times New Roman"/>
        </w:rPr>
        <w:t>https://www.icrc.org/applic/ihl/ihl.nsf/Comment.xsp?key=direct%20participation%20in%20hostilities&amp;action=openDocument&amp;documentId=0CDB7170225811A0C12563CD00433725</w:t>
      </w:r>
    </w:p>
  </w:footnote>
  <w:footnote w:id="2">
    <w:p w:rsidR="00F23EBE" w:rsidRPr="00980B29" w:rsidRDefault="00F23EBE" w:rsidP="00F23EBE">
      <w:pPr>
        <w:pStyle w:val="FootnoteText"/>
        <w:rPr>
          <w:rFonts w:ascii="Times New Roman" w:hAnsi="Times New Roman" w:cs="Times New Roman"/>
          <w:color w:val="222222"/>
        </w:rPr>
      </w:pPr>
      <w:r w:rsidRPr="00002F1E">
        <w:rPr>
          <w:rStyle w:val="FootnoteReference"/>
          <w:rFonts w:ascii="Times New Roman" w:hAnsi="Times New Roman" w:cs="Times New Roman"/>
          <w:sz w:val="22"/>
          <w:szCs w:val="22"/>
        </w:rPr>
        <w:footnoteRef/>
      </w:r>
      <w:r w:rsidRPr="00002F1E">
        <w:rPr>
          <w:rFonts w:ascii="Times New Roman" w:hAnsi="Times New Roman" w:cs="Times New Roman"/>
          <w:sz w:val="22"/>
          <w:szCs w:val="22"/>
        </w:rPr>
        <w:t xml:space="preserve"> </w:t>
      </w:r>
      <w:r w:rsidRPr="00980B29">
        <w:rPr>
          <w:rStyle w:val="hps"/>
          <w:rFonts w:ascii="Times New Roman" w:hAnsi="Times New Roman" w:cs="Times New Roman"/>
          <w:color w:val="222222"/>
        </w:rPr>
        <w:t>Chapter</w:t>
      </w:r>
      <w:r w:rsidRPr="00980B29">
        <w:rPr>
          <w:rFonts w:ascii="Times New Roman" w:hAnsi="Times New Roman" w:cs="Times New Roman"/>
          <w:color w:val="222222"/>
        </w:rPr>
        <w:t xml:space="preserve"> </w:t>
      </w:r>
      <w:r w:rsidRPr="00980B29">
        <w:rPr>
          <w:rStyle w:val="hps"/>
          <w:rFonts w:ascii="Times New Roman" w:hAnsi="Times New Roman" w:cs="Times New Roman"/>
          <w:color w:val="222222"/>
        </w:rPr>
        <w:t>III</w:t>
      </w:r>
      <w:r w:rsidRPr="00980B29">
        <w:rPr>
          <w:rFonts w:ascii="Times New Roman" w:hAnsi="Times New Roman" w:cs="Times New Roman"/>
          <w:color w:val="222222"/>
        </w:rPr>
        <w:t xml:space="preserve">, </w:t>
      </w:r>
      <w:r w:rsidRPr="00980B29">
        <w:rPr>
          <w:rStyle w:val="hps"/>
          <w:rFonts w:ascii="Times New Roman" w:hAnsi="Times New Roman" w:cs="Times New Roman"/>
          <w:color w:val="222222"/>
        </w:rPr>
        <w:t>Disabilities</w:t>
      </w:r>
      <w:r>
        <w:rPr>
          <w:rStyle w:val="hps"/>
          <w:rFonts w:ascii="Times New Roman" w:hAnsi="Times New Roman" w:cs="Times New Roman"/>
          <w:color w:val="222222"/>
        </w:rPr>
        <w:t xml:space="preserve"> </w:t>
      </w:r>
      <w:r w:rsidRPr="00980B29">
        <w:rPr>
          <w:rStyle w:val="hps"/>
          <w:rFonts w:ascii="Times New Roman" w:hAnsi="Times New Roman" w:cs="Times New Roman"/>
          <w:color w:val="222222"/>
        </w:rPr>
        <w:t>and incompatibilities</w:t>
      </w:r>
      <w:r w:rsidRPr="00980B29">
        <w:rPr>
          <w:rFonts w:ascii="Times New Roman" w:hAnsi="Times New Roman" w:cs="Times New Roman"/>
          <w:color w:val="222222"/>
        </w:rPr>
        <w:t xml:space="preserve">. </w:t>
      </w:r>
      <w:r w:rsidRPr="00980B29">
        <w:rPr>
          <w:rStyle w:val="hps"/>
          <w:rFonts w:ascii="Times New Roman" w:hAnsi="Times New Roman" w:cs="Times New Roman"/>
          <w:color w:val="222222"/>
        </w:rPr>
        <w:t>Decree No.</w:t>
      </w:r>
      <w:r w:rsidRPr="00980B29">
        <w:rPr>
          <w:rFonts w:ascii="Times New Roman" w:hAnsi="Times New Roman" w:cs="Times New Roman"/>
          <w:color w:val="222222"/>
        </w:rPr>
        <w:t xml:space="preserve"> </w:t>
      </w:r>
      <w:r w:rsidRPr="00980B29">
        <w:rPr>
          <w:rStyle w:val="hps"/>
          <w:rFonts w:ascii="Times New Roman" w:hAnsi="Times New Roman" w:cs="Times New Roman"/>
          <w:color w:val="222222"/>
        </w:rPr>
        <w:t>1897/202</w:t>
      </w:r>
      <w:r w:rsidRPr="00980B29">
        <w:rPr>
          <w:rFonts w:ascii="Times New Roman" w:hAnsi="Times New Roman" w:cs="Times New Roman"/>
          <w:color w:val="222222"/>
        </w:rPr>
        <w:t>.</w:t>
      </w:r>
    </w:p>
    <w:p w:rsidR="00F23EBE" w:rsidRPr="00980B29" w:rsidRDefault="00F23EBE" w:rsidP="00F23EBE">
      <w:pPr>
        <w:pStyle w:val="FootnoteText"/>
        <w:rPr>
          <w:rFonts w:ascii="Times New Roman" w:hAnsi="Times New Roman" w:cs="Times New Roman"/>
        </w:rPr>
      </w:pPr>
    </w:p>
  </w:footnote>
  <w:footnote w:id="3">
    <w:p w:rsidR="00F23EBE" w:rsidRPr="00980B29" w:rsidRDefault="00F23EBE" w:rsidP="00F23EBE">
      <w:pPr>
        <w:textAlignment w:val="top"/>
        <w:rPr>
          <w:rFonts w:ascii="Times New Roman" w:eastAsia="Times New Roman" w:hAnsi="Times New Roman" w:cs="Times New Roman"/>
          <w:sz w:val="20"/>
          <w:szCs w:val="20"/>
          <w:lang w:eastAsia="en-GB"/>
        </w:rPr>
      </w:pPr>
      <w:r w:rsidRPr="00980B29">
        <w:rPr>
          <w:rStyle w:val="FootnoteReference"/>
          <w:sz w:val="20"/>
          <w:szCs w:val="20"/>
        </w:rPr>
        <w:footnoteRef/>
      </w:r>
      <w:r w:rsidRPr="00980B29">
        <w:rPr>
          <w:sz w:val="20"/>
          <w:szCs w:val="20"/>
        </w:rPr>
        <w:t xml:space="preserve"> </w:t>
      </w:r>
      <w:r w:rsidRPr="00980B29">
        <w:rPr>
          <w:rFonts w:ascii="Times New Roman" w:eastAsia="Times New Roman" w:hAnsi="Times New Roman" w:cs="Times New Roman"/>
          <w:sz w:val="20"/>
          <w:szCs w:val="20"/>
          <w:u w:val="single"/>
          <w:lang w:eastAsia="en-GB"/>
        </w:rPr>
        <w:t>Note</w:t>
      </w:r>
      <w:r w:rsidRPr="00980B29">
        <w:rPr>
          <w:rFonts w:ascii="Times New Roman" w:eastAsia="Times New Roman" w:hAnsi="Times New Roman" w:cs="Times New Roman"/>
          <w:sz w:val="20"/>
          <w:szCs w:val="20"/>
          <w:lang w:eastAsia="en-GB"/>
        </w:rPr>
        <w:t xml:space="preserve"> The Buenos Aires requirements are a good practice to have strict controls on the conduct of the staff of private security companies demanding certification from the authorities, and not making a difference between willful or neg</w:t>
      </w:r>
      <w:r>
        <w:rPr>
          <w:rFonts w:ascii="Times New Roman" w:eastAsia="Times New Roman" w:hAnsi="Times New Roman" w:cs="Times New Roman"/>
          <w:sz w:val="20"/>
          <w:szCs w:val="20"/>
          <w:lang w:eastAsia="en-GB"/>
        </w:rPr>
        <w:t xml:space="preserve">ligent offenses. </w:t>
      </w:r>
    </w:p>
    <w:p w:rsidR="00F23EBE" w:rsidRPr="00980B29" w:rsidRDefault="00F23EBE" w:rsidP="00F23EBE">
      <w:pPr>
        <w:spacing w:after="240"/>
        <w:rPr>
          <w:rFonts w:ascii="Times New Roman" w:hAnsi="Times New Roman" w:cs="Times New Roman"/>
          <w:sz w:val="20"/>
          <w:szCs w:val="20"/>
        </w:rPr>
      </w:pPr>
      <w:r w:rsidRPr="00980B29">
        <w:rPr>
          <w:rFonts w:ascii="Times New Roman" w:eastAsia="Times New Roman" w:hAnsi="Times New Roman" w:cs="Times New Roman"/>
          <w:sz w:val="20"/>
          <w:szCs w:val="20"/>
          <w:u w:val="single"/>
        </w:rPr>
        <w:t>Note:</w:t>
      </w:r>
      <w:r>
        <w:rPr>
          <w:rFonts w:ascii="Times New Roman" w:eastAsia="Times New Roman" w:hAnsi="Times New Roman" w:cs="Times New Roman"/>
          <w:sz w:val="20"/>
          <w:szCs w:val="20"/>
          <w:lang w:val="en"/>
        </w:rPr>
        <w:t xml:space="preserve"> Honduras has</w:t>
      </w:r>
      <w:r w:rsidRPr="00980B29">
        <w:rPr>
          <w:rFonts w:ascii="Times New Roman" w:eastAsia="Times New Roman" w:hAnsi="Times New Roman" w:cs="Times New Roman"/>
          <w:sz w:val="20"/>
          <w:szCs w:val="20"/>
          <w:lang w:val="en"/>
        </w:rPr>
        <w:t xml:space="preserve"> an exceptiona</w:t>
      </w:r>
      <w:r>
        <w:rPr>
          <w:rFonts w:ascii="Times New Roman" w:eastAsia="Times New Roman" w:hAnsi="Times New Roman" w:cs="Times New Roman"/>
          <w:sz w:val="20"/>
          <w:szCs w:val="20"/>
          <w:lang w:val="en"/>
        </w:rPr>
        <w:t xml:space="preserve">l rule, which states that PSCs </w:t>
      </w:r>
      <w:r w:rsidRPr="00980B29">
        <w:rPr>
          <w:rFonts w:ascii="Times New Roman" w:eastAsia="Times New Roman" w:hAnsi="Times New Roman" w:cs="Times New Roman"/>
          <w:sz w:val="20"/>
          <w:szCs w:val="20"/>
          <w:lang w:val="en"/>
        </w:rPr>
        <w:t xml:space="preserve">may not maintain a number of personnel that exceeds 6% of the total </w:t>
      </w:r>
      <w:r>
        <w:rPr>
          <w:rFonts w:ascii="Times New Roman" w:eastAsia="Times New Roman" w:hAnsi="Times New Roman" w:cs="Times New Roman"/>
          <w:sz w:val="20"/>
          <w:szCs w:val="20"/>
          <w:lang w:val="en"/>
        </w:rPr>
        <w:t>workforce police. T</w:t>
      </w:r>
      <w:r w:rsidRPr="00980B29">
        <w:rPr>
          <w:rFonts w:ascii="Times New Roman" w:eastAsia="Times New Roman" w:hAnsi="Times New Roman" w:cs="Times New Roman"/>
          <w:sz w:val="20"/>
          <w:szCs w:val="20"/>
          <w:lang w:val="en"/>
        </w:rPr>
        <w:t>his requirement is</w:t>
      </w:r>
      <w:r>
        <w:rPr>
          <w:rFonts w:ascii="Times New Roman" w:eastAsia="Times New Roman" w:hAnsi="Times New Roman" w:cs="Times New Roman"/>
          <w:sz w:val="20"/>
          <w:szCs w:val="20"/>
          <w:lang w:val="en"/>
        </w:rPr>
        <w:t xml:space="preserve"> presented as a good practice.</w:t>
      </w:r>
    </w:p>
  </w:footnote>
  <w:footnote w:id="4">
    <w:p w:rsidR="00F23EBE" w:rsidRPr="00980B29" w:rsidRDefault="00F23EBE" w:rsidP="00F23EBE">
      <w:pPr>
        <w:rPr>
          <w:rFonts w:ascii="Times New Roman" w:hAnsi="Times New Roman"/>
          <w:sz w:val="20"/>
          <w:szCs w:val="20"/>
        </w:rPr>
      </w:pPr>
      <w:r w:rsidRPr="00980B29">
        <w:rPr>
          <w:rStyle w:val="FootnoteReference"/>
          <w:rFonts w:ascii="Times New Roman" w:hAnsi="Times New Roman"/>
          <w:sz w:val="20"/>
          <w:szCs w:val="20"/>
        </w:rPr>
        <w:footnoteRef/>
      </w:r>
      <w:r w:rsidRPr="00980B29">
        <w:rPr>
          <w:rFonts w:ascii="Times New Roman" w:hAnsi="Times New Roman"/>
          <w:sz w:val="20"/>
          <w:szCs w:val="20"/>
        </w:rPr>
        <w:t xml:space="preserve"> </w:t>
      </w:r>
      <w:r w:rsidRPr="00980B29">
        <w:rPr>
          <w:rStyle w:val="hps"/>
          <w:rFonts w:ascii="Times New Roman" w:hAnsi="Times New Roman"/>
          <w:sz w:val="20"/>
          <w:szCs w:val="20"/>
        </w:rPr>
        <w:t>Art.</w:t>
      </w:r>
      <w:r w:rsidRPr="00980B29">
        <w:rPr>
          <w:rStyle w:val="shorttext"/>
          <w:rFonts w:ascii="Times New Roman" w:hAnsi="Times New Roman"/>
        </w:rPr>
        <w:t xml:space="preserve"> </w:t>
      </w:r>
      <w:r w:rsidRPr="00980B29">
        <w:rPr>
          <w:rStyle w:val="hps"/>
          <w:rFonts w:ascii="Times New Roman" w:hAnsi="Times New Roman"/>
          <w:sz w:val="20"/>
          <w:szCs w:val="20"/>
        </w:rPr>
        <w:t>8</w:t>
      </w:r>
      <w:r w:rsidRPr="00980B29">
        <w:rPr>
          <w:rStyle w:val="shorttext"/>
          <w:rFonts w:ascii="Times New Roman" w:hAnsi="Times New Roman"/>
        </w:rPr>
        <w:t xml:space="preserve"> </w:t>
      </w:r>
      <w:r w:rsidRPr="00980B29">
        <w:rPr>
          <w:rStyle w:val="hps"/>
          <w:rFonts w:ascii="Times New Roman" w:hAnsi="Times New Roman"/>
          <w:sz w:val="20"/>
          <w:szCs w:val="20"/>
        </w:rPr>
        <w:t>Decree</w:t>
      </w:r>
      <w:r w:rsidRPr="00980B29">
        <w:rPr>
          <w:rStyle w:val="shorttext"/>
          <w:rFonts w:ascii="Times New Roman" w:hAnsi="Times New Roman"/>
        </w:rPr>
        <w:t xml:space="preserve"> </w:t>
      </w:r>
      <w:r w:rsidRPr="00980B29">
        <w:rPr>
          <w:rStyle w:val="hps"/>
          <w:rFonts w:ascii="Times New Roman" w:hAnsi="Times New Roman"/>
          <w:sz w:val="20"/>
          <w:szCs w:val="20"/>
        </w:rPr>
        <w:t>21/1992</w:t>
      </w:r>
      <w:r w:rsidRPr="00980B29">
        <w:rPr>
          <w:rStyle w:val="shorttext"/>
          <w:rFonts w:ascii="Times New Roman" w:hAnsi="Times New Roman"/>
        </w:rPr>
        <w:t>.</w:t>
      </w:r>
    </w:p>
  </w:footnote>
  <w:footnote w:id="5">
    <w:p w:rsidR="00F23EBE" w:rsidRPr="00980B29" w:rsidRDefault="00F23EBE" w:rsidP="00F23EBE">
      <w:pPr>
        <w:rPr>
          <w:rFonts w:ascii="Times New Roman" w:hAnsi="Times New Roman" w:cs="Times New Roman"/>
          <w:sz w:val="20"/>
          <w:szCs w:val="20"/>
        </w:rPr>
      </w:pPr>
      <w:r>
        <w:rPr>
          <w:rStyle w:val="FootnoteReference"/>
        </w:rPr>
        <w:footnoteRef/>
      </w:r>
      <w:r>
        <w:t xml:space="preserve"> </w:t>
      </w:r>
      <w:r w:rsidRPr="00980B29">
        <w:rPr>
          <w:rStyle w:val="hps"/>
          <w:rFonts w:ascii="Times New Roman" w:hAnsi="Times New Roman" w:cs="Times New Roman"/>
          <w:sz w:val="20"/>
          <w:szCs w:val="20"/>
          <w:u w:val="single"/>
        </w:rPr>
        <w:t>Note</w:t>
      </w:r>
      <w:r w:rsidRPr="00980B29">
        <w:rPr>
          <w:rStyle w:val="hps"/>
          <w:rFonts w:ascii="Times New Roman" w:hAnsi="Times New Roman" w:cs="Times New Roman"/>
          <w:sz w:val="20"/>
          <w:szCs w:val="20"/>
        </w:rPr>
        <w:t xml:space="preserve"> Regarding the possession</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and carrying of</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weapons,</w:t>
      </w:r>
      <w:r w:rsidRPr="00980B29">
        <w:rPr>
          <w:rFonts w:ascii="Times New Roman" w:hAnsi="Times New Roman" w:cs="Times New Roman"/>
          <w:sz w:val="20"/>
          <w:szCs w:val="20"/>
        </w:rPr>
        <w:t xml:space="preserve"> some</w:t>
      </w:r>
      <w:r w:rsidRPr="00980B29">
        <w:rPr>
          <w:rStyle w:val="hps"/>
          <w:rFonts w:ascii="Times New Roman" w:hAnsi="Times New Roman" w:cs="Times New Roman"/>
          <w:sz w:val="20"/>
          <w:szCs w:val="20"/>
        </w:rPr>
        <w:t xml:space="preserve"> good practices are</w:t>
      </w:r>
      <w:r w:rsidRPr="00980B29">
        <w:rPr>
          <w:rFonts w:ascii="Times New Roman" w:hAnsi="Times New Roman" w:cs="Times New Roman"/>
          <w:sz w:val="20"/>
          <w:szCs w:val="20"/>
        </w:rPr>
        <w:t xml:space="preserve">: </w:t>
      </w:r>
    </w:p>
    <w:p w:rsidR="00F23EBE" w:rsidRPr="00980B29" w:rsidRDefault="00F23EBE" w:rsidP="00F23EBE">
      <w:pPr>
        <w:pStyle w:val="ListParagraph"/>
        <w:numPr>
          <w:ilvl w:val="0"/>
          <w:numId w:val="6"/>
        </w:numPr>
        <w:rPr>
          <w:rFonts w:ascii="Times New Roman" w:hAnsi="Times New Roman" w:cs="Times New Roman"/>
          <w:sz w:val="20"/>
          <w:szCs w:val="20"/>
        </w:rPr>
      </w:pPr>
      <w:r w:rsidRPr="00980B29">
        <w:rPr>
          <w:rStyle w:val="hps"/>
          <w:rFonts w:ascii="Times New Roman" w:hAnsi="Times New Roman" w:cs="Times New Roman"/>
          <w:sz w:val="20"/>
          <w:szCs w:val="20"/>
        </w:rPr>
        <w:t>defining</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in law</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the highest caliber and</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type of</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weapon;</w:t>
      </w:r>
      <w:r w:rsidRPr="00980B29">
        <w:rPr>
          <w:rFonts w:ascii="Times New Roman" w:hAnsi="Times New Roman" w:cs="Times New Roman"/>
          <w:sz w:val="20"/>
          <w:szCs w:val="20"/>
        </w:rPr>
        <w:t xml:space="preserve"> </w:t>
      </w:r>
    </w:p>
    <w:p w:rsidR="00F23EBE" w:rsidRPr="00980B29" w:rsidRDefault="00F23EBE" w:rsidP="00F23EBE">
      <w:pPr>
        <w:pStyle w:val="ListParagraph"/>
        <w:numPr>
          <w:ilvl w:val="0"/>
          <w:numId w:val="6"/>
        </w:numPr>
        <w:rPr>
          <w:rFonts w:ascii="Times New Roman" w:hAnsi="Times New Roman" w:cs="Times New Roman"/>
          <w:sz w:val="20"/>
          <w:szCs w:val="20"/>
        </w:rPr>
      </w:pPr>
      <w:r w:rsidRPr="00980B29">
        <w:rPr>
          <w:rStyle w:val="hps"/>
          <w:rFonts w:ascii="Times New Roman" w:hAnsi="Times New Roman" w:cs="Times New Roman"/>
          <w:sz w:val="20"/>
          <w:szCs w:val="20"/>
        </w:rPr>
        <w:t>requiring</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training</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for</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bodies accredited</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by the authority</w:t>
      </w:r>
      <w:r w:rsidRPr="00980B29">
        <w:rPr>
          <w:rFonts w:ascii="Times New Roman" w:hAnsi="Times New Roman" w:cs="Times New Roman"/>
          <w:sz w:val="20"/>
          <w:szCs w:val="20"/>
        </w:rPr>
        <w:t>,</w:t>
      </w:r>
    </w:p>
    <w:p w:rsidR="00F23EBE" w:rsidRPr="00980B29" w:rsidRDefault="00F23EBE" w:rsidP="00F23EBE">
      <w:pPr>
        <w:pStyle w:val="ListParagraph"/>
        <w:numPr>
          <w:ilvl w:val="0"/>
          <w:numId w:val="6"/>
        </w:numPr>
        <w:rPr>
          <w:rFonts w:ascii="Times New Roman" w:hAnsi="Times New Roman" w:cs="Times New Roman"/>
          <w:sz w:val="20"/>
          <w:szCs w:val="20"/>
        </w:rPr>
      </w:pPr>
      <w:r w:rsidRPr="00980B29">
        <w:rPr>
          <w:rStyle w:val="hps"/>
          <w:rFonts w:ascii="Times New Roman" w:hAnsi="Times New Roman" w:cs="Times New Roman"/>
          <w:sz w:val="20"/>
          <w:szCs w:val="20"/>
        </w:rPr>
        <w:t>registries of</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firearms and</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ammunition with a</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report on</w:t>
      </w:r>
      <w:r w:rsidRPr="00980B29">
        <w:rPr>
          <w:rFonts w:ascii="Times New Roman" w:hAnsi="Times New Roman" w:cs="Times New Roman"/>
          <w:sz w:val="20"/>
          <w:szCs w:val="20"/>
        </w:rPr>
        <w:t xml:space="preserve"> the </w:t>
      </w:r>
      <w:r w:rsidRPr="00980B29">
        <w:rPr>
          <w:rStyle w:val="hps"/>
          <w:rFonts w:ascii="Times New Roman" w:hAnsi="Times New Roman" w:cs="Times New Roman"/>
          <w:sz w:val="20"/>
          <w:szCs w:val="20"/>
        </w:rPr>
        <w:t>quantity,</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type and condition</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of weapons</w:t>
      </w:r>
      <w:r w:rsidRPr="00980B29">
        <w:rPr>
          <w:rFonts w:ascii="Times New Roman" w:hAnsi="Times New Roman" w:cs="Times New Roman"/>
          <w:sz w:val="20"/>
          <w:szCs w:val="20"/>
        </w:rPr>
        <w:t>, up</w:t>
      </w:r>
      <w:r w:rsidRPr="00980B29">
        <w:rPr>
          <w:rStyle w:val="hps"/>
          <w:rFonts w:ascii="Times New Roman" w:hAnsi="Times New Roman" w:cs="Times New Roman"/>
          <w:sz w:val="20"/>
          <w:szCs w:val="20"/>
        </w:rPr>
        <w:t>dated periodically;</w:t>
      </w:r>
      <w:r w:rsidRPr="00980B29">
        <w:rPr>
          <w:rFonts w:ascii="Times New Roman" w:hAnsi="Times New Roman" w:cs="Times New Roman"/>
          <w:sz w:val="20"/>
          <w:szCs w:val="20"/>
        </w:rPr>
        <w:t xml:space="preserve"> </w:t>
      </w:r>
    </w:p>
    <w:p w:rsidR="00F23EBE" w:rsidRPr="00980B29" w:rsidRDefault="00F23EBE" w:rsidP="00F23EBE">
      <w:pPr>
        <w:pStyle w:val="ListParagraph"/>
        <w:numPr>
          <w:ilvl w:val="0"/>
          <w:numId w:val="6"/>
        </w:numPr>
        <w:rPr>
          <w:rFonts w:ascii="Times New Roman" w:hAnsi="Times New Roman" w:cs="Times New Roman"/>
          <w:sz w:val="20"/>
          <w:szCs w:val="20"/>
        </w:rPr>
      </w:pPr>
      <w:r w:rsidRPr="00980B29">
        <w:rPr>
          <w:rStyle w:val="hps"/>
          <w:rFonts w:ascii="Times New Roman" w:hAnsi="Times New Roman" w:cs="Times New Roman"/>
          <w:sz w:val="20"/>
          <w:szCs w:val="20"/>
        </w:rPr>
        <w:t>regulating the</w:t>
      </w:r>
      <w:r w:rsidRPr="00980B29">
        <w:rPr>
          <w:rFonts w:ascii="Times New Roman" w:hAnsi="Times New Roman" w:cs="Times New Roman"/>
          <w:sz w:val="20"/>
          <w:szCs w:val="20"/>
        </w:rPr>
        <w:t xml:space="preserve"> ultimate purpose and use</w:t>
      </w:r>
      <w:r w:rsidRPr="00980B29">
        <w:rPr>
          <w:rStyle w:val="hps"/>
          <w:rFonts w:ascii="Times New Roman" w:hAnsi="Times New Roman" w:cs="Times New Roman"/>
          <w:sz w:val="20"/>
          <w:szCs w:val="20"/>
        </w:rPr>
        <w:t xml:space="preserve"> of the weapons</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in the case of significant</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downsizing</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or termination of</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the company</w:t>
      </w:r>
      <w:r w:rsidRPr="00980B29">
        <w:rPr>
          <w:rFonts w:ascii="Times New Roman" w:hAnsi="Times New Roman" w:cs="Times New Roman"/>
          <w:sz w:val="20"/>
          <w:szCs w:val="20"/>
        </w:rPr>
        <w:t xml:space="preserve">; </w:t>
      </w:r>
    </w:p>
    <w:p w:rsidR="00F23EBE" w:rsidRPr="00980B29" w:rsidRDefault="00F23EBE" w:rsidP="00F23EBE">
      <w:pPr>
        <w:pStyle w:val="ListParagraph"/>
        <w:numPr>
          <w:ilvl w:val="0"/>
          <w:numId w:val="6"/>
        </w:numPr>
        <w:rPr>
          <w:rFonts w:ascii="Times New Roman" w:hAnsi="Times New Roman" w:cs="Times New Roman"/>
          <w:sz w:val="20"/>
          <w:szCs w:val="20"/>
        </w:rPr>
      </w:pPr>
      <w:r w:rsidRPr="00980B29">
        <w:rPr>
          <w:rStyle w:val="hps"/>
          <w:rFonts w:ascii="Times New Roman" w:hAnsi="Times New Roman" w:cs="Times New Roman"/>
          <w:sz w:val="20"/>
          <w:szCs w:val="20"/>
        </w:rPr>
        <w:t>limiting carrying of arms</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to</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the working areas</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in accordance with the contract</w:t>
      </w:r>
      <w:r w:rsidRPr="00980B29">
        <w:rPr>
          <w:rFonts w:ascii="Times New Roman" w:hAnsi="Times New Roman" w:cs="Times New Roman"/>
          <w:sz w:val="20"/>
          <w:szCs w:val="20"/>
        </w:rPr>
        <w:t>;</w:t>
      </w:r>
    </w:p>
    <w:p w:rsidR="00F23EBE" w:rsidRPr="00980B29" w:rsidRDefault="00F23EBE" w:rsidP="00F23EBE">
      <w:pPr>
        <w:pStyle w:val="ListParagraph"/>
        <w:numPr>
          <w:ilvl w:val="0"/>
          <w:numId w:val="6"/>
        </w:numPr>
        <w:rPr>
          <w:rStyle w:val="hps"/>
          <w:rFonts w:ascii="Times New Roman" w:hAnsi="Times New Roman" w:cs="Times New Roman"/>
          <w:sz w:val="20"/>
          <w:szCs w:val="20"/>
        </w:rPr>
      </w:pPr>
      <w:r w:rsidRPr="00980B29">
        <w:rPr>
          <w:rStyle w:val="hps"/>
          <w:rFonts w:ascii="Times New Roman" w:hAnsi="Times New Roman" w:cs="Times New Roman"/>
          <w:sz w:val="20"/>
          <w:szCs w:val="20"/>
        </w:rPr>
        <w:t>regular inspections of</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the repositories of guns and</w:t>
      </w:r>
      <w:r w:rsidRPr="00980B29">
        <w:rPr>
          <w:rFonts w:ascii="Times New Roman" w:hAnsi="Times New Roman" w:cs="Times New Roman"/>
          <w:sz w:val="20"/>
          <w:szCs w:val="20"/>
        </w:rPr>
        <w:t xml:space="preserve"> </w:t>
      </w:r>
      <w:r w:rsidRPr="00980B29">
        <w:rPr>
          <w:rStyle w:val="hps"/>
          <w:rFonts w:ascii="Times New Roman" w:hAnsi="Times New Roman" w:cs="Times New Roman"/>
          <w:sz w:val="20"/>
          <w:szCs w:val="20"/>
        </w:rPr>
        <w:t xml:space="preserve">ammunition. </w:t>
      </w:r>
    </w:p>
    <w:p w:rsidR="00F23EBE" w:rsidRPr="00980B29" w:rsidRDefault="00F23EBE" w:rsidP="00F23EBE">
      <w:pPr>
        <w:rPr>
          <w:rFonts w:ascii="Times New Roman" w:hAnsi="Times New Roman" w:cs="Times New Roman"/>
          <w:sz w:val="20"/>
          <w:szCs w:val="20"/>
        </w:rPr>
      </w:pPr>
    </w:p>
    <w:p w:rsidR="00F23EBE" w:rsidRPr="00980B29" w:rsidRDefault="00F23EBE" w:rsidP="00F23EBE">
      <w:pPr>
        <w:pStyle w:val="FootnoteText"/>
      </w:pPr>
    </w:p>
  </w:footnote>
  <w:footnote w:id="6">
    <w:p w:rsidR="00F23EBE" w:rsidRPr="00980B29" w:rsidRDefault="00F23EBE" w:rsidP="00F23EBE">
      <w:pPr>
        <w:rPr>
          <w:rFonts w:ascii="Times New Roman" w:hAnsi="Times New Roman" w:cs="Times New Roman"/>
          <w:sz w:val="20"/>
          <w:szCs w:val="20"/>
        </w:rPr>
      </w:pPr>
      <w:r w:rsidRPr="00980B29">
        <w:rPr>
          <w:rStyle w:val="FootnoteReference"/>
          <w:sz w:val="20"/>
          <w:szCs w:val="20"/>
        </w:rPr>
        <w:footnoteRef/>
      </w:r>
      <w:r w:rsidRPr="00980B29">
        <w:rPr>
          <w:sz w:val="20"/>
          <w:szCs w:val="20"/>
        </w:rPr>
        <w:t xml:space="preserve"> </w:t>
      </w:r>
      <w:r w:rsidRPr="00980B29">
        <w:rPr>
          <w:rFonts w:ascii="Times New Roman" w:eastAsia="Times New Roman" w:hAnsi="Times New Roman" w:cs="Times New Roman"/>
          <w:sz w:val="20"/>
          <w:szCs w:val="20"/>
          <w:u w:val="single"/>
          <w:lang w:eastAsia="en-GB"/>
        </w:rPr>
        <w:t>Note</w:t>
      </w:r>
      <w:r w:rsidRPr="00980B29">
        <w:rPr>
          <w:rFonts w:ascii="Times New Roman" w:eastAsia="Times New Roman" w:hAnsi="Times New Roman" w:cs="Times New Roman"/>
          <w:sz w:val="20"/>
          <w:szCs w:val="20"/>
          <w:lang w:eastAsia="en-GB"/>
        </w:rPr>
        <w:t xml:space="preserve"> Buenos Aires requires that the implementing authority undertake registration of persons authorized to provide private security services</w:t>
      </w:r>
      <w:r w:rsidRPr="00980B29">
        <w:rPr>
          <w:rStyle w:val="FootnoteReference"/>
          <w:rFonts w:ascii="Times New Roman" w:eastAsia="Times New Roman" w:hAnsi="Times New Roman" w:cs="Times New Roman"/>
          <w:sz w:val="20"/>
          <w:szCs w:val="20"/>
          <w:lang w:eastAsia="en-GB"/>
        </w:rPr>
        <w:footnoteRef/>
      </w:r>
      <w:r w:rsidRPr="00980B29">
        <w:rPr>
          <w:rFonts w:ascii="Times New Roman" w:eastAsia="Times New Roman" w:hAnsi="Times New Roman" w:cs="Times New Roman"/>
          <w:sz w:val="20"/>
          <w:szCs w:val="20"/>
          <w:lang w:eastAsia="en-GB"/>
        </w:rPr>
        <w:t xml:space="preserve"> and also established a register of those disqualified for violations of the Law 12,297</w:t>
      </w:r>
      <w:r w:rsidRPr="00980B29">
        <w:rPr>
          <w:rStyle w:val="FootnoteReference"/>
          <w:rFonts w:ascii="Times New Roman" w:eastAsia="Times New Roman" w:hAnsi="Times New Roman" w:cs="Times New Roman"/>
          <w:sz w:val="20"/>
          <w:szCs w:val="20"/>
          <w:lang w:eastAsia="en-GB"/>
        </w:rPr>
        <w:footnoteRef/>
      </w:r>
      <w:r w:rsidRPr="00980B29">
        <w:rPr>
          <w:rFonts w:ascii="Times New Roman" w:eastAsia="Times New Roman" w:hAnsi="Times New Roman" w:cs="Times New Roman"/>
          <w:sz w:val="20"/>
          <w:szCs w:val="20"/>
          <w:lang w:eastAsia="en-GB"/>
        </w:rPr>
        <w:t>. This last record is good practice … as it would maintain control over those who have committed offenses in the private security system from continuing to provide private security services company despite changing itself or its city of oper</w:t>
      </w:r>
      <w:r>
        <w:rPr>
          <w:rFonts w:ascii="Times New Roman" w:eastAsia="Times New Roman" w:hAnsi="Times New Roman" w:cs="Times New Roman"/>
          <w:sz w:val="20"/>
          <w:szCs w:val="20"/>
          <w:lang w:eastAsia="en-GB"/>
        </w:rPr>
        <w:t xml:space="preserve">ation, as often happens today. </w:t>
      </w:r>
    </w:p>
    <w:p w:rsidR="00F23EBE" w:rsidRPr="0053517C" w:rsidRDefault="00F23EBE" w:rsidP="00F23EB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D8" w:rsidRPr="00DD21D8" w:rsidRDefault="00DD21D8" w:rsidP="00DD21D8">
    <w:pPr>
      <w:pStyle w:val="Header"/>
      <w:ind w:left="6480"/>
      <w:rPr>
        <w:rFonts w:ascii="Times New Roman" w:hAnsi="Times New Roman" w:cs="Times New Roman"/>
        <w:i/>
        <w:sz w:val="24"/>
        <w:szCs w:val="24"/>
      </w:rPr>
    </w:pPr>
    <w:r w:rsidRPr="00DD21D8">
      <w:rPr>
        <w:rFonts w:ascii="Times New Roman" w:hAnsi="Times New Roman" w:cs="Times New Roman"/>
        <w:i/>
        <w:sz w:val="24"/>
        <w:szCs w:val="24"/>
      </w:rPr>
      <w:t>Check against delivery</w:t>
    </w:r>
  </w:p>
  <w:p w:rsidR="00DD21D8" w:rsidRDefault="00DD2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526"/>
    <w:multiLevelType w:val="hybridMultilevel"/>
    <w:tmpl w:val="2B084544"/>
    <w:lvl w:ilvl="0" w:tplc="DB04A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4378E2"/>
    <w:multiLevelType w:val="hybridMultilevel"/>
    <w:tmpl w:val="A54861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3E7AAF"/>
    <w:multiLevelType w:val="hybridMultilevel"/>
    <w:tmpl w:val="BEB0F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C1A51"/>
    <w:multiLevelType w:val="hybridMultilevel"/>
    <w:tmpl w:val="C51EBE74"/>
    <w:lvl w:ilvl="0" w:tplc="81AE93A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8F3EFF"/>
    <w:multiLevelType w:val="hybridMultilevel"/>
    <w:tmpl w:val="0568C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DE7B62"/>
    <w:multiLevelType w:val="hybridMultilevel"/>
    <w:tmpl w:val="522CB804"/>
    <w:lvl w:ilvl="0" w:tplc="213C5E96">
      <w:start w:val="1"/>
      <w:numFmt w:val="decimal"/>
      <w:lvlText w:val="%1."/>
      <w:lvlJc w:val="left"/>
      <w:pPr>
        <w:tabs>
          <w:tab w:val="num" w:pos="2835"/>
        </w:tabs>
        <w:ind w:left="2268" w:firstLine="0"/>
      </w:pPr>
      <w:rPr>
        <w:b w:val="0"/>
      </w:rPr>
    </w:lvl>
    <w:lvl w:ilvl="1" w:tplc="04090019">
      <w:start w:val="1"/>
      <w:numFmt w:val="lowerLetter"/>
      <w:lvlText w:val="%2."/>
      <w:lvlJc w:val="left"/>
      <w:pPr>
        <w:tabs>
          <w:tab w:val="num" w:pos="2574"/>
        </w:tabs>
        <w:ind w:left="2574" w:hanging="360"/>
      </w:pPr>
    </w:lvl>
    <w:lvl w:ilvl="2" w:tplc="08C4B962">
      <w:start w:val="1"/>
      <w:numFmt w:val="decimal"/>
      <w:lvlText w:val="%3."/>
      <w:lvlJc w:val="left"/>
      <w:pPr>
        <w:tabs>
          <w:tab w:val="num" w:pos="1701"/>
        </w:tabs>
        <w:ind w:left="1134" w:firstLine="0"/>
      </w:pPr>
      <w:rPr>
        <w:b w:val="0"/>
        <w:sz w:val="20"/>
        <w:szCs w:val="20"/>
      </w:r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6">
    <w:nsid w:val="4CA77668"/>
    <w:multiLevelType w:val="hybridMultilevel"/>
    <w:tmpl w:val="9044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B4582B"/>
    <w:multiLevelType w:val="hybridMultilevel"/>
    <w:tmpl w:val="4D7C22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0872E1"/>
    <w:multiLevelType w:val="hybridMultilevel"/>
    <w:tmpl w:val="318672A8"/>
    <w:lvl w:ilvl="0" w:tplc="39B4072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4C76090"/>
    <w:multiLevelType w:val="hybridMultilevel"/>
    <w:tmpl w:val="965CE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F86361"/>
    <w:multiLevelType w:val="hybridMultilevel"/>
    <w:tmpl w:val="CB68E676"/>
    <w:lvl w:ilvl="0" w:tplc="F03CB4A8">
      <w:start w:val="1"/>
      <w:numFmt w:val="lowerLetter"/>
      <w:lvlText w:val="%1)"/>
      <w:lvlJc w:val="left"/>
      <w:pPr>
        <w:ind w:left="720" w:hanging="360"/>
      </w:pPr>
      <w:rPr>
        <w:rFonts w:hint="default"/>
        <w:b/>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B52D5"/>
    <w:multiLevelType w:val="hybridMultilevel"/>
    <w:tmpl w:val="D4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710074"/>
    <w:multiLevelType w:val="hybridMultilevel"/>
    <w:tmpl w:val="0E648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0"/>
  </w:num>
  <w:num w:numId="5">
    <w:abstractNumId w:val="2"/>
  </w:num>
  <w:num w:numId="6">
    <w:abstractNumId w:val="11"/>
  </w:num>
  <w:num w:numId="7">
    <w:abstractNumId w:val="6"/>
  </w:num>
  <w:num w:numId="8">
    <w:abstractNumId w:val="9"/>
  </w:num>
  <w:num w:numId="9">
    <w:abstractNumId w:val="7"/>
  </w:num>
  <w:num w:numId="10">
    <w:abstractNumId w:val="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04"/>
    <w:rsid w:val="00014231"/>
    <w:rsid w:val="000161DA"/>
    <w:rsid w:val="000217EF"/>
    <w:rsid w:val="0003381A"/>
    <w:rsid w:val="000436F4"/>
    <w:rsid w:val="00046827"/>
    <w:rsid w:val="00053F16"/>
    <w:rsid w:val="0007338E"/>
    <w:rsid w:val="00095ECA"/>
    <w:rsid w:val="000B31DE"/>
    <w:rsid w:val="000E1817"/>
    <w:rsid w:val="000E4D9E"/>
    <w:rsid w:val="000F693F"/>
    <w:rsid w:val="00102271"/>
    <w:rsid w:val="001709A2"/>
    <w:rsid w:val="001852B7"/>
    <w:rsid w:val="001B66D2"/>
    <w:rsid w:val="001D4316"/>
    <w:rsid w:val="001E1FB5"/>
    <w:rsid w:val="002229D3"/>
    <w:rsid w:val="00234680"/>
    <w:rsid w:val="00236061"/>
    <w:rsid w:val="0026462C"/>
    <w:rsid w:val="00276007"/>
    <w:rsid w:val="0028300D"/>
    <w:rsid w:val="002875D5"/>
    <w:rsid w:val="002B3C79"/>
    <w:rsid w:val="002C21CF"/>
    <w:rsid w:val="002D0D60"/>
    <w:rsid w:val="002E1A09"/>
    <w:rsid w:val="002E3D5D"/>
    <w:rsid w:val="002F13E4"/>
    <w:rsid w:val="0030773A"/>
    <w:rsid w:val="00327364"/>
    <w:rsid w:val="00332C94"/>
    <w:rsid w:val="0034193D"/>
    <w:rsid w:val="0035164A"/>
    <w:rsid w:val="0036477D"/>
    <w:rsid w:val="00365B41"/>
    <w:rsid w:val="0039733D"/>
    <w:rsid w:val="003A0032"/>
    <w:rsid w:val="003D62C9"/>
    <w:rsid w:val="003E5F0F"/>
    <w:rsid w:val="00403D57"/>
    <w:rsid w:val="004100DF"/>
    <w:rsid w:val="004156A0"/>
    <w:rsid w:val="0042264F"/>
    <w:rsid w:val="00483EF7"/>
    <w:rsid w:val="004A3C71"/>
    <w:rsid w:val="004C4CDE"/>
    <w:rsid w:val="004D35FA"/>
    <w:rsid w:val="004D5106"/>
    <w:rsid w:val="00532332"/>
    <w:rsid w:val="00571537"/>
    <w:rsid w:val="00594E05"/>
    <w:rsid w:val="005F3012"/>
    <w:rsid w:val="00611668"/>
    <w:rsid w:val="00636B23"/>
    <w:rsid w:val="006570E5"/>
    <w:rsid w:val="006C380C"/>
    <w:rsid w:val="006C401B"/>
    <w:rsid w:val="006C4CD4"/>
    <w:rsid w:val="00707483"/>
    <w:rsid w:val="00724F7C"/>
    <w:rsid w:val="0073037A"/>
    <w:rsid w:val="0073297F"/>
    <w:rsid w:val="00741896"/>
    <w:rsid w:val="00774187"/>
    <w:rsid w:val="00775DC0"/>
    <w:rsid w:val="007B2EEC"/>
    <w:rsid w:val="007B4C6B"/>
    <w:rsid w:val="00836E45"/>
    <w:rsid w:val="008473A8"/>
    <w:rsid w:val="00856E5B"/>
    <w:rsid w:val="0087105F"/>
    <w:rsid w:val="008767A5"/>
    <w:rsid w:val="00876A16"/>
    <w:rsid w:val="008A2B04"/>
    <w:rsid w:val="008D4702"/>
    <w:rsid w:val="008F7FE2"/>
    <w:rsid w:val="00930750"/>
    <w:rsid w:val="00970994"/>
    <w:rsid w:val="0099435C"/>
    <w:rsid w:val="00997008"/>
    <w:rsid w:val="009A4221"/>
    <w:rsid w:val="00A14949"/>
    <w:rsid w:val="00A857C1"/>
    <w:rsid w:val="00AB3B56"/>
    <w:rsid w:val="00AD7F4B"/>
    <w:rsid w:val="00AF430D"/>
    <w:rsid w:val="00B464D0"/>
    <w:rsid w:val="00B528E0"/>
    <w:rsid w:val="00B91F41"/>
    <w:rsid w:val="00B95848"/>
    <w:rsid w:val="00BA587A"/>
    <w:rsid w:val="00BC1E7E"/>
    <w:rsid w:val="00BD43D6"/>
    <w:rsid w:val="00BE6720"/>
    <w:rsid w:val="00BF70F7"/>
    <w:rsid w:val="00C05F8D"/>
    <w:rsid w:val="00C6081C"/>
    <w:rsid w:val="00C82F0B"/>
    <w:rsid w:val="00CA6C0C"/>
    <w:rsid w:val="00CB3679"/>
    <w:rsid w:val="00D16C35"/>
    <w:rsid w:val="00D34811"/>
    <w:rsid w:val="00D367F1"/>
    <w:rsid w:val="00D7324B"/>
    <w:rsid w:val="00DC16EE"/>
    <w:rsid w:val="00DD21D8"/>
    <w:rsid w:val="00DF1D9F"/>
    <w:rsid w:val="00E0459E"/>
    <w:rsid w:val="00E14C58"/>
    <w:rsid w:val="00E17D1E"/>
    <w:rsid w:val="00E2352A"/>
    <w:rsid w:val="00E36342"/>
    <w:rsid w:val="00E4014F"/>
    <w:rsid w:val="00E50A3D"/>
    <w:rsid w:val="00F017D0"/>
    <w:rsid w:val="00F20118"/>
    <w:rsid w:val="00F23EBE"/>
    <w:rsid w:val="00FD0B11"/>
    <w:rsid w:val="00FD5542"/>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ngleTxtGChar">
    <w:name w:val="_ Single Txt_G Char"/>
    <w:link w:val="SingleTxtG"/>
    <w:locked/>
    <w:rsid w:val="00D34811"/>
  </w:style>
  <w:style w:type="paragraph" w:customStyle="1" w:styleId="SingleTxtG">
    <w:name w:val="_ Single Txt_G"/>
    <w:basedOn w:val="Normal"/>
    <w:link w:val="SingleTxtGChar"/>
    <w:rsid w:val="00D34811"/>
    <w:pPr>
      <w:suppressAutoHyphens/>
      <w:spacing w:after="120" w:line="240" w:lineRule="atLeast"/>
      <w:ind w:left="1134" w:right="1134"/>
      <w:jc w:val="both"/>
    </w:pPr>
  </w:style>
  <w:style w:type="paragraph" w:styleId="Header">
    <w:name w:val="header"/>
    <w:basedOn w:val="Normal"/>
    <w:link w:val="HeaderChar"/>
    <w:uiPriority w:val="99"/>
    <w:unhideWhenUsed/>
    <w:rsid w:val="00021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7EF"/>
  </w:style>
  <w:style w:type="paragraph" w:styleId="Footer">
    <w:name w:val="footer"/>
    <w:basedOn w:val="Normal"/>
    <w:link w:val="FooterChar"/>
    <w:uiPriority w:val="99"/>
    <w:unhideWhenUsed/>
    <w:rsid w:val="00021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7EF"/>
  </w:style>
  <w:style w:type="paragraph" w:styleId="ListParagraph">
    <w:name w:val="List Paragraph"/>
    <w:basedOn w:val="Normal"/>
    <w:uiPriority w:val="34"/>
    <w:qFormat/>
    <w:rsid w:val="00F20118"/>
    <w:pPr>
      <w:ind w:left="720"/>
      <w:contextualSpacing/>
    </w:pPr>
  </w:style>
  <w:style w:type="paragraph" w:styleId="BalloonText">
    <w:name w:val="Balloon Text"/>
    <w:basedOn w:val="Normal"/>
    <w:link w:val="BalloonTextChar"/>
    <w:uiPriority w:val="99"/>
    <w:semiHidden/>
    <w:unhideWhenUsed/>
    <w:rsid w:val="00053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16"/>
    <w:rPr>
      <w:rFonts w:ascii="Tahoma" w:hAnsi="Tahoma" w:cs="Tahoma"/>
      <w:sz w:val="16"/>
      <w:szCs w:val="16"/>
    </w:rPr>
  </w:style>
  <w:style w:type="character" w:styleId="CommentReference">
    <w:name w:val="annotation reference"/>
    <w:basedOn w:val="DefaultParagraphFont"/>
    <w:uiPriority w:val="99"/>
    <w:semiHidden/>
    <w:unhideWhenUsed/>
    <w:rsid w:val="00E36342"/>
    <w:rPr>
      <w:sz w:val="16"/>
      <w:szCs w:val="16"/>
    </w:rPr>
  </w:style>
  <w:style w:type="paragraph" w:styleId="CommentText">
    <w:name w:val="annotation text"/>
    <w:basedOn w:val="Normal"/>
    <w:link w:val="CommentTextChar"/>
    <w:uiPriority w:val="99"/>
    <w:semiHidden/>
    <w:unhideWhenUsed/>
    <w:rsid w:val="00E36342"/>
    <w:pPr>
      <w:spacing w:line="240" w:lineRule="auto"/>
    </w:pPr>
    <w:rPr>
      <w:sz w:val="20"/>
      <w:szCs w:val="20"/>
    </w:rPr>
  </w:style>
  <w:style w:type="character" w:customStyle="1" w:styleId="CommentTextChar">
    <w:name w:val="Comment Text Char"/>
    <w:basedOn w:val="DefaultParagraphFont"/>
    <w:link w:val="CommentText"/>
    <w:uiPriority w:val="99"/>
    <w:semiHidden/>
    <w:rsid w:val="00E36342"/>
    <w:rPr>
      <w:sz w:val="20"/>
      <w:szCs w:val="20"/>
    </w:rPr>
  </w:style>
  <w:style w:type="paragraph" w:styleId="CommentSubject">
    <w:name w:val="annotation subject"/>
    <w:basedOn w:val="CommentText"/>
    <w:next w:val="CommentText"/>
    <w:link w:val="CommentSubjectChar"/>
    <w:uiPriority w:val="99"/>
    <w:semiHidden/>
    <w:unhideWhenUsed/>
    <w:rsid w:val="00E36342"/>
    <w:rPr>
      <w:b/>
      <w:bCs/>
    </w:rPr>
  </w:style>
  <w:style w:type="character" w:customStyle="1" w:styleId="CommentSubjectChar">
    <w:name w:val="Comment Subject Char"/>
    <w:basedOn w:val="CommentTextChar"/>
    <w:link w:val="CommentSubject"/>
    <w:uiPriority w:val="99"/>
    <w:semiHidden/>
    <w:rsid w:val="00E36342"/>
    <w:rPr>
      <w:b/>
      <w:bCs/>
      <w:sz w:val="20"/>
      <w:szCs w:val="20"/>
    </w:rPr>
  </w:style>
  <w:style w:type="paragraph" w:styleId="NormalWeb">
    <w:name w:val="Normal (Web)"/>
    <w:basedOn w:val="Normal"/>
    <w:uiPriority w:val="99"/>
    <w:unhideWhenUsed/>
    <w:rsid w:val="00F23EBE"/>
    <w:pPr>
      <w:spacing w:before="100" w:beforeAutospacing="1" w:after="100" w:afterAutospacing="1" w:line="240" w:lineRule="auto"/>
    </w:pPr>
    <w:rPr>
      <w:rFonts w:ascii="Times" w:eastAsiaTheme="minorEastAsia" w:hAnsi="Times" w:cs="Times New Roman"/>
      <w:sz w:val="20"/>
      <w:szCs w:val="20"/>
      <w:lang w:val="en-US"/>
    </w:rPr>
  </w:style>
  <w:style w:type="paragraph" w:styleId="FootnoteText">
    <w:name w:val="footnote text"/>
    <w:basedOn w:val="Normal"/>
    <w:link w:val="FootnoteTextChar"/>
    <w:uiPriority w:val="99"/>
    <w:unhideWhenUsed/>
    <w:rsid w:val="00F23EBE"/>
    <w:pPr>
      <w:spacing w:after="0" w:line="240" w:lineRule="auto"/>
    </w:pPr>
    <w:rPr>
      <w:sz w:val="20"/>
      <w:szCs w:val="20"/>
    </w:rPr>
  </w:style>
  <w:style w:type="character" w:customStyle="1" w:styleId="FootnoteTextChar">
    <w:name w:val="Footnote Text Char"/>
    <w:basedOn w:val="DefaultParagraphFont"/>
    <w:link w:val="FootnoteText"/>
    <w:uiPriority w:val="99"/>
    <w:rsid w:val="00F23EBE"/>
    <w:rPr>
      <w:sz w:val="20"/>
      <w:szCs w:val="20"/>
    </w:rPr>
  </w:style>
  <w:style w:type="character" w:styleId="FootnoteReference">
    <w:name w:val="footnote reference"/>
    <w:basedOn w:val="DefaultParagraphFont"/>
    <w:uiPriority w:val="99"/>
    <w:semiHidden/>
    <w:unhideWhenUsed/>
    <w:rsid w:val="00F23EBE"/>
    <w:rPr>
      <w:vertAlign w:val="superscript"/>
    </w:rPr>
  </w:style>
  <w:style w:type="character" w:customStyle="1" w:styleId="hps">
    <w:name w:val="hps"/>
    <w:basedOn w:val="DefaultParagraphFont"/>
    <w:rsid w:val="00F23EBE"/>
  </w:style>
  <w:style w:type="character" w:customStyle="1" w:styleId="shorttext">
    <w:name w:val="short_text"/>
    <w:rsid w:val="00F23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ngleTxtGChar">
    <w:name w:val="_ Single Txt_G Char"/>
    <w:link w:val="SingleTxtG"/>
    <w:locked/>
    <w:rsid w:val="00D34811"/>
  </w:style>
  <w:style w:type="paragraph" w:customStyle="1" w:styleId="SingleTxtG">
    <w:name w:val="_ Single Txt_G"/>
    <w:basedOn w:val="Normal"/>
    <w:link w:val="SingleTxtGChar"/>
    <w:rsid w:val="00D34811"/>
    <w:pPr>
      <w:suppressAutoHyphens/>
      <w:spacing w:after="120" w:line="240" w:lineRule="atLeast"/>
      <w:ind w:left="1134" w:right="1134"/>
      <w:jc w:val="both"/>
    </w:pPr>
  </w:style>
  <w:style w:type="paragraph" w:styleId="Header">
    <w:name w:val="header"/>
    <w:basedOn w:val="Normal"/>
    <w:link w:val="HeaderChar"/>
    <w:uiPriority w:val="99"/>
    <w:unhideWhenUsed/>
    <w:rsid w:val="00021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7EF"/>
  </w:style>
  <w:style w:type="paragraph" w:styleId="Footer">
    <w:name w:val="footer"/>
    <w:basedOn w:val="Normal"/>
    <w:link w:val="FooterChar"/>
    <w:uiPriority w:val="99"/>
    <w:unhideWhenUsed/>
    <w:rsid w:val="00021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7EF"/>
  </w:style>
  <w:style w:type="paragraph" w:styleId="ListParagraph">
    <w:name w:val="List Paragraph"/>
    <w:basedOn w:val="Normal"/>
    <w:uiPriority w:val="34"/>
    <w:qFormat/>
    <w:rsid w:val="00F20118"/>
    <w:pPr>
      <w:ind w:left="720"/>
      <w:contextualSpacing/>
    </w:pPr>
  </w:style>
  <w:style w:type="paragraph" w:styleId="BalloonText">
    <w:name w:val="Balloon Text"/>
    <w:basedOn w:val="Normal"/>
    <w:link w:val="BalloonTextChar"/>
    <w:uiPriority w:val="99"/>
    <w:semiHidden/>
    <w:unhideWhenUsed/>
    <w:rsid w:val="00053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16"/>
    <w:rPr>
      <w:rFonts w:ascii="Tahoma" w:hAnsi="Tahoma" w:cs="Tahoma"/>
      <w:sz w:val="16"/>
      <w:szCs w:val="16"/>
    </w:rPr>
  </w:style>
  <w:style w:type="character" w:styleId="CommentReference">
    <w:name w:val="annotation reference"/>
    <w:basedOn w:val="DefaultParagraphFont"/>
    <w:uiPriority w:val="99"/>
    <w:semiHidden/>
    <w:unhideWhenUsed/>
    <w:rsid w:val="00E36342"/>
    <w:rPr>
      <w:sz w:val="16"/>
      <w:szCs w:val="16"/>
    </w:rPr>
  </w:style>
  <w:style w:type="paragraph" w:styleId="CommentText">
    <w:name w:val="annotation text"/>
    <w:basedOn w:val="Normal"/>
    <w:link w:val="CommentTextChar"/>
    <w:uiPriority w:val="99"/>
    <w:semiHidden/>
    <w:unhideWhenUsed/>
    <w:rsid w:val="00E36342"/>
    <w:pPr>
      <w:spacing w:line="240" w:lineRule="auto"/>
    </w:pPr>
    <w:rPr>
      <w:sz w:val="20"/>
      <w:szCs w:val="20"/>
    </w:rPr>
  </w:style>
  <w:style w:type="character" w:customStyle="1" w:styleId="CommentTextChar">
    <w:name w:val="Comment Text Char"/>
    <w:basedOn w:val="DefaultParagraphFont"/>
    <w:link w:val="CommentText"/>
    <w:uiPriority w:val="99"/>
    <w:semiHidden/>
    <w:rsid w:val="00E36342"/>
    <w:rPr>
      <w:sz w:val="20"/>
      <w:szCs w:val="20"/>
    </w:rPr>
  </w:style>
  <w:style w:type="paragraph" w:styleId="CommentSubject">
    <w:name w:val="annotation subject"/>
    <w:basedOn w:val="CommentText"/>
    <w:next w:val="CommentText"/>
    <w:link w:val="CommentSubjectChar"/>
    <w:uiPriority w:val="99"/>
    <w:semiHidden/>
    <w:unhideWhenUsed/>
    <w:rsid w:val="00E36342"/>
    <w:rPr>
      <w:b/>
      <w:bCs/>
    </w:rPr>
  </w:style>
  <w:style w:type="character" w:customStyle="1" w:styleId="CommentSubjectChar">
    <w:name w:val="Comment Subject Char"/>
    <w:basedOn w:val="CommentTextChar"/>
    <w:link w:val="CommentSubject"/>
    <w:uiPriority w:val="99"/>
    <w:semiHidden/>
    <w:rsid w:val="00E36342"/>
    <w:rPr>
      <w:b/>
      <w:bCs/>
      <w:sz w:val="20"/>
      <w:szCs w:val="20"/>
    </w:rPr>
  </w:style>
  <w:style w:type="paragraph" w:styleId="NormalWeb">
    <w:name w:val="Normal (Web)"/>
    <w:basedOn w:val="Normal"/>
    <w:uiPriority w:val="99"/>
    <w:unhideWhenUsed/>
    <w:rsid w:val="00F23EBE"/>
    <w:pPr>
      <w:spacing w:before="100" w:beforeAutospacing="1" w:after="100" w:afterAutospacing="1" w:line="240" w:lineRule="auto"/>
    </w:pPr>
    <w:rPr>
      <w:rFonts w:ascii="Times" w:eastAsiaTheme="minorEastAsia" w:hAnsi="Times" w:cs="Times New Roman"/>
      <w:sz w:val="20"/>
      <w:szCs w:val="20"/>
      <w:lang w:val="en-US"/>
    </w:rPr>
  </w:style>
  <w:style w:type="paragraph" w:styleId="FootnoteText">
    <w:name w:val="footnote text"/>
    <w:basedOn w:val="Normal"/>
    <w:link w:val="FootnoteTextChar"/>
    <w:uiPriority w:val="99"/>
    <w:unhideWhenUsed/>
    <w:rsid w:val="00F23EBE"/>
    <w:pPr>
      <w:spacing w:after="0" w:line="240" w:lineRule="auto"/>
    </w:pPr>
    <w:rPr>
      <w:sz w:val="20"/>
      <w:szCs w:val="20"/>
    </w:rPr>
  </w:style>
  <w:style w:type="character" w:customStyle="1" w:styleId="FootnoteTextChar">
    <w:name w:val="Footnote Text Char"/>
    <w:basedOn w:val="DefaultParagraphFont"/>
    <w:link w:val="FootnoteText"/>
    <w:uiPriority w:val="99"/>
    <w:rsid w:val="00F23EBE"/>
    <w:rPr>
      <w:sz w:val="20"/>
      <w:szCs w:val="20"/>
    </w:rPr>
  </w:style>
  <w:style w:type="character" w:styleId="FootnoteReference">
    <w:name w:val="footnote reference"/>
    <w:basedOn w:val="DefaultParagraphFont"/>
    <w:uiPriority w:val="99"/>
    <w:semiHidden/>
    <w:unhideWhenUsed/>
    <w:rsid w:val="00F23EBE"/>
    <w:rPr>
      <w:vertAlign w:val="superscript"/>
    </w:rPr>
  </w:style>
  <w:style w:type="character" w:customStyle="1" w:styleId="hps">
    <w:name w:val="hps"/>
    <w:basedOn w:val="DefaultParagraphFont"/>
    <w:rsid w:val="00F23EBE"/>
  </w:style>
  <w:style w:type="character" w:customStyle="1" w:styleId="shorttext">
    <w:name w:val="short_text"/>
    <w:rsid w:val="00F2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06072">
      <w:bodyDiv w:val="1"/>
      <w:marLeft w:val="0"/>
      <w:marRight w:val="0"/>
      <w:marTop w:val="0"/>
      <w:marBottom w:val="0"/>
      <w:divBdr>
        <w:top w:val="none" w:sz="0" w:space="0" w:color="auto"/>
        <w:left w:val="none" w:sz="0" w:space="0" w:color="auto"/>
        <w:bottom w:val="none" w:sz="0" w:space="0" w:color="auto"/>
        <w:right w:val="none" w:sz="0" w:space="0" w:color="auto"/>
      </w:divBdr>
    </w:div>
    <w:div w:id="16504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59D81-9F3A-4990-A43F-FDB66EDB2F33}"/>
</file>

<file path=customXml/itemProps2.xml><?xml version="1.0" encoding="utf-8"?>
<ds:datastoreItem xmlns:ds="http://schemas.openxmlformats.org/officeDocument/2006/customXml" ds:itemID="{31FBC1F8-6BAD-4213-829D-1CE4990E96AC}"/>
</file>

<file path=customXml/itemProps3.xml><?xml version="1.0" encoding="utf-8"?>
<ds:datastoreItem xmlns:ds="http://schemas.openxmlformats.org/officeDocument/2006/customXml" ds:itemID="{30DD405E-7EA9-4E2C-87F9-633CB3E146AD}"/>
</file>

<file path=customXml/itemProps4.xml><?xml version="1.0" encoding="utf-8"?>
<ds:datastoreItem xmlns:ds="http://schemas.openxmlformats.org/officeDocument/2006/customXml" ds:itemID="{0C7EF171-F4C6-48A8-9155-1DA4E093D583}"/>
</file>

<file path=docProps/app.xml><?xml version="1.0" encoding="utf-8"?>
<Properties xmlns="http://schemas.openxmlformats.org/officeDocument/2006/extended-properties" xmlns:vt="http://schemas.openxmlformats.org/officeDocument/2006/docPropsVTypes">
  <Template>Normal.dotm</Template>
  <TotalTime>0</TotalTime>
  <Pages>16</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Tautakitaki Jolene</dc:creator>
  <cp:lastModifiedBy>Author</cp:lastModifiedBy>
  <cp:revision>2</cp:revision>
  <cp:lastPrinted>2016-12-08T12:53:00Z</cp:lastPrinted>
  <dcterms:created xsi:type="dcterms:W3CDTF">2016-12-20T17:45:00Z</dcterms:created>
  <dcterms:modified xsi:type="dcterms:W3CDTF">2016-12-20T17:45:00Z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3914900</vt:r8>
  </property>
</Properties>
</file>