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43A" w:rsidRDefault="0063743A" w:rsidP="0063743A">
      <w:pPr>
        <w:spacing w:after="0"/>
        <w:jc w:val="center"/>
      </w:pPr>
      <w:r w:rsidRPr="007D49F3">
        <w:rPr>
          <w:noProof/>
        </w:rPr>
        <w:drawing>
          <wp:inline distT="0" distB="0" distL="0" distR="0" wp14:anchorId="5495CDA0" wp14:editId="11FE4579">
            <wp:extent cx="4499321" cy="999369"/>
            <wp:effectExtent l="0" t="0" r="0" b="0"/>
            <wp:docPr id="3"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7"/>
                    <a:srcRect/>
                    <a:stretch>
                      <a:fillRect/>
                    </a:stretch>
                  </pic:blipFill>
                  <pic:spPr>
                    <a:xfrm>
                      <a:off x="0" y="0"/>
                      <a:ext cx="4499321" cy="999369"/>
                    </a:xfrm>
                    <a:prstGeom prst="rect">
                      <a:avLst/>
                    </a:prstGeom>
                    <a:ln/>
                  </pic:spPr>
                </pic:pic>
              </a:graphicData>
            </a:graphic>
          </wp:inline>
        </w:drawing>
      </w:r>
    </w:p>
    <w:p w:rsidR="0063743A" w:rsidRDefault="0063743A" w:rsidP="0063743A">
      <w:pPr>
        <w:spacing w:after="0"/>
        <w:jc w:val="center"/>
        <w:rPr>
          <w:rFonts w:ascii="Times New Roman" w:eastAsia="Times New Roman" w:hAnsi="Times New Roman" w:cs="Times New Roman"/>
        </w:rPr>
      </w:pPr>
    </w:p>
    <w:p w:rsidR="0063743A" w:rsidRPr="00B82E53" w:rsidRDefault="0063743A" w:rsidP="0063743A">
      <w:pPr>
        <w:spacing w:after="0"/>
        <w:jc w:val="center"/>
        <w:rPr>
          <w:rFonts w:ascii="Times New Roman" w:eastAsia="Times New Roman" w:hAnsi="Times New Roman" w:cs="Times New Roman"/>
          <w:b/>
        </w:rPr>
      </w:pPr>
      <w:r w:rsidRPr="00B82E53">
        <w:rPr>
          <w:rFonts w:ascii="Times New Roman" w:eastAsia="Times New Roman" w:hAnsi="Times New Roman" w:cs="Times New Roman"/>
          <w:b/>
        </w:rPr>
        <w:t>Corporate Accountability Working Group (CAWG) of the International Network for Economic, Social and Cultural Rights (ESCR-Net)</w:t>
      </w:r>
    </w:p>
    <w:p w:rsidR="0063743A" w:rsidRDefault="0063743A" w:rsidP="0063743A">
      <w:pPr>
        <w:spacing w:after="0"/>
        <w:jc w:val="center"/>
        <w:rPr>
          <w:rFonts w:ascii="Times New Roman" w:eastAsia="Times New Roman" w:hAnsi="Times New Roman" w:cs="Times New Roman"/>
          <w:b/>
          <w:i/>
        </w:rPr>
      </w:pPr>
    </w:p>
    <w:p w:rsidR="0063743A" w:rsidRDefault="0063743A" w:rsidP="0063743A">
      <w:pPr>
        <w:spacing w:after="0"/>
        <w:jc w:val="center"/>
        <w:rPr>
          <w:rFonts w:ascii="Times New Roman" w:eastAsia="Times New Roman" w:hAnsi="Times New Roman" w:cs="Times New Roman"/>
          <w:b/>
          <w:sz w:val="32"/>
          <w:szCs w:val="32"/>
        </w:rPr>
      </w:pPr>
      <w:r w:rsidRPr="00B82E53">
        <w:rPr>
          <w:rFonts w:ascii="Times New Roman" w:eastAsia="Times New Roman" w:hAnsi="Times New Roman" w:cs="Times New Roman"/>
          <w:b/>
          <w:sz w:val="32"/>
          <w:szCs w:val="32"/>
        </w:rPr>
        <w:t xml:space="preserve">Submission to the United Nations’ Open-ended Intergovernmental Working Group on Transnational Corporations and Other Business Enterprises with Respect to Human Rights (IGWG) </w:t>
      </w:r>
    </w:p>
    <w:p w:rsidR="0063743A" w:rsidRDefault="0063743A" w:rsidP="0063743A">
      <w:pPr>
        <w:spacing w:after="0"/>
        <w:jc w:val="center"/>
        <w:rPr>
          <w:rFonts w:ascii="Times New Roman" w:eastAsia="Times New Roman" w:hAnsi="Times New Roman" w:cs="Times New Roman"/>
          <w:b/>
        </w:rPr>
      </w:pPr>
    </w:p>
    <w:p w:rsidR="0063743A" w:rsidRPr="00B82E53" w:rsidRDefault="0063743A" w:rsidP="0063743A">
      <w:pPr>
        <w:spacing w:after="0"/>
        <w:jc w:val="center"/>
        <w:rPr>
          <w:rFonts w:ascii="Times New Roman" w:eastAsia="Times New Roman" w:hAnsi="Times New Roman" w:cs="Times New Roman"/>
          <w:b/>
        </w:rPr>
      </w:pPr>
      <w:r>
        <w:rPr>
          <w:rFonts w:ascii="Times New Roman" w:eastAsia="Times New Roman" w:hAnsi="Times New Roman" w:cs="Times New Roman"/>
          <w:b/>
        </w:rPr>
        <w:t>S</w:t>
      </w:r>
      <w:r w:rsidRPr="00B82E53">
        <w:rPr>
          <w:rFonts w:ascii="Times New Roman" w:eastAsia="Times New Roman" w:hAnsi="Times New Roman" w:cs="Times New Roman"/>
          <w:b/>
        </w:rPr>
        <w:t>econd meeting of the IGWG at the Human Rights Council, October 24-28, 2016</w:t>
      </w:r>
    </w:p>
    <w:p w:rsidR="0063743A" w:rsidRDefault="0063743A" w:rsidP="0063743A">
      <w:pPr>
        <w:spacing w:after="0"/>
        <w:rPr>
          <w:rFonts w:ascii="Times New Roman" w:eastAsia="Times New Roman" w:hAnsi="Times New Roman" w:cs="Times New Roman"/>
          <w:b/>
          <w:i/>
        </w:rPr>
      </w:pPr>
    </w:p>
    <w:p w:rsidR="0063743A" w:rsidRPr="00AF27BF" w:rsidRDefault="0063743A" w:rsidP="0063743A">
      <w:pPr>
        <w:spacing w:after="0"/>
        <w:rPr>
          <w:rFonts w:ascii="Times New Roman" w:eastAsia="Times New Roman" w:hAnsi="Times New Roman" w:cs="Times New Roman"/>
        </w:rPr>
      </w:pPr>
      <w:r w:rsidRPr="00AF27BF">
        <w:rPr>
          <w:rFonts w:ascii="Times New Roman" w:eastAsia="Times New Roman" w:hAnsi="Times New Roman" w:cs="Times New Roman"/>
        </w:rPr>
        <w:t>We,</w:t>
      </w:r>
      <w:r w:rsidRPr="00AF27BF">
        <w:rPr>
          <w:rFonts w:ascii="Times New Roman" w:eastAsia="Times New Roman" w:hAnsi="Times New Roman" w:cs="Times New Roman"/>
          <w:i/>
        </w:rPr>
        <w:t xml:space="preserve"> </w:t>
      </w:r>
      <w:r w:rsidRPr="00AF27BF">
        <w:rPr>
          <w:rFonts w:ascii="Times New Roman" w:eastAsia="Times New Roman" w:hAnsi="Times New Roman" w:cs="Times New Roman"/>
        </w:rPr>
        <w:t xml:space="preserve">the undersigned members of the Corporate Accountability Working Group (CAWG) of the International Network for Economic, Social and Cultural Rights (ESCR-Net), jointly call upon the United Nations’ </w:t>
      </w:r>
      <w:r w:rsidRPr="00AF27BF">
        <w:rPr>
          <w:rFonts w:ascii="Times New Roman" w:eastAsia="Times New Roman" w:hAnsi="Times New Roman" w:cs="Times New Roman"/>
          <w:i/>
        </w:rPr>
        <w:t>Open-ended Intergovernmental Working Group on Transnational Corporations and Other Business Enterprises with Respect to Human Rights</w:t>
      </w:r>
      <w:r w:rsidRPr="00AF27BF">
        <w:rPr>
          <w:rFonts w:ascii="Times New Roman" w:eastAsia="Times New Roman" w:hAnsi="Times New Roman" w:cs="Times New Roman"/>
        </w:rPr>
        <w:t xml:space="preserve"> (IGWG) to include the elements outlined in this statement within any draft materials the IGWG develops to outline the content of the forthcoming binding international instrument (Treaty). We also reaffirm our continuing commitment to support the important activities of the IGWG in the process towards developing and seeking adoption for the Treaty.  </w:t>
      </w:r>
    </w:p>
    <w:p w:rsidR="0063743A" w:rsidRPr="00AF27BF" w:rsidRDefault="0063743A" w:rsidP="0063743A">
      <w:pPr>
        <w:spacing w:after="0"/>
        <w:rPr>
          <w:rFonts w:ascii="Times New Roman" w:eastAsia="Times New Roman" w:hAnsi="Times New Roman" w:cs="Times New Roman"/>
        </w:rPr>
      </w:pPr>
    </w:p>
    <w:p w:rsidR="0063743A" w:rsidRDefault="0063743A" w:rsidP="0063743A">
      <w:pPr>
        <w:spacing w:after="0"/>
        <w:rPr>
          <w:rFonts w:ascii="Times New Roman" w:eastAsia="Times New Roman" w:hAnsi="Times New Roman" w:cs="Times New Roman"/>
        </w:rPr>
      </w:pPr>
      <w:r w:rsidRPr="00AF27BF">
        <w:rPr>
          <w:rFonts w:ascii="Times New Roman" w:eastAsia="Times New Roman" w:hAnsi="Times New Roman" w:cs="Times New Roman"/>
        </w:rPr>
        <w:t xml:space="preserve">Over the course of the past two years CAWG has led a </w:t>
      </w:r>
      <w:hyperlink r:id="rId8">
        <w:r>
          <w:rPr>
            <w:rStyle w:val="InternetLink"/>
            <w:rFonts w:ascii="Times New Roman" w:eastAsia="Times New Roman" w:hAnsi="Times New Roman" w:cs="Times New Roman"/>
          </w:rPr>
          <w:t>worldwide consultation</w:t>
        </w:r>
      </w:hyperlink>
      <w:r>
        <w:rPr>
          <w:rFonts w:ascii="Times New Roman" w:eastAsia="Times New Roman" w:hAnsi="Times New Roman" w:cs="Times New Roman"/>
        </w:rPr>
        <w:t xml:space="preserve"> with over 150 civil society </w:t>
      </w:r>
      <w:r w:rsidRPr="00AF27BF">
        <w:rPr>
          <w:rFonts w:ascii="Times New Roman" w:eastAsia="Times New Roman" w:hAnsi="Times New Roman" w:cs="Times New Roman"/>
        </w:rPr>
        <w:t>organisations (CSOs), including in-person consultations with our members and partners in Asia-Pacific, Africa and Latin America, and online consultations with civil society organisations (CSOs) from all regions.</w:t>
      </w:r>
      <w:r w:rsidRPr="00AF27BF">
        <w:rPr>
          <w:rStyle w:val="FootnoteReference"/>
          <w:rFonts w:ascii="Times New Roman" w:eastAsia="Times New Roman" w:hAnsi="Times New Roman" w:cs="Times New Roman"/>
        </w:rPr>
        <w:footnoteReference w:id="1"/>
      </w:r>
      <w:r w:rsidRPr="00AF27BF">
        <w:rPr>
          <w:rFonts w:ascii="Times New Roman" w:eastAsia="Times New Roman" w:hAnsi="Times New Roman" w:cs="Times New Roman"/>
        </w:rPr>
        <w:t xml:space="preserve"> This s</w:t>
      </w:r>
      <w:r>
        <w:rPr>
          <w:rFonts w:ascii="Times New Roman" w:eastAsia="Times New Roman" w:hAnsi="Times New Roman" w:cs="Times New Roman"/>
        </w:rPr>
        <w:t>ubmission</w:t>
      </w:r>
      <w:r w:rsidRPr="00AF27BF">
        <w:rPr>
          <w:rFonts w:ascii="Times New Roman" w:eastAsia="Times New Roman" w:hAnsi="Times New Roman" w:cs="Times New Roman"/>
        </w:rPr>
        <w:t xml:space="preserve"> is a reflection of the priorities that emerged out of these consultations.</w:t>
      </w:r>
      <w:r w:rsidRPr="00AF27BF">
        <w:rPr>
          <w:rStyle w:val="FootnoteReference"/>
          <w:rFonts w:ascii="Times New Roman" w:eastAsia="Times New Roman" w:hAnsi="Times New Roman" w:cs="Times New Roman"/>
        </w:rPr>
        <w:footnoteReference w:id="2"/>
      </w:r>
      <w:r w:rsidRPr="00AF27BF">
        <w:rPr>
          <w:rFonts w:ascii="Times New Roman" w:eastAsia="Times New Roman" w:hAnsi="Times New Roman" w:cs="Times New Roman"/>
        </w:rPr>
        <w:t xml:space="preserve"> ESCR-Net is also actively engaged in the global </w:t>
      </w:r>
      <w:hyperlink r:id="rId9" w:history="1">
        <w:r w:rsidRPr="001128E9">
          <w:rPr>
            <w:rStyle w:val="Hyperlink"/>
            <w:rFonts w:ascii="Times New Roman" w:eastAsia="Times New Roman" w:hAnsi="Times New Roman" w:cs="Times New Roman"/>
          </w:rPr>
          <w:t>Treaty Alliance</w:t>
        </w:r>
      </w:hyperlink>
      <w:r w:rsidRPr="00AF27BF">
        <w:rPr>
          <w:rFonts w:ascii="Times New Roman" w:eastAsia="Times New Roman" w:hAnsi="Times New Roman" w:cs="Times New Roman"/>
        </w:rPr>
        <w:t xml:space="preserve">, and supports the collective Alliance statements. </w:t>
      </w:r>
    </w:p>
    <w:p w:rsidR="0063743A" w:rsidRDefault="0063743A" w:rsidP="0063743A">
      <w:pPr>
        <w:spacing w:after="0"/>
        <w:rPr>
          <w:rFonts w:ascii="Times New Roman" w:eastAsia="Times New Roman" w:hAnsi="Times New Roman" w:cs="Times New Roman"/>
        </w:rPr>
      </w:pPr>
    </w:p>
    <w:p w:rsidR="0063743A" w:rsidRPr="00AF27BF" w:rsidRDefault="0063743A" w:rsidP="0063743A">
      <w:pPr>
        <w:spacing w:after="0"/>
        <w:rPr>
          <w:rFonts w:ascii="Times New Roman" w:eastAsia="Times New Roman" w:hAnsi="Times New Roman" w:cs="Times New Roman"/>
        </w:rPr>
      </w:pPr>
      <w:r>
        <w:rPr>
          <w:rFonts w:ascii="Times New Roman" w:eastAsia="Times New Roman" w:hAnsi="Times New Roman" w:cs="Times New Roman"/>
        </w:rPr>
        <w:t xml:space="preserve">In this, our first </w:t>
      </w:r>
      <w:r w:rsidRPr="00DB32DB">
        <w:rPr>
          <w:rFonts w:ascii="Times New Roman" w:eastAsia="Times New Roman" w:hAnsi="Times New Roman" w:cs="Times New Roman"/>
        </w:rPr>
        <w:t xml:space="preserve">submission </w:t>
      </w:r>
      <w:r>
        <w:rPr>
          <w:rFonts w:ascii="Times New Roman" w:eastAsia="Times New Roman" w:hAnsi="Times New Roman" w:cs="Times New Roman"/>
        </w:rPr>
        <w:t xml:space="preserve">for 2016 </w:t>
      </w:r>
      <w:r w:rsidRPr="00DB32DB">
        <w:rPr>
          <w:rFonts w:ascii="Times New Roman" w:eastAsia="Times New Roman" w:hAnsi="Times New Roman" w:cs="Times New Roman"/>
        </w:rPr>
        <w:t>to the Open-Ended Intergovernmental Working Group (OEIWG) on Transnational Corporations and Other Business Enterprises with Respect to Human Rights, we call on the OEIWG to</w:t>
      </w:r>
      <w:r>
        <w:rPr>
          <w:rFonts w:ascii="Times New Roman" w:eastAsia="Times New Roman" w:hAnsi="Times New Roman" w:cs="Times New Roman"/>
        </w:rPr>
        <w:t xml:space="preserve"> consider the following recommendations. </w:t>
      </w:r>
    </w:p>
    <w:p w:rsidR="008A1F04" w:rsidRDefault="008A1F04" w:rsidP="00741518">
      <w:pPr>
        <w:spacing w:after="0"/>
      </w:pPr>
    </w:p>
    <w:p w:rsidR="0088070F" w:rsidRDefault="0088070F" w:rsidP="0088070F">
      <w:pPr>
        <w:pStyle w:val="ListParagraph"/>
        <w:numPr>
          <w:ilvl w:val="0"/>
          <w:numId w:val="1"/>
        </w:numPr>
        <w:spacing w:after="0"/>
        <w:ind w:left="360"/>
        <w:rPr>
          <w:rFonts w:ascii="Times New Roman" w:eastAsia="Times New Roman" w:hAnsi="Times New Roman" w:cs="Times New Roman"/>
          <w:b/>
          <w:caps/>
          <w:u w:val="single"/>
        </w:rPr>
      </w:pPr>
      <w:r w:rsidRPr="000E0646">
        <w:rPr>
          <w:rFonts w:ascii="Times New Roman" w:eastAsia="Times New Roman" w:hAnsi="Times New Roman" w:cs="Times New Roman"/>
          <w:b/>
          <w:smallCaps/>
          <w:u w:val="single"/>
        </w:rPr>
        <w:t>GENERAL</w:t>
      </w:r>
      <w:r w:rsidRPr="000E0646">
        <w:rPr>
          <w:rFonts w:ascii="Times New Roman" w:eastAsia="Times New Roman" w:hAnsi="Times New Roman" w:cs="Times New Roman"/>
          <w:b/>
          <w:caps/>
          <w:u w:val="single"/>
        </w:rPr>
        <w:t xml:space="preserve"> RECOMMENDATIONS</w:t>
      </w:r>
    </w:p>
    <w:p w:rsidR="00741518" w:rsidRPr="000E0646" w:rsidRDefault="00741518" w:rsidP="00741518">
      <w:pPr>
        <w:pStyle w:val="ListParagraph"/>
        <w:spacing w:after="0"/>
        <w:ind w:left="360"/>
        <w:rPr>
          <w:rFonts w:ascii="Times New Roman" w:eastAsia="Times New Roman" w:hAnsi="Times New Roman" w:cs="Times New Roman"/>
          <w:b/>
          <w:caps/>
          <w:u w:val="single"/>
        </w:rPr>
      </w:pPr>
    </w:p>
    <w:p w:rsidR="0088070F" w:rsidRPr="00AF27BF" w:rsidRDefault="0088070F" w:rsidP="0088070F">
      <w:pPr>
        <w:spacing w:after="0"/>
        <w:rPr>
          <w:rFonts w:ascii="Times New Roman" w:eastAsia="Times New Roman" w:hAnsi="Times New Roman" w:cs="Times New Roman"/>
        </w:rPr>
      </w:pPr>
      <w:r w:rsidRPr="00AF27BF">
        <w:rPr>
          <w:rFonts w:ascii="Times New Roman" w:eastAsia="Times New Roman" w:hAnsi="Times New Roman" w:cs="Times New Roman"/>
        </w:rPr>
        <w:t>We strongly urge all States to take all possible measures to respect, protect and fulfil</w:t>
      </w:r>
      <w:r>
        <w:rPr>
          <w:rFonts w:ascii="Times New Roman" w:eastAsia="Times New Roman" w:hAnsi="Times New Roman" w:cs="Times New Roman"/>
        </w:rPr>
        <w:t>l</w:t>
      </w:r>
      <w:r w:rsidRPr="00AF27BF">
        <w:rPr>
          <w:rFonts w:ascii="Times New Roman" w:eastAsia="Times New Roman" w:hAnsi="Times New Roman" w:cs="Times New Roman"/>
        </w:rPr>
        <w:t xml:space="preserve"> human rights in the context of the activities</w:t>
      </w:r>
      <w:r>
        <w:rPr>
          <w:rStyle w:val="FootnoteReference"/>
          <w:rFonts w:ascii="Times New Roman" w:eastAsia="Times New Roman" w:hAnsi="Times New Roman" w:cs="Times New Roman"/>
        </w:rPr>
        <w:footnoteReference w:id="3"/>
      </w:r>
      <w:r w:rsidRPr="00AF27BF">
        <w:rPr>
          <w:rFonts w:ascii="Times New Roman" w:eastAsia="Times New Roman" w:hAnsi="Times New Roman" w:cs="Times New Roman"/>
        </w:rPr>
        <w:t xml:space="preserve"> of transnational corporations and other business enterprises (</w:t>
      </w:r>
      <w:r>
        <w:rPr>
          <w:rFonts w:ascii="Times New Roman" w:eastAsia="Times New Roman" w:hAnsi="Times New Roman" w:cs="Times New Roman"/>
        </w:rPr>
        <w:t>TNC-OBE</w:t>
      </w:r>
      <w:r w:rsidRPr="00AF27BF">
        <w:rPr>
          <w:rFonts w:ascii="Times New Roman" w:eastAsia="Times New Roman" w:hAnsi="Times New Roman" w:cs="Times New Roman"/>
        </w:rPr>
        <w:t xml:space="preserve">), including by actively engaging in good faith in processes to strengthen the international </w:t>
      </w:r>
      <w:r>
        <w:rPr>
          <w:rFonts w:ascii="Times New Roman" w:eastAsia="Times New Roman" w:hAnsi="Times New Roman" w:cs="Times New Roman"/>
        </w:rPr>
        <w:t xml:space="preserve">human rights </w:t>
      </w:r>
      <w:r w:rsidRPr="00AF27BF">
        <w:rPr>
          <w:rFonts w:ascii="Times New Roman" w:eastAsia="Times New Roman" w:hAnsi="Times New Roman" w:cs="Times New Roman"/>
        </w:rPr>
        <w:t xml:space="preserve">framework in this area, especially through the activities of the IGWG.  </w:t>
      </w:r>
    </w:p>
    <w:p w:rsidR="0088070F" w:rsidRPr="00AF27BF" w:rsidRDefault="0088070F" w:rsidP="0088070F">
      <w:pPr>
        <w:spacing w:after="0"/>
        <w:rPr>
          <w:rFonts w:ascii="Times New Roman" w:hAnsi="Times New Roman" w:cs="Times New Roman"/>
        </w:rPr>
      </w:pPr>
    </w:p>
    <w:p w:rsidR="0088070F" w:rsidRPr="00AF27BF" w:rsidRDefault="0088070F" w:rsidP="0088070F">
      <w:pPr>
        <w:spacing w:after="0"/>
        <w:rPr>
          <w:rFonts w:ascii="Times New Roman" w:hAnsi="Times New Roman" w:cs="Times New Roman"/>
        </w:rPr>
      </w:pPr>
      <w:r w:rsidRPr="00AF27BF">
        <w:rPr>
          <w:rFonts w:ascii="Times New Roman" w:hAnsi="Times New Roman" w:cs="Times New Roman"/>
        </w:rPr>
        <w:t xml:space="preserve">We strongly urge the IGWG to make all accommodations possible to ensure representatives of persons </w:t>
      </w:r>
      <w:r>
        <w:rPr>
          <w:rFonts w:ascii="Times New Roman" w:hAnsi="Times New Roman" w:cs="Times New Roman"/>
        </w:rPr>
        <w:t>whose enjoyment of human rights is impaired by TNC-OBE</w:t>
      </w:r>
      <w:r w:rsidRPr="00AF27BF">
        <w:rPr>
          <w:rFonts w:ascii="Times New Roman" w:hAnsi="Times New Roman" w:cs="Times New Roman"/>
        </w:rPr>
        <w:t xml:space="preserve"> are integral partners in the processes of designing the Treaty, including supporting their involvement during IGWG negotiations. In this context, we call on the IGWG to ensure the Treaty responds to </w:t>
      </w:r>
      <w:r>
        <w:rPr>
          <w:rFonts w:ascii="Times New Roman" w:hAnsi="Times New Roman" w:cs="Times New Roman"/>
        </w:rPr>
        <w:t xml:space="preserve">the </w:t>
      </w:r>
      <w:r w:rsidRPr="00AF27BF">
        <w:rPr>
          <w:rFonts w:ascii="Times New Roman" w:hAnsi="Times New Roman" w:cs="Times New Roman"/>
        </w:rPr>
        <w:t>real needs of people in society by facilitating the meaningful engagement of women, indigenous people</w:t>
      </w:r>
      <w:r>
        <w:rPr>
          <w:rFonts w:ascii="Times New Roman" w:hAnsi="Times New Roman" w:cs="Times New Roman"/>
        </w:rPr>
        <w:t>s</w:t>
      </w:r>
      <w:r w:rsidRPr="00AF27BF">
        <w:rPr>
          <w:rFonts w:ascii="Times New Roman" w:hAnsi="Times New Roman" w:cs="Times New Roman"/>
        </w:rPr>
        <w:t xml:space="preserve">, persons with disabilities, children, and other sections of society disproportionately or differently affected by </w:t>
      </w:r>
      <w:r>
        <w:rPr>
          <w:rFonts w:ascii="Times New Roman" w:hAnsi="Times New Roman" w:cs="Times New Roman"/>
        </w:rPr>
        <w:t>TNC-OBE activity</w:t>
      </w:r>
      <w:r w:rsidRPr="00AF27BF">
        <w:rPr>
          <w:rFonts w:ascii="Times New Roman" w:hAnsi="Times New Roman" w:cs="Times New Roman"/>
        </w:rPr>
        <w:t xml:space="preserve">. Proactively sharing pertinent information related to the IGWG in languages relevant for affected </w:t>
      </w:r>
      <w:r>
        <w:rPr>
          <w:rFonts w:ascii="Times New Roman" w:hAnsi="Times New Roman" w:cs="Times New Roman"/>
        </w:rPr>
        <w:t>persons</w:t>
      </w:r>
      <w:r w:rsidRPr="00AF27BF">
        <w:rPr>
          <w:rFonts w:ascii="Times New Roman" w:hAnsi="Times New Roman" w:cs="Times New Roman"/>
        </w:rPr>
        <w:t xml:space="preserve"> will also support continued</w:t>
      </w:r>
      <w:r>
        <w:rPr>
          <w:rFonts w:ascii="Times New Roman" w:hAnsi="Times New Roman" w:cs="Times New Roman"/>
        </w:rPr>
        <w:t>, constructive</w:t>
      </w:r>
      <w:r w:rsidRPr="00AF27BF">
        <w:rPr>
          <w:rFonts w:ascii="Times New Roman" w:hAnsi="Times New Roman" w:cs="Times New Roman"/>
        </w:rPr>
        <w:t xml:space="preserve"> engagement by a broad cross-section of civil society.</w:t>
      </w:r>
    </w:p>
    <w:p w:rsidR="0088070F" w:rsidRPr="00AF27BF" w:rsidRDefault="0088070F" w:rsidP="0088070F">
      <w:pPr>
        <w:spacing w:after="0"/>
        <w:rPr>
          <w:rFonts w:ascii="Times New Roman" w:hAnsi="Times New Roman" w:cs="Times New Roman"/>
        </w:rPr>
      </w:pPr>
    </w:p>
    <w:p w:rsidR="0088070F" w:rsidRPr="000E0646" w:rsidRDefault="0088070F" w:rsidP="0088070F">
      <w:pPr>
        <w:pStyle w:val="ListParagraph"/>
        <w:numPr>
          <w:ilvl w:val="0"/>
          <w:numId w:val="1"/>
        </w:numPr>
        <w:spacing w:after="0"/>
        <w:ind w:left="360"/>
        <w:rPr>
          <w:rFonts w:ascii="Times New Roman" w:hAnsi="Times New Roman" w:cs="Times New Roman"/>
          <w:b/>
          <w:caps/>
          <w:u w:val="single"/>
        </w:rPr>
      </w:pPr>
      <w:r w:rsidRPr="000E0646">
        <w:rPr>
          <w:rFonts w:ascii="Times New Roman" w:hAnsi="Times New Roman" w:cs="Times New Roman"/>
          <w:b/>
          <w:caps/>
          <w:u w:val="single"/>
        </w:rPr>
        <w:t>Specific RECOMMENDATIONS</w:t>
      </w:r>
    </w:p>
    <w:p w:rsidR="0088070F" w:rsidRPr="00AF27BF" w:rsidRDefault="0088070F" w:rsidP="0088070F">
      <w:pPr>
        <w:spacing w:after="0"/>
        <w:rPr>
          <w:rFonts w:ascii="Times New Roman" w:hAnsi="Times New Roman" w:cs="Times New Roman"/>
        </w:rPr>
      </w:pPr>
    </w:p>
    <w:p w:rsidR="0088070F" w:rsidRPr="00AF27BF" w:rsidRDefault="0088070F" w:rsidP="0088070F">
      <w:pPr>
        <w:spacing w:after="0"/>
        <w:rPr>
          <w:rFonts w:ascii="Times New Roman" w:hAnsi="Times New Roman" w:cs="Times New Roman"/>
        </w:rPr>
      </w:pPr>
      <w:r w:rsidRPr="00AF27BF">
        <w:rPr>
          <w:rFonts w:ascii="Times New Roman" w:hAnsi="Times New Roman" w:cs="Times New Roman"/>
        </w:rPr>
        <w:t>In addition to these general considerations, we respectfully make the following specific submissions in relation to the Treaty:</w:t>
      </w:r>
    </w:p>
    <w:p w:rsidR="0088070F" w:rsidRPr="007462E9" w:rsidRDefault="0088070F" w:rsidP="0088070F">
      <w:pPr>
        <w:spacing w:after="0"/>
        <w:rPr>
          <w:rFonts w:ascii="Times New Roman" w:hAnsi="Times New Roman" w:cs="Times New Roman"/>
          <w:sz w:val="4"/>
          <w:szCs w:val="4"/>
        </w:rPr>
      </w:pPr>
    </w:p>
    <w:p w:rsidR="006F3CC4" w:rsidRDefault="007462E9" w:rsidP="007462E9">
      <w:pPr>
        <w:spacing w:after="0"/>
        <w:ind w:firstLine="540"/>
        <w:rPr>
          <w:rFonts w:ascii="Times New Roman" w:hAnsi="Times New Roman" w:cs="Times New Roman"/>
        </w:rPr>
      </w:pPr>
      <w:r>
        <w:rPr>
          <w:rFonts w:ascii="Times New Roman" w:hAnsi="Times New Roman" w:cs="Times New Roman"/>
        </w:rPr>
        <w:t xml:space="preserve">In this our first submission of 2016 to the IGWG, we recommend the Treaty </w:t>
      </w:r>
      <w:r w:rsidR="0088070F" w:rsidRPr="00AF27BF">
        <w:rPr>
          <w:rFonts w:ascii="Times New Roman" w:hAnsi="Times New Roman" w:cs="Times New Roman"/>
        </w:rPr>
        <w:t xml:space="preserve">reflect the realities of current </w:t>
      </w:r>
      <w:r w:rsidR="0088070F">
        <w:rPr>
          <w:rFonts w:ascii="Times New Roman" w:hAnsi="Times New Roman" w:cs="Times New Roman"/>
        </w:rPr>
        <w:t>TNC-OBE</w:t>
      </w:r>
      <w:r w:rsidR="0088070F" w:rsidRPr="00AF27BF">
        <w:rPr>
          <w:rFonts w:ascii="Times New Roman" w:hAnsi="Times New Roman" w:cs="Times New Roman"/>
        </w:rPr>
        <w:t xml:space="preserve"> operations and their impact</w:t>
      </w:r>
      <w:r w:rsidR="0088070F">
        <w:rPr>
          <w:rFonts w:ascii="Times New Roman" w:hAnsi="Times New Roman" w:cs="Times New Roman"/>
        </w:rPr>
        <w:t xml:space="preserve"> globally</w:t>
      </w:r>
      <w:r w:rsidR="0088070F" w:rsidRPr="00AF27BF">
        <w:rPr>
          <w:rFonts w:ascii="Times New Roman" w:hAnsi="Times New Roman" w:cs="Times New Roman"/>
        </w:rPr>
        <w:t xml:space="preserve">, the Treaty should </w:t>
      </w:r>
      <w:r w:rsidR="0088070F" w:rsidRPr="00AF27BF">
        <w:rPr>
          <w:rFonts w:ascii="Times New Roman" w:hAnsi="Times New Roman" w:cs="Times New Roman"/>
          <w:b/>
        </w:rPr>
        <w:t>reaffirm the primacy of human rights</w:t>
      </w:r>
      <w:r w:rsidR="0088070F">
        <w:rPr>
          <w:rFonts w:ascii="Times New Roman" w:hAnsi="Times New Roman" w:cs="Times New Roman"/>
          <w:b/>
        </w:rPr>
        <w:t xml:space="preserve"> obligations</w:t>
      </w:r>
      <w:r w:rsidR="0088070F" w:rsidRPr="00AF27BF">
        <w:rPr>
          <w:rFonts w:ascii="Times New Roman" w:hAnsi="Times New Roman" w:cs="Times New Roman"/>
          <w:b/>
        </w:rPr>
        <w:t xml:space="preserve"> </w:t>
      </w:r>
      <w:r w:rsidR="0088070F" w:rsidRPr="00AF27BF">
        <w:rPr>
          <w:rFonts w:ascii="Times New Roman" w:hAnsi="Times New Roman" w:cs="Times New Roman"/>
        </w:rPr>
        <w:t xml:space="preserve">(Section 2.1), </w:t>
      </w:r>
      <w:r w:rsidR="0088070F" w:rsidRPr="00B82E53">
        <w:rPr>
          <w:rFonts w:ascii="Times New Roman" w:hAnsi="Times New Roman" w:cs="Times New Roman"/>
          <w:b/>
        </w:rPr>
        <w:t>cover</w:t>
      </w:r>
      <w:r w:rsidR="0088070F" w:rsidRPr="00AF27BF">
        <w:rPr>
          <w:rFonts w:ascii="Times New Roman" w:hAnsi="Times New Roman" w:cs="Times New Roman"/>
        </w:rPr>
        <w:t xml:space="preserve"> </w:t>
      </w:r>
      <w:r w:rsidR="0088070F" w:rsidRPr="00AF27BF">
        <w:rPr>
          <w:rFonts w:ascii="Times New Roman" w:hAnsi="Times New Roman" w:cs="Times New Roman"/>
          <w:b/>
        </w:rPr>
        <w:t xml:space="preserve">all human rights </w:t>
      </w:r>
      <w:r w:rsidR="0088070F" w:rsidRPr="00AF27BF">
        <w:rPr>
          <w:rFonts w:ascii="Times New Roman" w:hAnsi="Times New Roman" w:cs="Times New Roman"/>
        </w:rPr>
        <w:t>(Section 2.2)</w:t>
      </w:r>
      <w:r w:rsidR="0088070F" w:rsidRPr="00AF27BF">
        <w:rPr>
          <w:rFonts w:ascii="Times New Roman" w:hAnsi="Times New Roman" w:cs="Times New Roman"/>
          <w:b/>
        </w:rPr>
        <w:t xml:space="preserve"> </w:t>
      </w:r>
      <w:r w:rsidR="0088070F" w:rsidRPr="00AF27BF">
        <w:rPr>
          <w:rFonts w:ascii="Times New Roman" w:hAnsi="Times New Roman" w:cs="Times New Roman"/>
        </w:rPr>
        <w:t xml:space="preserve">and be </w:t>
      </w:r>
      <w:r w:rsidR="0088070F" w:rsidRPr="00AF27BF">
        <w:rPr>
          <w:rFonts w:ascii="Times New Roman" w:hAnsi="Times New Roman" w:cs="Times New Roman"/>
          <w:b/>
        </w:rPr>
        <w:t xml:space="preserve">applicable to all </w:t>
      </w:r>
      <w:r w:rsidR="0088070F">
        <w:rPr>
          <w:rFonts w:ascii="Times New Roman" w:hAnsi="Times New Roman" w:cs="Times New Roman"/>
          <w:b/>
        </w:rPr>
        <w:t>TNC-OBE</w:t>
      </w:r>
      <w:r w:rsidR="0088070F" w:rsidRPr="00AF27BF">
        <w:rPr>
          <w:rFonts w:ascii="Times New Roman" w:hAnsi="Times New Roman" w:cs="Times New Roman"/>
          <w:b/>
        </w:rPr>
        <w:t xml:space="preserve">, </w:t>
      </w:r>
      <w:r w:rsidR="0088070F">
        <w:rPr>
          <w:rFonts w:ascii="Times New Roman" w:hAnsi="Times New Roman" w:cs="Times New Roman"/>
          <w:b/>
        </w:rPr>
        <w:t>but primarily address</w:t>
      </w:r>
      <w:r w:rsidR="0088070F" w:rsidRPr="00AF27BF">
        <w:rPr>
          <w:rFonts w:ascii="Times New Roman" w:hAnsi="Times New Roman" w:cs="Times New Roman"/>
          <w:b/>
        </w:rPr>
        <w:t xml:space="preserve"> </w:t>
      </w:r>
      <w:r w:rsidR="0088070F">
        <w:rPr>
          <w:rFonts w:ascii="Times New Roman" w:hAnsi="Times New Roman" w:cs="Times New Roman"/>
          <w:b/>
        </w:rPr>
        <w:t xml:space="preserve">the activities of </w:t>
      </w:r>
      <w:r w:rsidR="0088070F" w:rsidRPr="00AF27BF">
        <w:rPr>
          <w:rFonts w:ascii="Times New Roman" w:hAnsi="Times New Roman" w:cs="Times New Roman"/>
          <w:b/>
        </w:rPr>
        <w:t xml:space="preserve">TNCs </w:t>
      </w:r>
      <w:r w:rsidR="0088070F" w:rsidRPr="00AF27BF">
        <w:rPr>
          <w:rFonts w:ascii="Times New Roman" w:hAnsi="Times New Roman" w:cs="Times New Roman"/>
        </w:rPr>
        <w:t>(Section 2.3).</w:t>
      </w:r>
    </w:p>
    <w:p w:rsidR="006F3CC4" w:rsidRPr="006F3CC4" w:rsidRDefault="006F3CC4" w:rsidP="0088070F">
      <w:pPr>
        <w:spacing w:after="0"/>
        <w:rPr>
          <w:rFonts w:ascii="Times New Roman" w:hAnsi="Times New Roman" w:cs="Times New Roman"/>
          <w:sz w:val="4"/>
          <w:szCs w:val="4"/>
        </w:rPr>
      </w:pPr>
    </w:p>
    <w:p w:rsidR="007462E9" w:rsidRPr="007462E9" w:rsidRDefault="006F3CC4" w:rsidP="006F3CC4">
      <w:pPr>
        <w:spacing w:after="0"/>
        <w:ind w:firstLine="540"/>
        <w:rPr>
          <w:rFonts w:ascii="Times New Roman" w:hAnsi="Times New Roman" w:cs="Times New Roman"/>
          <w:sz w:val="4"/>
          <w:szCs w:val="4"/>
        </w:rPr>
      </w:pPr>
      <w:r>
        <w:rPr>
          <w:rFonts w:ascii="Times New Roman" w:hAnsi="Times New Roman" w:cs="Times New Roman"/>
        </w:rPr>
        <w:t>Contained in the second submission to the IGWG, we recommend the need t</w:t>
      </w:r>
      <w:r w:rsidR="0088070F" w:rsidRPr="00AF27BF">
        <w:rPr>
          <w:rFonts w:ascii="Times New Roman" w:hAnsi="Times New Roman" w:cs="Times New Roman"/>
        </w:rPr>
        <w:t xml:space="preserve">o ensure an enabling environment for the enjoyment of human rights in practice, the Treaty should outline the framework requirements for </w:t>
      </w:r>
      <w:r w:rsidR="0088070F">
        <w:rPr>
          <w:rFonts w:ascii="Times New Roman" w:hAnsi="Times New Roman" w:cs="Times New Roman"/>
          <w:b/>
        </w:rPr>
        <w:t>operationalizing the legal responsibilities of TNC-OBE to respect human rights</w:t>
      </w:r>
      <w:r w:rsidR="0088070F">
        <w:rPr>
          <w:rFonts w:ascii="Times New Roman" w:hAnsi="Times New Roman" w:cs="Times New Roman"/>
        </w:rPr>
        <w:t xml:space="preserve"> (Section 2.4) and for ensuring</w:t>
      </w:r>
      <w:r w:rsidR="0088070F" w:rsidRPr="00AF27BF">
        <w:rPr>
          <w:rFonts w:ascii="Times New Roman" w:hAnsi="Times New Roman" w:cs="Times New Roman"/>
          <w:b/>
        </w:rPr>
        <w:t xml:space="preserve"> access to information </w:t>
      </w:r>
      <w:r w:rsidR="0088070F">
        <w:rPr>
          <w:rFonts w:ascii="Times New Roman" w:hAnsi="Times New Roman" w:cs="Times New Roman"/>
          <w:b/>
        </w:rPr>
        <w:t xml:space="preserve">and participation </w:t>
      </w:r>
      <w:r w:rsidR="0088070F" w:rsidRPr="00AF27BF">
        <w:rPr>
          <w:rFonts w:ascii="Times New Roman" w:hAnsi="Times New Roman" w:cs="Times New Roman"/>
        </w:rPr>
        <w:t>(Section 2.</w:t>
      </w:r>
      <w:r w:rsidR="0088070F">
        <w:rPr>
          <w:rFonts w:ascii="Times New Roman" w:hAnsi="Times New Roman" w:cs="Times New Roman"/>
        </w:rPr>
        <w:t>5</w:t>
      </w:r>
      <w:r w:rsidR="0088070F" w:rsidRPr="00AF27BF">
        <w:rPr>
          <w:rFonts w:ascii="Times New Roman" w:hAnsi="Times New Roman" w:cs="Times New Roman"/>
        </w:rPr>
        <w:t xml:space="preserve">), </w:t>
      </w:r>
      <w:r w:rsidR="0088070F">
        <w:rPr>
          <w:rFonts w:ascii="Times New Roman" w:hAnsi="Times New Roman" w:cs="Times New Roman"/>
        </w:rPr>
        <w:t xml:space="preserve">and should </w:t>
      </w:r>
      <w:r w:rsidR="0088070F" w:rsidRPr="00AF27BF">
        <w:rPr>
          <w:rFonts w:ascii="Times New Roman" w:hAnsi="Times New Roman" w:cs="Times New Roman"/>
        </w:rPr>
        <w:t xml:space="preserve">affirm States’ </w:t>
      </w:r>
      <w:r w:rsidR="0088070F" w:rsidRPr="00AF27BF">
        <w:rPr>
          <w:rFonts w:ascii="Times New Roman" w:hAnsi="Times New Roman" w:cs="Times New Roman"/>
          <w:b/>
        </w:rPr>
        <w:t>extraterritorial obligations</w:t>
      </w:r>
      <w:r w:rsidR="0088070F" w:rsidRPr="00AF27BF">
        <w:rPr>
          <w:rFonts w:ascii="Times New Roman" w:hAnsi="Times New Roman" w:cs="Times New Roman"/>
        </w:rPr>
        <w:t xml:space="preserve"> (Section 2.6). </w:t>
      </w:r>
      <w:r w:rsidR="007462E9">
        <w:rPr>
          <w:rFonts w:ascii="Times New Roman" w:hAnsi="Times New Roman" w:cs="Times New Roman"/>
        </w:rPr>
        <w:br/>
      </w:r>
    </w:p>
    <w:p w:rsidR="00FA17CD" w:rsidRDefault="007462E9" w:rsidP="006F3CC4">
      <w:pPr>
        <w:spacing w:after="0"/>
        <w:ind w:firstLine="540"/>
        <w:rPr>
          <w:rFonts w:ascii="Times New Roman" w:hAnsi="Times New Roman" w:cs="Times New Roman"/>
        </w:rPr>
      </w:pPr>
      <w:r>
        <w:rPr>
          <w:rFonts w:ascii="Times New Roman" w:hAnsi="Times New Roman" w:cs="Times New Roman"/>
        </w:rPr>
        <w:t>I</w:t>
      </w:r>
      <w:r>
        <w:rPr>
          <w:rFonts w:ascii="Times New Roman" w:hAnsi="Times New Roman" w:cs="Times New Roman"/>
        </w:rPr>
        <w:t xml:space="preserve">n </w:t>
      </w:r>
      <w:r>
        <w:rPr>
          <w:rFonts w:ascii="Times New Roman" w:hAnsi="Times New Roman" w:cs="Times New Roman"/>
        </w:rPr>
        <w:t xml:space="preserve">our third </w:t>
      </w:r>
      <w:r>
        <w:rPr>
          <w:rFonts w:ascii="Times New Roman" w:hAnsi="Times New Roman" w:cs="Times New Roman"/>
        </w:rPr>
        <w:t>submission to the IGWG</w:t>
      </w:r>
      <w:r w:rsidRPr="00AF27BF">
        <w:rPr>
          <w:rFonts w:ascii="Times New Roman" w:hAnsi="Times New Roman" w:cs="Times New Roman"/>
        </w:rPr>
        <w:t xml:space="preserve"> </w:t>
      </w:r>
      <w:r>
        <w:rPr>
          <w:rFonts w:ascii="Times New Roman" w:hAnsi="Times New Roman" w:cs="Times New Roman"/>
        </w:rPr>
        <w:t>we recommend that, in order t</w:t>
      </w:r>
      <w:r w:rsidR="0088070F" w:rsidRPr="00AF27BF">
        <w:rPr>
          <w:rFonts w:ascii="Times New Roman" w:hAnsi="Times New Roman" w:cs="Times New Roman"/>
        </w:rPr>
        <w:t xml:space="preserve">o facilitate access to justice for persons </w:t>
      </w:r>
      <w:r w:rsidR="0088070F">
        <w:rPr>
          <w:rFonts w:ascii="Times New Roman" w:hAnsi="Times New Roman" w:cs="Times New Roman"/>
        </w:rPr>
        <w:t>whose human rights enjoyment is impaired by</w:t>
      </w:r>
      <w:r w:rsidR="0088070F" w:rsidRPr="00AF27BF">
        <w:rPr>
          <w:rFonts w:ascii="Times New Roman" w:hAnsi="Times New Roman" w:cs="Times New Roman"/>
        </w:rPr>
        <w:t xml:space="preserve"> </w:t>
      </w:r>
      <w:r w:rsidR="0088070F">
        <w:rPr>
          <w:rFonts w:ascii="Times New Roman" w:hAnsi="Times New Roman" w:cs="Times New Roman"/>
        </w:rPr>
        <w:t>TNC-OBE</w:t>
      </w:r>
      <w:r w:rsidR="0088070F" w:rsidRPr="00AF27BF">
        <w:rPr>
          <w:rFonts w:ascii="Times New Roman" w:hAnsi="Times New Roman" w:cs="Times New Roman"/>
        </w:rPr>
        <w:t xml:space="preserve"> activities, the Treaty should address legal and practical obstacles to redress through framework requirements regarding</w:t>
      </w:r>
      <w:r w:rsidR="0088070F" w:rsidRPr="00AF27BF">
        <w:rPr>
          <w:rFonts w:ascii="Times New Roman" w:hAnsi="Times New Roman" w:cs="Times New Roman"/>
          <w:b/>
        </w:rPr>
        <w:t xml:space="preserve"> access to justice</w:t>
      </w:r>
      <w:r w:rsidR="0088070F" w:rsidRPr="00AF27BF">
        <w:rPr>
          <w:rFonts w:ascii="Times New Roman" w:hAnsi="Times New Roman" w:cs="Times New Roman"/>
        </w:rPr>
        <w:t xml:space="preserve"> (Section 2.</w:t>
      </w:r>
      <w:r w:rsidR="0088070F">
        <w:rPr>
          <w:rFonts w:ascii="Times New Roman" w:hAnsi="Times New Roman" w:cs="Times New Roman"/>
        </w:rPr>
        <w:t>7</w:t>
      </w:r>
      <w:r w:rsidR="0088070F" w:rsidRPr="00AF27BF">
        <w:rPr>
          <w:rFonts w:ascii="Times New Roman" w:hAnsi="Times New Roman" w:cs="Times New Roman"/>
        </w:rPr>
        <w:t xml:space="preserve">) and protection of </w:t>
      </w:r>
      <w:r w:rsidR="0088070F" w:rsidRPr="00AF27BF">
        <w:rPr>
          <w:rFonts w:ascii="Times New Roman" w:hAnsi="Times New Roman" w:cs="Times New Roman"/>
          <w:b/>
        </w:rPr>
        <w:t>human rights defenders</w:t>
      </w:r>
      <w:r w:rsidR="0088070F" w:rsidRPr="00AF27BF">
        <w:rPr>
          <w:rFonts w:ascii="Times New Roman" w:hAnsi="Times New Roman" w:cs="Times New Roman"/>
        </w:rPr>
        <w:t xml:space="preserve"> (Section </w:t>
      </w:r>
      <w:r w:rsidR="0088070F">
        <w:rPr>
          <w:rFonts w:ascii="Times New Roman" w:hAnsi="Times New Roman" w:cs="Times New Roman"/>
        </w:rPr>
        <w:t>2.8</w:t>
      </w:r>
      <w:r w:rsidR="0088070F" w:rsidRPr="00AF27BF">
        <w:rPr>
          <w:rFonts w:ascii="Times New Roman" w:hAnsi="Times New Roman" w:cs="Times New Roman"/>
        </w:rPr>
        <w:t xml:space="preserve">). </w:t>
      </w:r>
      <w:r w:rsidR="0088070F">
        <w:rPr>
          <w:rFonts w:ascii="Times New Roman" w:hAnsi="Times New Roman" w:cs="Times New Roman"/>
        </w:rPr>
        <w:t xml:space="preserve"> </w:t>
      </w:r>
    </w:p>
    <w:p w:rsidR="00FA17CD" w:rsidRPr="00FA17CD" w:rsidRDefault="00FA17CD" w:rsidP="006F3CC4">
      <w:pPr>
        <w:spacing w:after="0"/>
        <w:ind w:firstLine="540"/>
        <w:rPr>
          <w:rFonts w:ascii="Times New Roman" w:hAnsi="Times New Roman" w:cs="Times New Roman"/>
          <w:sz w:val="4"/>
          <w:szCs w:val="4"/>
        </w:rPr>
      </w:pPr>
    </w:p>
    <w:p w:rsidR="0063743A" w:rsidRDefault="00FA17CD" w:rsidP="006F3CC4">
      <w:pPr>
        <w:spacing w:after="0"/>
        <w:ind w:firstLine="540"/>
      </w:pPr>
      <w:r>
        <w:rPr>
          <w:rFonts w:ascii="Times New Roman" w:hAnsi="Times New Roman" w:cs="Times New Roman"/>
        </w:rPr>
        <w:t xml:space="preserve">In our </w:t>
      </w:r>
      <w:r>
        <w:rPr>
          <w:rFonts w:ascii="Times New Roman" w:hAnsi="Times New Roman" w:cs="Times New Roman"/>
        </w:rPr>
        <w:t xml:space="preserve">fourth </w:t>
      </w:r>
      <w:r>
        <w:rPr>
          <w:rFonts w:ascii="Times New Roman" w:hAnsi="Times New Roman" w:cs="Times New Roman"/>
        </w:rPr>
        <w:t>submission to the IGWG</w:t>
      </w:r>
      <w:r w:rsidRPr="00AF27BF">
        <w:rPr>
          <w:rFonts w:ascii="Times New Roman" w:hAnsi="Times New Roman" w:cs="Times New Roman"/>
        </w:rPr>
        <w:t xml:space="preserve"> </w:t>
      </w:r>
      <w:r>
        <w:rPr>
          <w:rFonts w:ascii="Times New Roman" w:hAnsi="Times New Roman" w:cs="Times New Roman"/>
        </w:rPr>
        <w:t>we recommend that</w:t>
      </w:r>
      <w:r w:rsidR="0088070F">
        <w:rPr>
          <w:rFonts w:ascii="Times New Roman" w:hAnsi="Times New Roman" w:cs="Times New Roman"/>
        </w:rPr>
        <w:t xml:space="preserve"> s</w:t>
      </w:r>
      <w:r w:rsidR="0088070F" w:rsidRPr="00AF27BF">
        <w:rPr>
          <w:rFonts w:ascii="Times New Roman" w:hAnsi="Times New Roman" w:cs="Times New Roman"/>
        </w:rPr>
        <w:t xml:space="preserve">pecific consideration </w:t>
      </w:r>
      <w:r>
        <w:rPr>
          <w:rFonts w:ascii="Times New Roman" w:hAnsi="Times New Roman" w:cs="Times New Roman"/>
        </w:rPr>
        <w:t xml:space="preserve">be </w:t>
      </w:r>
      <w:r w:rsidR="0088070F" w:rsidRPr="00AF27BF">
        <w:rPr>
          <w:rFonts w:ascii="Times New Roman" w:hAnsi="Times New Roman" w:cs="Times New Roman"/>
        </w:rPr>
        <w:t xml:space="preserve">given to the </w:t>
      </w:r>
      <w:r>
        <w:rPr>
          <w:rFonts w:ascii="Times New Roman" w:hAnsi="Times New Roman" w:cs="Times New Roman"/>
        </w:rPr>
        <w:t xml:space="preserve">need for the Treaty to consider addressing the </w:t>
      </w:r>
      <w:r w:rsidR="0088070F" w:rsidRPr="00AF27BF">
        <w:rPr>
          <w:rFonts w:ascii="Times New Roman" w:hAnsi="Times New Roman" w:cs="Times New Roman"/>
        </w:rPr>
        <w:t xml:space="preserve">disproportionate influence of corporations on policy making by addressing </w:t>
      </w:r>
      <w:r w:rsidR="0088070F">
        <w:rPr>
          <w:rFonts w:ascii="Times New Roman" w:hAnsi="Times New Roman" w:cs="Times New Roman"/>
        </w:rPr>
        <w:t xml:space="preserve">the </w:t>
      </w:r>
      <w:r w:rsidR="0088070F" w:rsidRPr="001B2EA9">
        <w:rPr>
          <w:rFonts w:ascii="Times New Roman" w:hAnsi="Times New Roman" w:cs="Times New Roman"/>
          <w:b/>
        </w:rPr>
        <w:t>prevalence of</w:t>
      </w:r>
      <w:r w:rsidR="0088070F">
        <w:rPr>
          <w:rFonts w:ascii="Times New Roman" w:hAnsi="Times New Roman" w:cs="Times New Roman"/>
        </w:rPr>
        <w:t xml:space="preserve"> ‘</w:t>
      </w:r>
      <w:r w:rsidR="0088070F">
        <w:rPr>
          <w:rFonts w:ascii="Times New Roman" w:hAnsi="Times New Roman" w:cs="Times New Roman"/>
          <w:b/>
        </w:rPr>
        <w:t>c</w:t>
      </w:r>
      <w:r w:rsidR="0088070F" w:rsidRPr="00AF27BF">
        <w:rPr>
          <w:rFonts w:ascii="Times New Roman" w:hAnsi="Times New Roman" w:cs="Times New Roman"/>
          <w:b/>
        </w:rPr>
        <w:t>orporate capture</w:t>
      </w:r>
      <w:r w:rsidR="0088070F">
        <w:rPr>
          <w:rFonts w:ascii="Times New Roman" w:hAnsi="Times New Roman" w:cs="Times New Roman"/>
          <w:b/>
        </w:rPr>
        <w:t>’</w:t>
      </w:r>
      <w:r w:rsidR="0088070F" w:rsidRPr="00AF27BF">
        <w:rPr>
          <w:rFonts w:ascii="Times New Roman" w:hAnsi="Times New Roman" w:cs="Times New Roman"/>
          <w:b/>
        </w:rPr>
        <w:t xml:space="preserve"> </w:t>
      </w:r>
      <w:r w:rsidR="0088070F" w:rsidRPr="00AF27BF">
        <w:rPr>
          <w:rFonts w:ascii="Times New Roman" w:hAnsi="Times New Roman" w:cs="Times New Roman"/>
        </w:rPr>
        <w:t>(Section 2.</w:t>
      </w:r>
      <w:r w:rsidR="0088070F">
        <w:rPr>
          <w:rFonts w:ascii="Times New Roman" w:hAnsi="Times New Roman" w:cs="Times New Roman"/>
        </w:rPr>
        <w:t>9</w:t>
      </w:r>
      <w:r w:rsidR="0088070F" w:rsidRPr="00AF27BF">
        <w:rPr>
          <w:rFonts w:ascii="Times New Roman" w:hAnsi="Times New Roman" w:cs="Times New Roman"/>
        </w:rPr>
        <w:t>)</w:t>
      </w:r>
      <w:r>
        <w:rPr>
          <w:rFonts w:ascii="Times New Roman" w:hAnsi="Times New Roman" w:cs="Times New Roman"/>
        </w:rPr>
        <w:t xml:space="preserve">, </w:t>
      </w:r>
      <w:r w:rsidR="0088070F">
        <w:rPr>
          <w:rFonts w:ascii="Times New Roman" w:hAnsi="Times New Roman" w:cs="Times New Roman"/>
        </w:rPr>
        <w:t xml:space="preserve">address </w:t>
      </w:r>
      <w:r w:rsidR="0088070F" w:rsidRPr="00AF27BF">
        <w:rPr>
          <w:rFonts w:ascii="Times New Roman" w:hAnsi="Times New Roman" w:cs="Times New Roman"/>
        </w:rPr>
        <w:t xml:space="preserve">the impacts of </w:t>
      </w:r>
      <w:r w:rsidR="0088070F">
        <w:rPr>
          <w:rFonts w:ascii="Times New Roman" w:hAnsi="Times New Roman" w:cs="Times New Roman"/>
        </w:rPr>
        <w:t>TNC-OBE</w:t>
      </w:r>
      <w:r w:rsidR="0088070F" w:rsidRPr="00AF27BF">
        <w:rPr>
          <w:rFonts w:ascii="Times New Roman" w:hAnsi="Times New Roman" w:cs="Times New Roman"/>
        </w:rPr>
        <w:t xml:space="preserve"> activity</w:t>
      </w:r>
      <w:r w:rsidR="0088070F">
        <w:rPr>
          <w:rFonts w:ascii="Times New Roman" w:hAnsi="Times New Roman" w:cs="Times New Roman"/>
        </w:rPr>
        <w:t xml:space="preserve"> from a </w:t>
      </w:r>
      <w:r w:rsidR="0088070F">
        <w:rPr>
          <w:rFonts w:ascii="Times New Roman" w:hAnsi="Times New Roman" w:cs="Times New Roman"/>
          <w:b/>
        </w:rPr>
        <w:t xml:space="preserve">gender </w:t>
      </w:r>
      <w:r w:rsidR="0088070F">
        <w:rPr>
          <w:rFonts w:ascii="Times New Roman" w:hAnsi="Times New Roman" w:cs="Times New Roman"/>
        </w:rPr>
        <w:t>perspective</w:t>
      </w:r>
      <w:r w:rsidR="0088070F" w:rsidRPr="00AF27BF">
        <w:rPr>
          <w:rFonts w:ascii="Times New Roman" w:hAnsi="Times New Roman" w:cs="Times New Roman"/>
        </w:rPr>
        <w:t xml:space="preserve"> (Section 2.10) </w:t>
      </w:r>
      <w:r>
        <w:rPr>
          <w:rFonts w:ascii="Times New Roman" w:hAnsi="Times New Roman" w:cs="Times New Roman"/>
        </w:rPr>
        <w:t xml:space="preserve">and consider the rights of </w:t>
      </w:r>
      <w:r w:rsidR="0088070F" w:rsidRPr="00AF27BF">
        <w:rPr>
          <w:rFonts w:ascii="Times New Roman" w:hAnsi="Times New Roman" w:cs="Times New Roman"/>
          <w:b/>
        </w:rPr>
        <w:t>indigenous people</w:t>
      </w:r>
      <w:r w:rsidR="0088070F">
        <w:rPr>
          <w:rFonts w:ascii="Times New Roman" w:hAnsi="Times New Roman" w:cs="Times New Roman"/>
          <w:b/>
        </w:rPr>
        <w:t>s</w:t>
      </w:r>
      <w:r w:rsidR="0088070F" w:rsidRPr="00AF27BF">
        <w:rPr>
          <w:rFonts w:ascii="Times New Roman" w:hAnsi="Times New Roman" w:cs="Times New Roman"/>
        </w:rPr>
        <w:t xml:space="preserve"> (Section 2.</w:t>
      </w:r>
      <w:r w:rsidR="0088070F">
        <w:rPr>
          <w:rFonts w:ascii="Times New Roman" w:hAnsi="Times New Roman" w:cs="Times New Roman"/>
        </w:rPr>
        <w:t>11</w:t>
      </w:r>
      <w:r w:rsidR="0088070F" w:rsidRPr="00AF27BF">
        <w:rPr>
          <w:rFonts w:ascii="Times New Roman" w:hAnsi="Times New Roman" w:cs="Times New Roman"/>
        </w:rPr>
        <w:t xml:space="preserve">), </w:t>
      </w:r>
      <w:r>
        <w:rPr>
          <w:rFonts w:ascii="Times New Roman" w:hAnsi="Times New Roman" w:cs="Times New Roman"/>
        </w:rPr>
        <w:t xml:space="preserve">as well as </w:t>
      </w:r>
      <w:r w:rsidR="0088070F">
        <w:rPr>
          <w:rFonts w:ascii="Times New Roman" w:hAnsi="Times New Roman" w:cs="Times New Roman"/>
        </w:rPr>
        <w:t>strengthen</w:t>
      </w:r>
      <w:r w:rsidR="0088070F" w:rsidRPr="00AF27BF">
        <w:rPr>
          <w:rFonts w:ascii="Times New Roman" w:hAnsi="Times New Roman" w:cs="Times New Roman"/>
        </w:rPr>
        <w:t xml:space="preserve"> effective oversight of </w:t>
      </w:r>
      <w:r w:rsidR="0088070F">
        <w:rPr>
          <w:rFonts w:ascii="Times New Roman" w:hAnsi="Times New Roman" w:cs="Times New Roman"/>
        </w:rPr>
        <w:t>TNC-OBE</w:t>
      </w:r>
      <w:r w:rsidR="0088070F" w:rsidRPr="00AF27BF">
        <w:rPr>
          <w:rFonts w:ascii="Times New Roman" w:hAnsi="Times New Roman" w:cs="Times New Roman"/>
        </w:rPr>
        <w:t xml:space="preserve"> activities in </w:t>
      </w:r>
      <w:r w:rsidR="0088070F" w:rsidRPr="00AF27BF">
        <w:rPr>
          <w:rFonts w:ascii="Times New Roman" w:hAnsi="Times New Roman" w:cs="Times New Roman"/>
          <w:b/>
        </w:rPr>
        <w:t xml:space="preserve">conflict and post-conflict situations </w:t>
      </w:r>
      <w:r w:rsidR="0088070F" w:rsidRPr="00AF27BF">
        <w:rPr>
          <w:rFonts w:ascii="Times New Roman" w:hAnsi="Times New Roman" w:cs="Times New Roman"/>
        </w:rPr>
        <w:t>(Section 2.12).</w:t>
      </w:r>
    </w:p>
    <w:p w:rsidR="0088070F" w:rsidRPr="00AF27BF" w:rsidRDefault="0088070F" w:rsidP="0088070F">
      <w:pPr>
        <w:spacing w:after="0"/>
        <w:rPr>
          <w:rFonts w:ascii="Times New Roman" w:hAnsi="Times New Roman" w:cs="Times New Roman"/>
        </w:rPr>
      </w:pPr>
    </w:p>
    <w:p w:rsidR="0088070F" w:rsidRPr="000E0646" w:rsidRDefault="0088070F" w:rsidP="0088070F">
      <w:pPr>
        <w:pStyle w:val="ListParagraph"/>
        <w:numPr>
          <w:ilvl w:val="1"/>
          <w:numId w:val="1"/>
        </w:numPr>
        <w:spacing w:after="0"/>
        <w:ind w:left="540" w:hanging="540"/>
        <w:rPr>
          <w:rFonts w:ascii="Times New Roman" w:hAnsi="Times New Roman" w:cs="Times New Roman"/>
          <w:b/>
          <w:u w:val="single"/>
        </w:rPr>
      </w:pPr>
      <w:r w:rsidRPr="000E0646">
        <w:rPr>
          <w:rFonts w:ascii="Times New Roman" w:hAnsi="Times New Roman" w:cs="Times New Roman"/>
          <w:b/>
          <w:u w:val="single"/>
        </w:rPr>
        <w:t xml:space="preserve">Reaffirm the Primacy of Human Rights Obligations </w:t>
      </w:r>
    </w:p>
    <w:p w:rsidR="0088070F" w:rsidRPr="00AF27BF" w:rsidRDefault="0088070F" w:rsidP="0088070F">
      <w:pPr>
        <w:spacing w:after="0"/>
        <w:rPr>
          <w:rFonts w:ascii="Times New Roman" w:hAnsi="Times New Roman" w:cs="Times New Roman"/>
          <w:i/>
          <w:u w:val="single"/>
        </w:rPr>
      </w:pPr>
    </w:p>
    <w:p w:rsidR="0088070F" w:rsidRDefault="0088070F" w:rsidP="0088070F">
      <w:pPr>
        <w:spacing w:after="0"/>
        <w:rPr>
          <w:rFonts w:ascii="Times New Roman" w:hAnsi="Times New Roman" w:cs="Times New Roman"/>
        </w:rPr>
      </w:pPr>
      <w:r>
        <w:rPr>
          <w:rFonts w:ascii="Times New Roman" w:hAnsi="Times New Roman" w:cs="Times New Roman"/>
        </w:rPr>
        <w:t xml:space="preserve">The foundational principle of the primacy of human rights emanates from the Universal Declaration of Human Rights and the Charter of the United Nations, both established long before the creation of </w:t>
      </w:r>
      <w:r w:rsidRPr="00AF27BF">
        <w:rPr>
          <w:rFonts w:ascii="Times New Roman" w:hAnsi="Times New Roman" w:cs="Times New Roman"/>
        </w:rPr>
        <w:t xml:space="preserve">hundreds of trade and investment treaties between States, </w:t>
      </w:r>
      <w:r>
        <w:rPr>
          <w:rFonts w:ascii="Times New Roman" w:hAnsi="Times New Roman" w:cs="Times New Roman"/>
        </w:rPr>
        <w:t xml:space="preserve">which have established </w:t>
      </w:r>
      <w:r w:rsidRPr="00AF27BF">
        <w:rPr>
          <w:rFonts w:ascii="Times New Roman" w:hAnsi="Times New Roman" w:cs="Times New Roman"/>
        </w:rPr>
        <w:t xml:space="preserve">a complex system governing trade and investment practices globally. </w:t>
      </w:r>
      <w:r>
        <w:rPr>
          <w:rFonts w:ascii="Times New Roman" w:hAnsi="Times New Roman" w:cs="Times New Roman"/>
        </w:rPr>
        <w:t>T</w:t>
      </w:r>
      <w:r w:rsidRPr="00AF27BF">
        <w:rPr>
          <w:rFonts w:ascii="Times New Roman" w:hAnsi="Times New Roman" w:cs="Times New Roman"/>
        </w:rPr>
        <w:t xml:space="preserve">hese agreements have been subject to criticism from social movements, </w:t>
      </w:r>
      <w:r>
        <w:rPr>
          <w:rFonts w:ascii="Times New Roman" w:hAnsi="Times New Roman" w:cs="Times New Roman"/>
        </w:rPr>
        <w:t>CS</w:t>
      </w:r>
      <w:r w:rsidRPr="00AF27BF">
        <w:rPr>
          <w:rFonts w:ascii="Times New Roman" w:hAnsi="Times New Roman" w:cs="Times New Roman"/>
        </w:rPr>
        <w:t>Os</w:t>
      </w:r>
      <w:r>
        <w:rPr>
          <w:rFonts w:ascii="Times New Roman" w:hAnsi="Times New Roman" w:cs="Times New Roman"/>
        </w:rPr>
        <w:t>,</w:t>
      </w:r>
      <w:r w:rsidRPr="00AF27BF">
        <w:rPr>
          <w:rFonts w:ascii="Times New Roman" w:hAnsi="Times New Roman" w:cs="Times New Roman"/>
        </w:rPr>
        <w:t xml:space="preserve"> human rights experts, </w:t>
      </w:r>
      <w:r>
        <w:rPr>
          <w:rFonts w:ascii="Times New Roman" w:hAnsi="Times New Roman" w:cs="Times New Roman"/>
        </w:rPr>
        <w:t xml:space="preserve">UN Special Rapporteurs, academics, and others, </w:t>
      </w:r>
      <w:r w:rsidRPr="00AF27BF">
        <w:rPr>
          <w:rFonts w:ascii="Times New Roman" w:hAnsi="Times New Roman" w:cs="Times New Roman"/>
        </w:rPr>
        <w:t>who note that they are often negotiated secretly</w:t>
      </w:r>
      <w:r>
        <w:rPr>
          <w:rFonts w:ascii="Times New Roman" w:hAnsi="Times New Roman" w:cs="Times New Roman"/>
        </w:rPr>
        <w:t>, entered into by States without necessary human rights assessment or safeguards in place,</w:t>
      </w:r>
      <w:r w:rsidRPr="00AF27BF">
        <w:rPr>
          <w:rFonts w:ascii="Times New Roman" w:hAnsi="Times New Roman" w:cs="Times New Roman"/>
        </w:rPr>
        <w:t xml:space="preserve"> and driven by the interests of powerful corporations seeking to consolidate their profit and market share at the expense of human rights, decent work, sustainable and equitable economies, and environmental protection. </w:t>
      </w:r>
    </w:p>
    <w:p w:rsidR="0088070F" w:rsidRDefault="0088070F" w:rsidP="0088070F">
      <w:pPr>
        <w:spacing w:after="0"/>
        <w:rPr>
          <w:rFonts w:ascii="Times New Roman" w:hAnsi="Times New Roman" w:cs="Times New Roman"/>
        </w:rPr>
      </w:pPr>
    </w:p>
    <w:p w:rsidR="0088070F" w:rsidRDefault="0088070F" w:rsidP="0088070F">
      <w:pPr>
        <w:spacing w:after="0"/>
        <w:rPr>
          <w:rFonts w:ascii="Times New Roman" w:eastAsia="Times New Roman" w:hAnsi="Times New Roman" w:cs="Times New Roman"/>
        </w:rPr>
      </w:pPr>
      <w:r>
        <w:rPr>
          <w:rFonts w:ascii="Times New Roman" w:hAnsi="Times New Roman" w:cs="Times New Roman"/>
        </w:rPr>
        <w:lastRenderedPageBreak/>
        <w:t xml:space="preserve">Trade and investment treaties also facilitate privatization of health, transport, water, energy and other basic services and infrastructure development, which are areas of central importance for States to meet </w:t>
      </w:r>
      <w:r w:rsidRPr="00CB1AB0">
        <w:rPr>
          <w:rFonts w:ascii="Times New Roman" w:eastAsia="Times New Roman" w:hAnsi="Times New Roman" w:cs="Times New Roman"/>
        </w:rPr>
        <w:t>their obligations</w:t>
      </w:r>
      <w:r>
        <w:rPr>
          <w:rFonts w:ascii="Times New Roman" w:eastAsia="Times New Roman" w:hAnsi="Times New Roman" w:cs="Times New Roman"/>
        </w:rPr>
        <w:t xml:space="preserve"> to respect, protect and fulfi</w:t>
      </w:r>
      <w:r w:rsidRPr="00CB1AB0">
        <w:rPr>
          <w:rFonts w:ascii="Times New Roman" w:eastAsia="Times New Roman" w:hAnsi="Times New Roman" w:cs="Times New Roman"/>
        </w:rPr>
        <w:t>l</w:t>
      </w:r>
      <w:r>
        <w:rPr>
          <w:rFonts w:ascii="Times New Roman" w:eastAsia="Times New Roman" w:hAnsi="Times New Roman" w:cs="Times New Roman"/>
        </w:rPr>
        <w:t>l</w:t>
      </w:r>
      <w:r w:rsidRPr="00CB1AB0">
        <w:rPr>
          <w:rFonts w:ascii="Times New Roman" w:eastAsia="Times New Roman" w:hAnsi="Times New Roman" w:cs="Times New Roman"/>
        </w:rPr>
        <w:t xml:space="preserve"> human rights</w:t>
      </w:r>
      <w:r>
        <w:rPr>
          <w:rFonts w:ascii="Times New Roman" w:eastAsia="Times New Roman" w:hAnsi="Times New Roman" w:cs="Times New Roman"/>
        </w:rPr>
        <w:t xml:space="preserve"> obligations</w:t>
      </w:r>
      <w:r w:rsidRPr="00CB1AB0">
        <w:rPr>
          <w:rFonts w:ascii="Times New Roman" w:eastAsia="Times New Roman" w:hAnsi="Times New Roman" w:cs="Times New Roman"/>
        </w:rPr>
        <w:t>. Transferring the building, operation and ownership of physical and social infrastructure to the private sect</w:t>
      </w:r>
      <w:r>
        <w:rPr>
          <w:rFonts w:ascii="Times New Roman" w:eastAsia="Times New Roman" w:hAnsi="Times New Roman" w:cs="Times New Roman"/>
        </w:rPr>
        <w:t>or</w:t>
      </w:r>
      <w:r w:rsidRPr="00CB1AB0">
        <w:rPr>
          <w:rFonts w:ascii="Times New Roman" w:eastAsia="Times New Roman" w:hAnsi="Times New Roman" w:cs="Times New Roman"/>
        </w:rPr>
        <w:t xml:space="preserve"> can subordinate the delivery of these services to corporate profit interests, </w:t>
      </w:r>
      <w:r>
        <w:rPr>
          <w:rFonts w:ascii="Times New Roman" w:eastAsia="Times New Roman" w:hAnsi="Times New Roman" w:cs="Times New Roman"/>
        </w:rPr>
        <w:t>rather than ensuring their conformity with human rights</w:t>
      </w:r>
      <w:r w:rsidRPr="00CB1AB0">
        <w:rPr>
          <w:rFonts w:ascii="Times New Roman" w:eastAsia="Times New Roman" w:hAnsi="Times New Roman" w:cs="Times New Roman"/>
        </w:rPr>
        <w:t>, as has been widely noted, for example, in the privati</w:t>
      </w:r>
      <w:r>
        <w:rPr>
          <w:rFonts w:ascii="Times New Roman" w:eastAsia="Times New Roman" w:hAnsi="Times New Roman" w:cs="Times New Roman"/>
        </w:rPr>
        <w:t>z</w:t>
      </w:r>
      <w:r w:rsidRPr="00CB1AB0">
        <w:rPr>
          <w:rFonts w:ascii="Times New Roman" w:eastAsia="Times New Roman" w:hAnsi="Times New Roman" w:cs="Times New Roman"/>
        </w:rPr>
        <w:t xml:space="preserve">ation of water services across the world. </w:t>
      </w:r>
    </w:p>
    <w:p w:rsidR="0088070F" w:rsidRDefault="0088070F" w:rsidP="0088070F">
      <w:pPr>
        <w:spacing w:after="0"/>
        <w:rPr>
          <w:rFonts w:ascii="Times New Roman" w:hAnsi="Times New Roman" w:cs="Times New Roman"/>
        </w:rPr>
      </w:pPr>
    </w:p>
    <w:p w:rsidR="0088070F" w:rsidRPr="00AF27BF" w:rsidRDefault="0088070F" w:rsidP="0088070F">
      <w:pPr>
        <w:spacing w:after="0"/>
        <w:rPr>
          <w:rFonts w:ascii="Times New Roman" w:hAnsi="Times New Roman" w:cs="Times New Roman"/>
        </w:rPr>
      </w:pPr>
      <w:r w:rsidRPr="00AF27BF">
        <w:rPr>
          <w:rFonts w:ascii="Times New Roman" w:hAnsi="Times New Roman" w:cs="Times New Roman"/>
        </w:rPr>
        <w:t xml:space="preserve">Further, critiques of investor-state dispute settlement (ISDS) focus on: the extremely broad view taken by ISDS tribunals regarding the scope of provisions that investors seek to enforce, </w:t>
      </w:r>
      <w:r>
        <w:rPr>
          <w:rFonts w:ascii="Times New Roman" w:hAnsi="Times New Roman" w:cs="Times New Roman"/>
        </w:rPr>
        <w:t xml:space="preserve">therefore </w:t>
      </w:r>
      <w:r w:rsidRPr="00AF27BF">
        <w:rPr>
          <w:rFonts w:ascii="Times New Roman" w:hAnsi="Times New Roman" w:cs="Times New Roman"/>
        </w:rPr>
        <w:t>impact</w:t>
      </w:r>
      <w:r>
        <w:rPr>
          <w:rFonts w:ascii="Times New Roman" w:hAnsi="Times New Roman" w:cs="Times New Roman"/>
        </w:rPr>
        <w:t>ing</w:t>
      </w:r>
      <w:r w:rsidRPr="00AF27BF">
        <w:rPr>
          <w:rFonts w:ascii="Times New Roman" w:hAnsi="Times New Roman" w:cs="Times New Roman"/>
        </w:rPr>
        <w:t xml:space="preserve"> on many areas relevant to the enjoyment of human rights; the perceived or actual lack of consistency, transparency and impartiality of ISDS decisions; and the direct undermining of State</w:t>
      </w:r>
      <w:r>
        <w:rPr>
          <w:rFonts w:ascii="Times New Roman" w:hAnsi="Times New Roman" w:cs="Times New Roman"/>
        </w:rPr>
        <w:t xml:space="preserve">s’ obligations </w:t>
      </w:r>
      <w:r w:rsidRPr="00AF27BF">
        <w:rPr>
          <w:rFonts w:ascii="Times New Roman" w:hAnsi="Times New Roman" w:cs="Times New Roman"/>
        </w:rPr>
        <w:t>to protect</w:t>
      </w:r>
      <w:r>
        <w:rPr>
          <w:rFonts w:ascii="Times New Roman" w:hAnsi="Times New Roman" w:cs="Times New Roman"/>
        </w:rPr>
        <w:t xml:space="preserve"> </w:t>
      </w:r>
      <w:r w:rsidRPr="00AF27BF">
        <w:rPr>
          <w:rFonts w:ascii="Times New Roman" w:hAnsi="Times New Roman" w:cs="Times New Roman"/>
        </w:rPr>
        <w:t>human rights, the environment, or promot</w:t>
      </w:r>
      <w:r>
        <w:rPr>
          <w:rFonts w:ascii="Times New Roman" w:hAnsi="Times New Roman" w:cs="Times New Roman"/>
        </w:rPr>
        <w:t>e</w:t>
      </w:r>
      <w:r w:rsidRPr="00AF27BF">
        <w:rPr>
          <w:rFonts w:ascii="Times New Roman" w:hAnsi="Times New Roman" w:cs="Times New Roman"/>
        </w:rPr>
        <w:t xml:space="preserve"> equitable development, through the favoring of investor </w:t>
      </w:r>
      <w:r>
        <w:rPr>
          <w:rFonts w:ascii="Times New Roman" w:hAnsi="Times New Roman" w:cs="Times New Roman"/>
        </w:rPr>
        <w:t>privileges</w:t>
      </w:r>
      <w:r w:rsidRPr="00AF27BF">
        <w:rPr>
          <w:rFonts w:ascii="Times New Roman" w:hAnsi="Times New Roman" w:cs="Times New Roman"/>
        </w:rPr>
        <w:t xml:space="preserve"> over human rights. </w:t>
      </w:r>
    </w:p>
    <w:p w:rsidR="0088070F" w:rsidRDefault="0088070F" w:rsidP="0088070F">
      <w:pPr>
        <w:spacing w:after="0"/>
        <w:rPr>
          <w:rFonts w:ascii="Times New Roman" w:hAnsi="Times New Roman" w:cs="Times New Roman"/>
        </w:rPr>
      </w:pPr>
    </w:p>
    <w:p w:rsidR="0088070F" w:rsidRDefault="0088070F" w:rsidP="0088070F">
      <w:pPr>
        <w:spacing w:after="0"/>
        <w:rPr>
          <w:rFonts w:ascii="Times New Roman" w:hAnsi="Times New Roman" w:cs="Times New Roman"/>
        </w:rPr>
      </w:pPr>
      <w:r w:rsidRPr="00AF27BF">
        <w:rPr>
          <w:rFonts w:ascii="Times New Roman" w:hAnsi="Times New Roman" w:cs="Times New Roman"/>
        </w:rPr>
        <w:t xml:space="preserve">The current </w:t>
      </w:r>
      <w:r>
        <w:rPr>
          <w:rFonts w:ascii="Times New Roman" w:hAnsi="Times New Roman" w:cs="Times New Roman"/>
        </w:rPr>
        <w:t xml:space="preserve">binding </w:t>
      </w:r>
      <w:r w:rsidRPr="00AF27BF">
        <w:rPr>
          <w:rFonts w:ascii="Times New Roman" w:hAnsi="Times New Roman" w:cs="Times New Roman"/>
        </w:rPr>
        <w:t xml:space="preserve">trade and investment framework can be contrasted with the very weak international enforcement mechanisms </w:t>
      </w:r>
      <w:r>
        <w:rPr>
          <w:rFonts w:ascii="Times New Roman" w:hAnsi="Times New Roman" w:cs="Times New Roman"/>
        </w:rPr>
        <w:t xml:space="preserve">for </w:t>
      </w:r>
      <w:r w:rsidRPr="00AF27BF">
        <w:rPr>
          <w:rFonts w:ascii="Times New Roman" w:hAnsi="Times New Roman" w:cs="Times New Roman"/>
        </w:rPr>
        <w:t>compel</w:t>
      </w:r>
      <w:r>
        <w:rPr>
          <w:rFonts w:ascii="Times New Roman" w:hAnsi="Times New Roman" w:cs="Times New Roman"/>
        </w:rPr>
        <w:t>ling</w:t>
      </w:r>
      <w:r w:rsidRPr="00AF27BF">
        <w:rPr>
          <w:rFonts w:ascii="Times New Roman" w:hAnsi="Times New Roman" w:cs="Times New Roman"/>
        </w:rPr>
        <w:t xml:space="preserve"> States to </w:t>
      </w:r>
      <w:r>
        <w:rPr>
          <w:rFonts w:ascii="Times New Roman" w:hAnsi="Times New Roman" w:cs="Times New Roman"/>
        </w:rPr>
        <w:t>comply with</w:t>
      </w:r>
      <w:r w:rsidRPr="00AF27BF">
        <w:rPr>
          <w:rFonts w:ascii="Times New Roman" w:hAnsi="Times New Roman" w:cs="Times New Roman"/>
        </w:rPr>
        <w:t xml:space="preserve"> their human rights obligations. In light of this asymmetry, with its serious imp</w:t>
      </w:r>
      <w:r>
        <w:rPr>
          <w:rFonts w:ascii="Times New Roman" w:hAnsi="Times New Roman" w:cs="Times New Roman"/>
        </w:rPr>
        <w:t>lications</w:t>
      </w:r>
      <w:r w:rsidRPr="00AF27BF">
        <w:rPr>
          <w:rFonts w:ascii="Times New Roman" w:hAnsi="Times New Roman" w:cs="Times New Roman"/>
        </w:rPr>
        <w:t xml:space="preserve"> </w:t>
      </w:r>
      <w:r>
        <w:rPr>
          <w:rFonts w:ascii="Times New Roman" w:hAnsi="Times New Roman" w:cs="Times New Roman"/>
        </w:rPr>
        <w:t>for</w:t>
      </w:r>
      <w:r w:rsidRPr="00AF27BF">
        <w:rPr>
          <w:rFonts w:ascii="Times New Roman" w:hAnsi="Times New Roman" w:cs="Times New Roman"/>
        </w:rPr>
        <w:t xml:space="preserve"> </w:t>
      </w:r>
      <w:r>
        <w:rPr>
          <w:rFonts w:ascii="Times New Roman" w:hAnsi="Times New Roman" w:cs="Times New Roman"/>
        </w:rPr>
        <w:t xml:space="preserve">people whose enjoyment of human rights is impaired </w:t>
      </w:r>
      <w:r w:rsidRPr="00AF27BF">
        <w:rPr>
          <w:rFonts w:ascii="Times New Roman" w:hAnsi="Times New Roman" w:cs="Times New Roman"/>
        </w:rPr>
        <w:t xml:space="preserve">by </w:t>
      </w:r>
      <w:r>
        <w:rPr>
          <w:rFonts w:ascii="Times New Roman" w:hAnsi="Times New Roman" w:cs="Times New Roman"/>
        </w:rPr>
        <w:t>TNC-OBE</w:t>
      </w:r>
      <w:r w:rsidRPr="00AF27BF">
        <w:rPr>
          <w:rFonts w:ascii="Times New Roman" w:hAnsi="Times New Roman" w:cs="Times New Roman"/>
        </w:rPr>
        <w:t xml:space="preserve">, the Treaty provides the opportunity for States to </w:t>
      </w:r>
      <w:r>
        <w:rPr>
          <w:rFonts w:ascii="Times New Roman" w:hAnsi="Times New Roman" w:cs="Times New Roman"/>
        </w:rPr>
        <w:t>reaffirm and ensure that their</w:t>
      </w:r>
      <w:r w:rsidRPr="00AF27BF">
        <w:rPr>
          <w:rFonts w:ascii="Times New Roman" w:hAnsi="Times New Roman" w:cs="Times New Roman"/>
        </w:rPr>
        <w:t xml:space="preserve"> human rights obligations</w:t>
      </w:r>
      <w:r>
        <w:rPr>
          <w:rFonts w:ascii="Times New Roman" w:hAnsi="Times New Roman" w:cs="Times New Roman"/>
        </w:rPr>
        <w:t>,</w:t>
      </w:r>
      <w:r w:rsidRPr="00AF27BF">
        <w:rPr>
          <w:rFonts w:ascii="Times New Roman" w:hAnsi="Times New Roman" w:cs="Times New Roman"/>
        </w:rPr>
        <w:t xml:space="preserve"> and the provisions of the Treaty itself</w:t>
      </w:r>
      <w:r>
        <w:rPr>
          <w:rFonts w:ascii="Times New Roman" w:hAnsi="Times New Roman" w:cs="Times New Roman"/>
        </w:rPr>
        <w:t>,</w:t>
      </w:r>
      <w:r w:rsidRPr="00AF27BF">
        <w:rPr>
          <w:rFonts w:ascii="Times New Roman" w:hAnsi="Times New Roman" w:cs="Times New Roman"/>
        </w:rPr>
        <w:t xml:space="preserve"> </w:t>
      </w:r>
      <w:r>
        <w:rPr>
          <w:rFonts w:ascii="Times New Roman" w:hAnsi="Times New Roman" w:cs="Times New Roman"/>
        </w:rPr>
        <w:t>will be adequately safeguarded and will be given</w:t>
      </w:r>
      <w:r w:rsidRPr="00AF27BF">
        <w:rPr>
          <w:rFonts w:ascii="Times New Roman" w:hAnsi="Times New Roman" w:cs="Times New Roman"/>
        </w:rPr>
        <w:t xml:space="preserve"> precedence </w:t>
      </w:r>
      <w:r>
        <w:rPr>
          <w:rFonts w:ascii="Times New Roman" w:hAnsi="Times New Roman" w:cs="Times New Roman"/>
        </w:rPr>
        <w:t>in relation to obligations under</w:t>
      </w:r>
      <w:r w:rsidRPr="00AF27BF">
        <w:rPr>
          <w:rFonts w:ascii="Times New Roman" w:hAnsi="Times New Roman" w:cs="Times New Roman"/>
        </w:rPr>
        <w:t xml:space="preserve"> trade </w:t>
      </w:r>
      <w:r>
        <w:rPr>
          <w:rFonts w:ascii="Times New Roman" w:hAnsi="Times New Roman" w:cs="Times New Roman"/>
        </w:rPr>
        <w:t xml:space="preserve">and </w:t>
      </w:r>
      <w:r w:rsidRPr="00AF27BF">
        <w:rPr>
          <w:rFonts w:ascii="Times New Roman" w:hAnsi="Times New Roman" w:cs="Times New Roman"/>
        </w:rPr>
        <w:t>investment treaties.</w:t>
      </w:r>
    </w:p>
    <w:p w:rsidR="0088070F" w:rsidRPr="00AF27BF" w:rsidRDefault="0088070F" w:rsidP="0088070F">
      <w:pPr>
        <w:spacing w:after="0"/>
        <w:rPr>
          <w:rFonts w:ascii="Times New Roman" w:hAnsi="Times New Roman" w:cs="Times New Roman"/>
        </w:rPr>
      </w:pPr>
    </w:p>
    <w:p w:rsidR="0088070F" w:rsidRDefault="0088070F" w:rsidP="0088070F">
      <w:pPr>
        <w:shd w:val="clear" w:color="auto" w:fill="FFFFFF" w:themeFill="background1"/>
        <w:spacing w:after="0"/>
        <w:rPr>
          <w:rFonts w:ascii="Times New Roman" w:hAnsi="Times New Roman" w:cs="Times New Roman"/>
          <w:b/>
        </w:rPr>
      </w:pPr>
      <w:r w:rsidRPr="00B82E53">
        <w:rPr>
          <w:rFonts w:ascii="Times New Roman" w:hAnsi="Times New Roman" w:cs="Times New Roman"/>
          <w:b/>
          <w:u w:val="single"/>
        </w:rPr>
        <w:t>Key Recommendation</w:t>
      </w:r>
      <w:r w:rsidRPr="00C526AC">
        <w:rPr>
          <w:rFonts w:ascii="Times New Roman" w:hAnsi="Times New Roman" w:cs="Times New Roman"/>
          <w:b/>
        </w:rPr>
        <w:t xml:space="preserve">: States must reaffirm the primacy of human rights, as guaranteed by their pre-existing obligations to respect, protect and fulfill human rights, in the context of negotiation, interpretation and dispute resolution of trade and investment treaties. </w:t>
      </w:r>
    </w:p>
    <w:p w:rsidR="0088070F" w:rsidRDefault="0088070F" w:rsidP="0088070F">
      <w:pPr>
        <w:shd w:val="clear" w:color="auto" w:fill="FFFFFF" w:themeFill="background1"/>
        <w:spacing w:after="0"/>
        <w:rPr>
          <w:rFonts w:ascii="Times New Roman" w:hAnsi="Times New Roman" w:cs="Times New Roman"/>
          <w:b/>
        </w:rPr>
      </w:pPr>
    </w:p>
    <w:p w:rsidR="0088070F" w:rsidRPr="00C526AC" w:rsidRDefault="0088070F" w:rsidP="0088070F">
      <w:pPr>
        <w:shd w:val="clear" w:color="auto" w:fill="FFFFFF" w:themeFill="background1"/>
        <w:spacing w:after="0"/>
        <w:rPr>
          <w:rFonts w:ascii="Times New Roman" w:hAnsi="Times New Roman" w:cs="Times New Roman"/>
          <w:b/>
        </w:rPr>
      </w:pPr>
      <w:r w:rsidRPr="00C526AC">
        <w:rPr>
          <w:rFonts w:ascii="Times New Roman" w:hAnsi="Times New Roman" w:cs="Times New Roman"/>
          <w:b/>
        </w:rPr>
        <w:t xml:space="preserve">States must refrain from being party to such agreements where the provisions interfere with the ability to meet their human rights obligations. In this context, before signing trade or investment agreements, States must make full and proper assessment of the impact of implementing these agreements on the realization of human rights in their country (including, among other issues, </w:t>
      </w:r>
      <w:r>
        <w:rPr>
          <w:rFonts w:ascii="Times New Roman" w:hAnsi="Times New Roman" w:cs="Times New Roman"/>
          <w:b/>
        </w:rPr>
        <w:t>in connection with</w:t>
      </w:r>
      <w:r w:rsidRPr="00C526AC">
        <w:rPr>
          <w:rFonts w:ascii="Times New Roman" w:hAnsi="Times New Roman" w:cs="Times New Roman"/>
          <w:b/>
        </w:rPr>
        <w:t xml:space="preserve"> the privatization of public health, transport, infrastructure, energy and other services). </w:t>
      </w:r>
    </w:p>
    <w:p w:rsidR="0088070F" w:rsidRDefault="0088070F" w:rsidP="0088070F">
      <w:pPr>
        <w:pStyle w:val="ListParagraph"/>
        <w:spacing w:after="0"/>
        <w:ind w:left="540"/>
        <w:rPr>
          <w:rFonts w:ascii="Times New Roman" w:eastAsia="Times New Roman" w:hAnsi="Times New Roman" w:cs="Times New Roman"/>
          <w:color w:val="222222"/>
        </w:rPr>
      </w:pPr>
    </w:p>
    <w:p w:rsidR="0088070F" w:rsidRDefault="0088070F" w:rsidP="0088070F">
      <w:pPr>
        <w:pStyle w:val="ListParagraph"/>
        <w:spacing w:after="0"/>
        <w:ind w:left="540"/>
        <w:rPr>
          <w:rFonts w:ascii="Times New Roman" w:hAnsi="Times New Roman" w:cs="Times New Roman"/>
          <w:b/>
          <w:u w:val="single"/>
        </w:rPr>
      </w:pPr>
    </w:p>
    <w:p w:rsidR="0088070F" w:rsidRPr="00AF27BF" w:rsidRDefault="0088070F" w:rsidP="0088070F">
      <w:pPr>
        <w:pStyle w:val="ListParagraph"/>
        <w:numPr>
          <w:ilvl w:val="1"/>
          <w:numId w:val="1"/>
        </w:numPr>
        <w:spacing w:after="0"/>
        <w:ind w:left="540" w:hanging="540"/>
        <w:rPr>
          <w:rFonts w:ascii="Times New Roman" w:hAnsi="Times New Roman" w:cs="Times New Roman"/>
          <w:b/>
          <w:u w:val="single"/>
        </w:rPr>
      </w:pPr>
      <w:r>
        <w:rPr>
          <w:rFonts w:ascii="Times New Roman" w:hAnsi="Times New Roman" w:cs="Times New Roman"/>
          <w:b/>
          <w:u w:val="single"/>
        </w:rPr>
        <w:t>H</w:t>
      </w:r>
      <w:r w:rsidRPr="00AF27BF">
        <w:rPr>
          <w:rFonts w:ascii="Times New Roman" w:hAnsi="Times New Roman" w:cs="Times New Roman"/>
          <w:b/>
          <w:u w:val="single"/>
        </w:rPr>
        <w:t xml:space="preserve">uman </w:t>
      </w:r>
      <w:r>
        <w:rPr>
          <w:rFonts w:ascii="Times New Roman" w:hAnsi="Times New Roman" w:cs="Times New Roman"/>
          <w:b/>
          <w:u w:val="single"/>
        </w:rPr>
        <w:t>R</w:t>
      </w:r>
      <w:r w:rsidRPr="00AF27BF">
        <w:rPr>
          <w:rFonts w:ascii="Times New Roman" w:hAnsi="Times New Roman" w:cs="Times New Roman"/>
          <w:b/>
          <w:u w:val="single"/>
        </w:rPr>
        <w:t xml:space="preserve">ights </w:t>
      </w:r>
      <w:proofErr w:type="gramStart"/>
      <w:r w:rsidRPr="00AF27BF">
        <w:rPr>
          <w:rFonts w:ascii="Times New Roman" w:hAnsi="Times New Roman" w:cs="Times New Roman"/>
          <w:b/>
          <w:u w:val="single"/>
        </w:rPr>
        <w:t>are</w:t>
      </w:r>
      <w:proofErr w:type="gramEnd"/>
      <w:r w:rsidRPr="00AF27BF">
        <w:rPr>
          <w:rFonts w:ascii="Times New Roman" w:hAnsi="Times New Roman" w:cs="Times New Roman"/>
          <w:b/>
          <w:u w:val="single"/>
        </w:rPr>
        <w:t xml:space="preserve"> </w:t>
      </w:r>
      <w:r>
        <w:rPr>
          <w:rFonts w:ascii="Times New Roman" w:hAnsi="Times New Roman" w:cs="Times New Roman"/>
          <w:b/>
          <w:u w:val="single"/>
        </w:rPr>
        <w:t>I</w:t>
      </w:r>
      <w:r w:rsidRPr="00AF27BF">
        <w:rPr>
          <w:rFonts w:ascii="Times New Roman" w:hAnsi="Times New Roman" w:cs="Times New Roman"/>
          <w:b/>
          <w:u w:val="single"/>
        </w:rPr>
        <w:t xml:space="preserve">nterrelated, </w:t>
      </w:r>
      <w:r>
        <w:rPr>
          <w:rFonts w:ascii="Times New Roman" w:hAnsi="Times New Roman" w:cs="Times New Roman"/>
          <w:b/>
          <w:u w:val="single"/>
        </w:rPr>
        <w:t>I</w:t>
      </w:r>
      <w:r w:rsidRPr="00AF27BF">
        <w:rPr>
          <w:rFonts w:ascii="Times New Roman" w:hAnsi="Times New Roman" w:cs="Times New Roman"/>
          <w:b/>
          <w:u w:val="single"/>
        </w:rPr>
        <w:t xml:space="preserve">nterdependent and </w:t>
      </w:r>
      <w:r>
        <w:rPr>
          <w:rFonts w:ascii="Times New Roman" w:hAnsi="Times New Roman" w:cs="Times New Roman"/>
          <w:b/>
          <w:u w:val="single"/>
        </w:rPr>
        <w:t>I</w:t>
      </w:r>
      <w:r w:rsidRPr="00AF27BF">
        <w:rPr>
          <w:rFonts w:ascii="Times New Roman" w:hAnsi="Times New Roman" w:cs="Times New Roman"/>
          <w:b/>
          <w:u w:val="single"/>
        </w:rPr>
        <w:t>ndivisible</w:t>
      </w:r>
    </w:p>
    <w:p w:rsidR="0088070F" w:rsidRPr="00AF27BF" w:rsidRDefault="0088070F" w:rsidP="0088070F">
      <w:pPr>
        <w:spacing w:after="0"/>
        <w:rPr>
          <w:rFonts w:ascii="Times New Roman" w:hAnsi="Times New Roman" w:cs="Times New Roman"/>
        </w:rPr>
      </w:pPr>
    </w:p>
    <w:p w:rsidR="0088070F" w:rsidRDefault="0088070F" w:rsidP="0088070F">
      <w:pPr>
        <w:spacing w:after="0"/>
        <w:rPr>
          <w:rFonts w:ascii="Times New Roman" w:hAnsi="Times New Roman" w:cs="Times New Roman"/>
        </w:rPr>
      </w:pPr>
      <w:r w:rsidRPr="00AF27BF">
        <w:rPr>
          <w:rFonts w:ascii="Times New Roman" w:hAnsi="Times New Roman" w:cs="Times New Roman"/>
        </w:rPr>
        <w:t>All human rights are interrelated, interdependent and indivisible. Further, the reali</w:t>
      </w:r>
      <w:r>
        <w:rPr>
          <w:rFonts w:ascii="Times New Roman" w:hAnsi="Times New Roman" w:cs="Times New Roman"/>
        </w:rPr>
        <w:t>z</w:t>
      </w:r>
      <w:r w:rsidRPr="00AF27BF">
        <w:rPr>
          <w:rFonts w:ascii="Times New Roman" w:hAnsi="Times New Roman" w:cs="Times New Roman"/>
        </w:rPr>
        <w:t xml:space="preserve">ation of human rights is dependent on the maintenance of a safe, clean, healthy and sustainable environment. To ensure a meaningful international regulatory response to the extensive human rights </w:t>
      </w:r>
      <w:r>
        <w:rPr>
          <w:rFonts w:ascii="Times New Roman" w:hAnsi="Times New Roman" w:cs="Times New Roman"/>
        </w:rPr>
        <w:t>impairment</w:t>
      </w:r>
      <w:r w:rsidRPr="00AF27BF">
        <w:rPr>
          <w:rFonts w:ascii="Times New Roman" w:hAnsi="Times New Roman" w:cs="Times New Roman"/>
        </w:rPr>
        <w:t xml:space="preserve"> connected with </w:t>
      </w:r>
      <w:r>
        <w:rPr>
          <w:rFonts w:ascii="Times New Roman" w:hAnsi="Times New Roman" w:cs="Times New Roman"/>
        </w:rPr>
        <w:t>TNC-OBE</w:t>
      </w:r>
      <w:r w:rsidRPr="00AF27BF">
        <w:rPr>
          <w:rFonts w:ascii="Times New Roman" w:hAnsi="Times New Roman" w:cs="Times New Roman"/>
        </w:rPr>
        <w:t xml:space="preserve"> activit</w:t>
      </w:r>
      <w:r>
        <w:rPr>
          <w:rFonts w:ascii="Times New Roman" w:hAnsi="Times New Roman" w:cs="Times New Roman"/>
        </w:rPr>
        <w:t>y</w:t>
      </w:r>
      <w:r w:rsidRPr="00AF27BF">
        <w:rPr>
          <w:rFonts w:ascii="Times New Roman" w:hAnsi="Times New Roman" w:cs="Times New Roman"/>
        </w:rPr>
        <w:t xml:space="preserve">, the scope of the Treaty should be determined </w:t>
      </w:r>
      <w:r>
        <w:rPr>
          <w:rFonts w:ascii="Times New Roman" w:hAnsi="Times New Roman" w:cs="Times New Roman"/>
        </w:rPr>
        <w:t xml:space="preserve">above all else </w:t>
      </w:r>
      <w:r w:rsidRPr="00AF27BF">
        <w:rPr>
          <w:rFonts w:ascii="Times New Roman" w:hAnsi="Times New Roman" w:cs="Times New Roman"/>
        </w:rPr>
        <w:t xml:space="preserve">with reference to the needs of the rights holders. As the activities of </w:t>
      </w:r>
      <w:r>
        <w:rPr>
          <w:rFonts w:ascii="Times New Roman" w:hAnsi="Times New Roman" w:cs="Times New Roman"/>
        </w:rPr>
        <w:t>TNC-OBE</w:t>
      </w:r>
      <w:r w:rsidRPr="00AF27BF">
        <w:rPr>
          <w:rFonts w:ascii="Times New Roman" w:hAnsi="Times New Roman" w:cs="Times New Roman"/>
        </w:rPr>
        <w:t xml:space="preserve"> can and do directly or indirectly impact </w:t>
      </w:r>
      <w:r>
        <w:rPr>
          <w:rFonts w:ascii="Times New Roman" w:hAnsi="Times New Roman" w:cs="Times New Roman"/>
        </w:rPr>
        <w:t>the full</w:t>
      </w:r>
      <w:r w:rsidRPr="00AF27BF">
        <w:rPr>
          <w:rFonts w:ascii="Times New Roman" w:hAnsi="Times New Roman" w:cs="Times New Roman"/>
        </w:rPr>
        <w:t xml:space="preserve"> range of human rights, drawing a distinction within international human rights law that results in some internationally recognized human rights </w:t>
      </w:r>
      <w:r>
        <w:rPr>
          <w:rFonts w:ascii="Times New Roman" w:hAnsi="Times New Roman" w:cs="Times New Roman"/>
        </w:rPr>
        <w:t xml:space="preserve">being given protection </w:t>
      </w:r>
      <w:r w:rsidRPr="00AF27BF">
        <w:rPr>
          <w:rFonts w:ascii="Times New Roman" w:hAnsi="Times New Roman" w:cs="Times New Roman"/>
        </w:rPr>
        <w:t xml:space="preserve">and </w:t>
      </w:r>
      <w:r>
        <w:rPr>
          <w:rFonts w:ascii="Times New Roman" w:hAnsi="Times New Roman" w:cs="Times New Roman"/>
        </w:rPr>
        <w:t>others not</w:t>
      </w:r>
      <w:r w:rsidRPr="00AF27BF">
        <w:rPr>
          <w:rFonts w:ascii="Times New Roman" w:hAnsi="Times New Roman" w:cs="Times New Roman"/>
        </w:rPr>
        <w:t xml:space="preserve"> would be an arbitrary </w:t>
      </w:r>
      <w:r>
        <w:rPr>
          <w:rFonts w:ascii="Times New Roman" w:hAnsi="Times New Roman" w:cs="Times New Roman"/>
        </w:rPr>
        <w:t xml:space="preserve">and unacceptable </w:t>
      </w:r>
      <w:r w:rsidRPr="00AF27BF">
        <w:rPr>
          <w:rFonts w:ascii="Times New Roman" w:hAnsi="Times New Roman" w:cs="Times New Roman"/>
        </w:rPr>
        <w:t>division from the perspective of affected people and communities</w:t>
      </w:r>
      <w:r>
        <w:rPr>
          <w:rFonts w:ascii="Times New Roman" w:hAnsi="Times New Roman" w:cs="Times New Roman"/>
        </w:rPr>
        <w:t xml:space="preserve">, and </w:t>
      </w:r>
      <w:r w:rsidRPr="00533A07">
        <w:rPr>
          <w:rFonts w:ascii="Times New Roman" w:hAnsi="Times New Roman" w:cs="Times New Roman"/>
        </w:rPr>
        <w:t xml:space="preserve">is contrary to the </w:t>
      </w:r>
      <w:r>
        <w:rPr>
          <w:rFonts w:ascii="Times New Roman" w:hAnsi="Times New Roman" w:cs="Times New Roman"/>
        </w:rPr>
        <w:t xml:space="preserve">interrelated, interdependent and </w:t>
      </w:r>
      <w:r w:rsidRPr="00533A07">
        <w:rPr>
          <w:rFonts w:ascii="Times New Roman" w:hAnsi="Times New Roman" w:cs="Times New Roman"/>
        </w:rPr>
        <w:t>indivisibl</w:t>
      </w:r>
      <w:r>
        <w:rPr>
          <w:rFonts w:ascii="Times New Roman" w:hAnsi="Times New Roman" w:cs="Times New Roman"/>
        </w:rPr>
        <w:t xml:space="preserve">e nature </w:t>
      </w:r>
      <w:r w:rsidRPr="00533A07">
        <w:rPr>
          <w:rFonts w:ascii="Times New Roman" w:hAnsi="Times New Roman" w:cs="Times New Roman"/>
        </w:rPr>
        <w:t xml:space="preserve">of human rights. </w:t>
      </w:r>
    </w:p>
    <w:p w:rsidR="0088070F" w:rsidRPr="00AF27BF" w:rsidRDefault="0088070F" w:rsidP="0088070F">
      <w:pPr>
        <w:spacing w:after="0"/>
        <w:rPr>
          <w:rFonts w:ascii="Times New Roman" w:hAnsi="Times New Roman" w:cs="Times New Roman"/>
        </w:rPr>
      </w:pPr>
    </w:p>
    <w:p w:rsidR="0088070F" w:rsidRPr="00365F93" w:rsidRDefault="0088070F" w:rsidP="0088070F">
      <w:pPr>
        <w:shd w:val="clear" w:color="auto" w:fill="FFFFFF" w:themeFill="background1"/>
        <w:spacing w:after="0"/>
        <w:rPr>
          <w:rFonts w:ascii="Times New Roman" w:hAnsi="Times New Roman" w:cs="Times New Roman"/>
        </w:rPr>
      </w:pPr>
      <w:r w:rsidRPr="00B82E53">
        <w:rPr>
          <w:rFonts w:ascii="Times New Roman" w:hAnsi="Times New Roman" w:cs="Times New Roman"/>
          <w:b/>
          <w:u w:val="single"/>
        </w:rPr>
        <w:t>Key Recommendation</w:t>
      </w:r>
      <w:r w:rsidRPr="00B82E53">
        <w:rPr>
          <w:rFonts w:ascii="Times New Roman" w:hAnsi="Times New Roman" w:cs="Times New Roman"/>
          <w:b/>
        </w:rPr>
        <w:t xml:space="preserve">: The Treaty should cover the full range of interrelated, interdependent and indivisible human rights (i.e. civil, cultural, economic, political and social rights), and recognize that </w:t>
      </w:r>
      <w:r w:rsidRPr="00B82E53">
        <w:rPr>
          <w:rFonts w:ascii="Times New Roman" w:hAnsi="Times New Roman" w:cs="Times New Roman"/>
          <w:b/>
        </w:rPr>
        <w:lastRenderedPageBreak/>
        <w:t>human rights enjoyment is dependent on the maintenance of a safe, clean, healthy and sustainable environment</w:t>
      </w:r>
      <w:r w:rsidRPr="00365F93">
        <w:rPr>
          <w:rFonts w:ascii="Times New Roman" w:hAnsi="Times New Roman" w:cs="Times New Roman"/>
          <w:b/>
        </w:rPr>
        <w:t>.</w:t>
      </w:r>
    </w:p>
    <w:p w:rsidR="0088070F" w:rsidRDefault="0088070F" w:rsidP="0088070F">
      <w:pPr>
        <w:spacing w:after="0"/>
        <w:rPr>
          <w:rFonts w:ascii="Times New Roman" w:hAnsi="Times New Roman" w:cs="Times New Roman"/>
        </w:rPr>
      </w:pPr>
    </w:p>
    <w:p w:rsidR="0088070F" w:rsidRDefault="0088070F" w:rsidP="0088070F">
      <w:pPr>
        <w:spacing w:after="0"/>
        <w:rPr>
          <w:rFonts w:ascii="Times New Roman" w:hAnsi="Times New Roman" w:cs="Times New Roman"/>
        </w:rPr>
      </w:pPr>
    </w:p>
    <w:p w:rsidR="0088070F" w:rsidRPr="00AF27BF" w:rsidRDefault="0088070F" w:rsidP="0088070F">
      <w:pPr>
        <w:pStyle w:val="ListParagraph"/>
        <w:numPr>
          <w:ilvl w:val="1"/>
          <w:numId w:val="1"/>
        </w:numPr>
        <w:spacing w:after="0"/>
        <w:ind w:left="540" w:hanging="540"/>
        <w:rPr>
          <w:rFonts w:ascii="Times New Roman" w:hAnsi="Times New Roman" w:cs="Times New Roman"/>
          <w:b/>
          <w:u w:val="single"/>
        </w:rPr>
      </w:pPr>
      <w:r>
        <w:rPr>
          <w:rFonts w:ascii="Times New Roman" w:hAnsi="Times New Roman" w:cs="Times New Roman"/>
          <w:b/>
          <w:u w:val="single"/>
        </w:rPr>
        <w:t xml:space="preserve">The Treaty Should </w:t>
      </w:r>
      <w:r w:rsidRPr="00AF27BF">
        <w:rPr>
          <w:rFonts w:ascii="Times New Roman" w:hAnsi="Times New Roman" w:cs="Times New Roman"/>
          <w:b/>
          <w:u w:val="single"/>
        </w:rPr>
        <w:t>Appl</w:t>
      </w:r>
      <w:r>
        <w:rPr>
          <w:rFonts w:ascii="Times New Roman" w:hAnsi="Times New Roman" w:cs="Times New Roman"/>
          <w:b/>
          <w:u w:val="single"/>
        </w:rPr>
        <w:t>y</w:t>
      </w:r>
      <w:r w:rsidRPr="00AF27BF">
        <w:rPr>
          <w:rFonts w:ascii="Times New Roman" w:hAnsi="Times New Roman" w:cs="Times New Roman"/>
          <w:b/>
          <w:u w:val="single"/>
        </w:rPr>
        <w:t xml:space="preserve"> to </w:t>
      </w:r>
      <w:r>
        <w:rPr>
          <w:rFonts w:ascii="Times New Roman" w:hAnsi="Times New Roman" w:cs="Times New Roman"/>
          <w:b/>
          <w:u w:val="single"/>
        </w:rPr>
        <w:t xml:space="preserve">All </w:t>
      </w:r>
      <w:r w:rsidRPr="00AF27BF">
        <w:rPr>
          <w:rFonts w:ascii="Times New Roman" w:hAnsi="Times New Roman" w:cs="Times New Roman"/>
          <w:b/>
          <w:u w:val="single"/>
        </w:rPr>
        <w:t>Transnational Corporations and Other Business Enterprises</w:t>
      </w:r>
    </w:p>
    <w:p w:rsidR="0088070F" w:rsidRPr="00AF27BF" w:rsidRDefault="0088070F" w:rsidP="0088070F">
      <w:pPr>
        <w:pStyle w:val="ListParagraph"/>
        <w:spacing w:after="0"/>
        <w:ind w:left="540"/>
        <w:rPr>
          <w:rFonts w:ascii="Times New Roman" w:hAnsi="Times New Roman" w:cs="Times New Roman"/>
          <w:b/>
          <w:u w:val="single"/>
        </w:rPr>
      </w:pPr>
    </w:p>
    <w:p w:rsidR="0088070F" w:rsidRPr="00AF27BF" w:rsidRDefault="0088070F" w:rsidP="0088070F">
      <w:pPr>
        <w:spacing w:after="0"/>
        <w:rPr>
          <w:rFonts w:ascii="Times New Roman" w:hAnsi="Times New Roman" w:cs="Times New Roman"/>
        </w:rPr>
      </w:pPr>
      <w:r w:rsidRPr="00AF27BF">
        <w:rPr>
          <w:rFonts w:ascii="Times New Roman" w:hAnsi="Times New Roman" w:cs="Times New Roman"/>
        </w:rPr>
        <w:t xml:space="preserve">Inconsistent, inadequate and/or unimplemented regulatory approaches within and across national and regional legal systems continue to expose individuals and communities to human rights </w:t>
      </w:r>
      <w:r>
        <w:rPr>
          <w:rFonts w:ascii="Times New Roman" w:hAnsi="Times New Roman" w:cs="Times New Roman"/>
        </w:rPr>
        <w:t>abuses</w:t>
      </w:r>
      <w:r w:rsidRPr="00AF27BF">
        <w:rPr>
          <w:rFonts w:ascii="Times New Roman" w:hAnsi="Times New Roman" w:cs="Times New Roman"/>
        </w:rPr>
        <w:t xml:space="preserve">, and often undermine the ability to access effective remedies. </w:t>
      </w:r>
      <w:r>
        <w:rPr>
          <w:rFonts w:ascii="Times New Roman" w:hAnsi="Times New Roman" w:cs="Times New Roman"/>
        </w:rPr>
        <w:t>C</w:t>
      </w:r>
      <w:r w:rsidRPr="00AF27BF">
        <w:rPr>
          <w:rFonts w:ascii="Times New Roman" w:hAnsi="Times New Roman" w:cs="Times New Roman"/>
        </w:rPr>
        <w:t>orporat</w:t>
      </w:r>
      <w:r>
        <w:rPr>
          <w:rFonts w:ascii="Times New Roman" w:hAnsi="Times New Roman" w:cs="Times New Roman"/>
        </w:rPr>
        <w:t xml:space="preserve">e operations with a </w:t>
      </w:r>
      <w:r w:rsidRPr="00AF27BF">
        <w:rPr>
          <w:rFonts w:ascii="Times New Roman" w:hAnsi="Times New Roman" w:cs="Times New Roman"/>
        </w:rPr>
        <w:t>‘transnational character’</w:t>
      </w:r>
      <w:r>
        <w:rPr>
          <w:rFonts w:ascii="Times New Roman" w:hAnsi="Times New Roman" w:cs="Times New Roman"/>
        </w:rPr>
        <w:t xml:space="preserve"> (TNCs)</w:t>
      </w:r>
      <w:r w:rsidRPr="00AF27BF">
        <w:rPr>
          <w:rFonts w:ascii="Times New Roman" w:hAnsi="Times New Roman" w:cs="Times New Roman"/>
        </w:rPr>
        <w:t xml:space="preserve"> pose </w:t>
      </w:r>
      <w:r>
        <w:rPr>
          <w:rFonts w:ascii="Times New Roman" w:hAnsi="Times New Roman" w:cs="Times New Roman"/>
        </w:rPr>
        <w:t>e</w:t>
      </w:r>
      <w:r w:rsidRPr="00AF27BF">
        <w:rPr>
          <w:rFonts w:ascii="Times New Roman" w:hAnsi="Times New Roman" w:cs="Times New Roman"/>
        </w:rPr>
        <w:t>special</w:t>
      </w:r>
      <w:r>
        <w:rPr>
          <w:rFonts w:ascii="Times New Roman" w:hAnsi="Times New Roman" w:cs="Times New Roman"/>
        </w:rPr>
        <w:t>ly difficult</w:t>
      </w:r>
      <w:r w:rsidRPr="00AF27BF">
        <w:rPr>
          <w:rFonts w:ascii="Times New Roman" w:hAnsi="Times New Roman" w:cs="Times New Roman"/>
        </w:rPr>
        <w:t xml:space="preserve"> regulatory challenges</w:t>
      </w:r>
      <w:r>
        <w:rPr>
          <w:rFonts w:ascii="Times New Roman" w:hAnsi="Times New Roman" w:cs="Times New Roman"/>
        </w:rPr>
        <w:t xml:space="preserve"> due to their cross-border operations and presence in several jurisdictions</w:t>
      </w:r>
      <w:r w:rsidRPr="00AF27BF">
        <w:rPr>
          <w:rFonts w:ascii="Times New Roman" w:hAnsi="Times New Roman" w:cs="Times New Roman"/>
        </w:rPr>
        <w:t xml:space="preserve">, and therefore </w:t>
      </w:r>
      <w:r>
        <w:rPr>
          <w:rFonts w:ascii="Times New Roman" w:hAnsi="Times New Roman" w:cs="Times New Roman"/>
        </w:rPr>
        <w:t xml:space="preserve">represent </w:t>
      </w:r>
      <w:r w:rsidRPr="00AF27BF">
        <w:rPr>
          <w:rFonts w:ascii="Times New Roman" w:hAnsi="Times New Roman" w:cs="Times New Roman"/>
        </w:rPr>
        <w:t xml:space="preserve">the largest </w:t>
      </w:r>
      <w:r>
        <w:rPr>
          <w:rFonts w:ascii="Times New Roman" w:hAnsi="Times New Roman" w:cs="Times New Roman"/>
        </w:rPr>
        <w:t xml:space="preserve">corporate accountability </w:t>
      </w:r>
      <w:r w:rsidRPr="00AF27BF">
        <w:rPr>
          <w:rFonts w:ascii="Times New Roman" w:hAnsi="Times New Roman" w:cs="Times New Roman"/>
        </w:rPr>
        <w:t xml:space="preserve">gap in the international human rights legal framework.  </w:t>
      </w:r>
    </w:p>
    <w:p w:rsidR="0088070F" w:rsidRPr="00AF27BF" w:rsidRDefault="0088070F" w:rsidP="0088070F">
      <w:pPr>
        <w:spacing w:after="0"/>
        <w:rPr>
          <w:rFonts w:ascii="Times New Roman" w:hAnsi="Times New Roman" w:cs="Times New Roman"/>
        </w:rPr>
      </w:pPr>
    </w:p>
    <w:p w:rsidR="0088070F" w:rsidRPr="00AF27BF" w:rsidRDefault="0088070F" w:rsidP="0088070F">
      <w:pPr>
        <w:spacing w:after="0"/>
        <w:rPr>
          <w:rFonts w:ascii="Times New Roman" w:hAnsi="Times New Roman" w:cs="Times New Roman"/>
        </w:rPr>
      </w:pPr>
      <w:r w:rsidRPr="00AF27BF">
        <w:rPr>
          <w:rFonts w:ascii="Times New Roman" w:hAnsi="Times New Roman" w:cs="Times New Roman"/>
        </w:rPr>
        <w:t xml:space="preserve">While each State remains the sovereign authority to regulate conduct within their territory and jurisdiction, a principle justification for establishing new international human rights instruments is to address gaps in the human rights system and to provide clarity to each State on their obligations for realizing </w:t>
      </w:r>
      <w:r>
        <w:rPr>
          <w:rFonts w:ascii="Times New Roman" w:hAnsi="Times New Roman" w:cs="Times New Roman"/>
        </w:rPr>
        <w:t>human rights</w:t>
      </w:r>
      <w:r w:rsidRPr="00AF27BF">
        <w:rPr>
          <w:rFonts w:ascii="Times New Roman" w:hAnsi="Times New Roman" w:cs="Times New Roman"/>
        </w:rPr>
        <w:t xml:space="preserve">. For example, while there is still great progress to be made in realizing women’s human rights in all countries, the Convention on the Elimination of All Forms of Discrimination Against Women (CEDAW) sets out uniform standards as agreed by States, thereby building broad consistency in relation to the legal obligations across all States. </w:t>
      </w:r>
      <w:r>
        <w:rPr>
          <w:rFonts w:ascii="Times New Roman" w:hAnsi="Times New Roman" w:cs="Times New Roman"/>
        </w:rPr>
        <w:t>Likewise, the</w:t>
      </w:r>
      <w:r w:rsidRPr="00AF27BF">
        <w:rPr>
          <w:rFonts w:ascii="Times New Roman" w:hAnsi="Times New Roman" w:cs="Times New Roman"/>
        </w:rPr>
        <w:t xml:space="preserve"> Treaty provides the opportunity for States to agree on a binding framework that facilitates a consistent approach to regulate the activities of </w:t>
      </w:r>
      <w:r>
        <w:rPr>
          <w:rFonts w:ascii="Times New Roman" w:hAnsi="Times New Roman" w:cs="Times New Roman"/>
        </w:rPr>
        <w:t>TNC-OBE</w:t>
      </w:r>
      <w:r w:rsidRPr="00AF27BF">
        <w:rPr>
          <w:rFonts w:ascii="Times New Roman" w:hAnsi="Times New Roman" w:cs="Times New Roman"/>
        </w:rPr>
        <w:t>. If the Treaty address</w:t>
      </w:r>
      <w:r>
        <w:rPr>
          <w:rFonts w:ascii="Times New Roman" w:hAnsi="Times New Roman" w:cs="Times New Roman"/>
        </w:rPr>
        <w:t>es only</w:t>
      </w:r>
      <w:r w:rsidRPr="00AF27BF">
        <w:rPr>
          <w:rFonts w:ascii="Times New Roman" w:hAnsi="Times New Roman" w:cs="Times New Roman"/>
        </w:rPr>
        <w:t xml:space="preserve"> some business enterprises, and not those registered and/or operating in</w:t>
      </w:r>
      <w:r>
        <w:rPr>
          <w:rFonts w:ascii="Times New Roman" w:hAnsi="Times New Roman" w:cs="Times New Roman"/>
        </w:rPr>
        <w:t xml:space="preserve"> only </w:t>
      </w:r>
      <w:r w:rsidRPr="00AF27BF">
        <w:rPr>
          <w:rFonts w:ascii="Times New Roman" w:hAnsi="Times New Roman" w:cs="Times New Roman"/>
        </w:rPr>
        <w:t xml:space="preserve">one </w:t>
      </w:r>
      <w:r>
        <w:rPr>
          <w:rFonts w:ascii="Times New Roman" w:hAnsi="Times New Roman" w:cs="Times New Roman"/>
        </w:rPr>
        <w:t>S</w:t>
      </w:r>
      <w:r w:rsidRPr="00AF27BF">
        <w:rPr>
          <w:rFonts w:ascii="Times New Roman" w:hAnsi="Times New Roman" w:cs="Times New Roman"/>
        </w:rPr>
        <w:t>tate</w:t>
      </w:r>
      <w:r>
        <w:rPr>
          <w:rFonts w:ascii="Times New Roman" w:hAnsi="Times New Roman" w:cs="Times New Roman"/>
        </w:rPr>
        <w:t xml:space="preserve"> (including State-owned enterprises)</w:t>
      </w:r>
      <w:r w:rsidRPr="00AF27BF">
        <w:rPr>
          <w:rFonts w:ascii="Times New Roman" w:hAnsi="Times New Roman" w:cs="Times New Roman"/>
        </w:rPr>
        <w:t xml:space="preserve">, this would leave gaps in the human rights system, and maintain inconsistencies in the way each State forms and implements laws to </w:t>
      </w:r>
      <w:r>
        <w:rPr>
          <w:rFonts w:ascii="Times New Roman" w:hAnsi="Times New Roman" w:cs="Times New Roman"/>
        </w:rPr>
        <w:t>regulate</w:t>
      </w:r>
      <w:r w:rsidRPr="00AF27BF">
        <w:rPr>
          <w:rFonts w:ascii="Times New Roman" w:hAnsi="Times New Roman" w:cs="Times New Roman"/>
        </w:rPr>
        <w:t xml:space="preserve"> </w:t>
      </w:r>
      <w:r>
        <w:rPr>
          <w:rFonts w:ascii="Times New Roman" w:hAnsi="Times New Roman" w:cs="Times New Roman"/>
        </w:rPr>
        <w:t>TNC-OBE</w:t>
      </w:r>
      <w:r>
        <w:rPr>
          <w:rFonts w:ascii="Times New Roman" w:eastAsia="Times New Roman" w:hAnsi="Times New Roman" w:cs="Times New Roman"/>
        </w:rPr>
        <w:t xml:space="preserve">. </w:t>
      </w:r>
      <w:r>
        <w:rPr>
          <w:rFonts w:ascii="Times New Roman" w:hAnsi="Times New Roman" w:cs="Times New Roman"/>
        </w:rPr>
        <w:t xml:space="preserve">Moreover, if the Treaty were to leave out some types of corporations this may create perverse incentives for corporate groups to structure their operations in way that would avoid coverage under the Treaty. </w:t>
      </w:r>
    </w:p>
    <w:p w:rsidR="0088070F" w:rsidRPr="00AF27BF" w:rsidRDefault="0088070F" w:rsidP="0088070F">
      <w:pPr>
        <w:spacing w:after="0"/>
        <w:rPr>
          <w:rFonts w:ascii="Times New Roman" w:hAnsi="Times New Roman" w:cs="Times New Roman"/>
        </w:rPr>
      </w:pPr>
    </w:p>
    <w:p w:rsidR="0088070F" w:rsidRPr="00AF27BF" w:rsidRDefault="0088070F" w:rsidP="0088070F">
      <w:pPr>
        <w:spacing w:after="0"/>
        <w:rPr>
          <w:rFonts w:ascii="Times New Roman" w:hAnsi="Times New Roman" w:cs="Times New Roman"/>
          <w:b/>
        </w:rPr>
      </w:pPr>
      <w:r w:rsidRPr="00AF27BF">
        <w:rPr>
          <w:rFonts w:ascii="Times New Roman" w:hAnsi="Times New Roman" w:cs="Times New Roman"/>
        </w:rPr>
        <w:t>Further, it is clear from existing research and extensive consultation with civil society that it is of little consequence to those individuals and communities whose human rights are infringed if the entity responsible for violating their human rights operates in more than one country. In this context</w:t>
      </w:r>
      <w:r>
        <w:rPr>
          <w:rFonts w:ascii="Times New Roman" w:hAnsi="Times New Roman" w:cs="Times New Roman"/>
        </w:rPr>
        <w:t>,</w:t>
      </w:r>
      <w:r w:rsidRPr="00AF27BF">
        <w:rPr>
          <w:rFonts w:ascii="Times New Roman" w:hAnsi="Times New Roman" w:cs="Times New Roman"/>
        </w:rPr>
        <w:t xml:space="preserve"> the primary concern </w:t>
      </w:r>
      <w:r>
        <w:rPr>
          <w:rFonts w:ascii="Times New Roman" w:hAnsi="Times New Roman" w:cs="Times New Roman"/>
        </w:rPr>
        <w:t xml:space="preserve">is that human rights impairment that occurs in connection with TNC-OBE activity </w:t>
      </w:r>
      <w:r w:rsidRPr="00AF27BF">
        <w:rPr>
          <w:rFonts w:ascii="Times New Roman" w:hAnsi="Times New Roman" w:cs="Times New Roman"/>
        </w:rPr>
        <w:t>must be adequately remedied and be</w:t>
      </w:r>
      <w:r>
        <w:rPr>
          <w:rFonts w:ascii="Times New Roman" w:hAnsi="Times New Roman" w:cs="Times New Roman"/>
        </w:rPr>
        <w:t xml:space="preserve"> prevented </w:t>
      </w:r>
      <w:r w:rsidRPr="00AF27BF">
        <w:rPr>
          <w:rFonts w:ascii="Times New Roman" w:hAnsi="Times New Roman" w:cs="Times New Roman"/>
        </w:rPr>
        <w:t xml:space="preserve">from </w:t>
      </w:r>
      <w:r>
        <w:rPr>
          <w:rFonts w:ascii="Times New Roman" w:hAnsi="Times New Roman" w:cs="Times New Roman"/>
        </w:rPr>
        <w:t>re</w:t>
      </w:r>
      <w:r w:rsidRPr="00AF27BF">
        <w:rPr>
          <w:rFonts w:ascii="Times New Roman" w:hAnsi="Times New Roman" w:cs="Times New Roman"/>
        </w:rPr>
        <w:t xml:space="preserve">occurring. Therefore, the Treaty offers the opportunity to ensure that the regulation of corporate conduct adequately corresponds to reality and provides a practical response to human rights </w:t>
      </w:r>
      <w:r>
        <w:rPr>
          <w:rFonts w:ascii="Times New Roman" w:hAnsi="Times New Roman" w:cs="Times New Roman"/>
        </w:rPr>
        <w:t>abuses by</w:t>
      </w:r>
      <w:r w:rsidRPr="00AF27BF">
        <w:rPr>
          <w:rFonts w:ascii="Times New Roman" w:hAnsi="Times New Roman" w:cs="Times New Roman"/>
        </w:rPr>
        <w:t xml:space="preserve"> </w:t>
      </w:r>
      <w:r>
        <w:rPr>
          <w:rFonts w:ascii="Times New Roman" w:hAnsi="Times New Roman" w:cs="Times New Roman"/>
        </w:rPr>
        <w:t>TNC-OBE</w:t>
      </w:r>
      <w:r w:rsidRPr="00AF27BF">
        <w:rPr>
          <w:rFonts w:ascii="Times New Roman" w:hAnsi="Times New Roman" w:cs="Times New Roman"/>
        </w:rPr>
        <w:t xml:space="preserve">. </w:t>
      </w:r>
    </w:p>
    <w:p w:rsidR="0088070F" w:rsidRPr="00AF27BF" w:rsidRDefault="0088070F" w:rsidP="0088070F">
      <w:pPr>
        <w:spacing w:after="0"/>
        <w:rPr>
          <w:rFonts w:ascii="Times New Roman" w:hAnsi="Times New Roman" w:cs="Times New Roman"/>
          <w:b/>
        </w:rPr>
      </w:pPr>
    </w:p>
    <w:p w:rsidR="0088070F" w:rsidRDefault="0088070F" w:rsidP="0088070F">
      <w:pPr>
        <w:shd w:val="clear" w:color="auto" w:fill="FFFFFF" w:themeFill="background1"/>
        <w:spacing w:after="0"/>
        <w:rPr>
          <w:rFonts w:ascii="Times New Roman" w:hAnsi="Times New Roman" w:cs="Times New Roman"/>
          <w:b/>
        </w:rPr>
      </w:pPr>
      <w:r w:rsidRPr="00B82E53">
        <w:rPr>
          <w:rFonts w:ascii="Times New Roman" w:hAnsi="Times New Roman" w:cs="Times New Roman"/>
          <w:b/>
          <w:u w:val="single"/>
        </w:rPr>
        <w:t xml:space="preserve">Key </w:t>
      </w:r>
      <w:r w:rsidRPr="00076AF5">
        <w:rPr>
          <w:rFonts w:ascii="Times New Roman" w:hAnsi="Times New Roman" w:cs="Times New Roman"/>
          <w:b/>
          <w:u w:val="single"/>
        </w:rPr>
        <w:t>R</w:t>
      </w:r>
      <w:r w:rsidRPr="00B82E53">
        <w:rPr>
          <w:rFonts w:ascii="Times New Roman" w:hAnsi="Times New Roman" w:cs="Times New Roman"/>
          <w:b/>
          <w:u w:val="single"/>
        </w:rPr>
        <w:t>ecommendation</w:t>
      </w:r>
      <w:r w:rsidRPr="00B82E53">
        <w:rPr>
          <w:rFonts w:ascii="Times New Roman" w:hAnsi="Times New Roman" w:cs="Times New Roman"/>
          <w:b/>
        </w:rPr>
        <w:t xml:space="preserve">: The Treaty should </w:t>
      </w:r>
      <w:r>
        <w:rPr>
          <w:rFonts w:ascii="Times New Roman" w:hAnsi="Times New Roman" w:cs="Times New Roman"/>
          <w:b/>
        </w:rPr>
        <w:t>ensure that the</w:t>
      </w:r>
      <w:r w:rsidRPr="00B82E53">
        <w:rPr>
          <w:rFonts w:ascii="Times New Roman" w:hAnsi="Times New Roman" w:cs="Times New Roman"/>
          <w:b/>
        </w:rPr>
        <w:t xml:space="preserve"> regulati</w:t>
      </w:r>
      <w:r>
        <w:rPr>
          <w:rFonts w:ascii="Times New Roman" w:hAnsi="Times New Roman" w:cs="Times New Roman"/>
          <w:b/>
        </w:rPr>
        <w:t>on of</w:t>
      </w:r>
      <w:r w:rsidRPr="00B82E53">
        <w:rPr>
          <w:rFonts w:ascii="Times New Roman" w:hAnsi="Times New Roman" w:cs="Times New Roman"/>
          <w:b/>
        </w:rPr>
        <w:t xml:space="preserve"> </w:t>
      </w:r>
      <w:r>
        <w:rPr>
          <w:rFonts w:ascii="Times New Roman" w:hAnsi="Times New Roman" w:cs="Times New Roman"/>
          <w:b/>
        </w:rPr>
        <w:t>TNC-OBE</w:t>
      </w:r>
      <w:r w:rsidRPr="00B82E53">
        <w:rPr>
          <w:rFonts w:ascii="Times New Roman" w:hAnsi="Times New Roman" w:cs="Times New Roman"/>
          <w:b/>
        </w:rPr>
        <w:t xml:space="preserve"> activity reflects the existing conditions and lived experiences of people globally, </w:t>
      </w:r>
      <w:r w:rsidRPr="00E4504D">
        <w:rPr>
          <w:rFonts w:ascii="Times New Roman" w:hAnsi="Times New Roman" w:cs="Times New Roman"/>
          <w:b/>
        </w:rPr>
        <w:t>requiring S</w:t>
      </w:r>
      <w:r>
        <w:rPr>
          <w:rFonts w:ascii="Times New Roman" w:hAnsi="Times New Roman" w:cs="Times New Roman"/>
          <w:b/>
        </w:rPr>
        <w:t>tates to, among other things:</w:t>
      </w:r>
    </w:p>
    <w:p w:rsidR="0088070F" w:rsidRPr="00B82E53" w:rsidRDefault="0088070F" w:rsidP="0088070F">
      <w:pPr>
        <w:shd w:val="clear" w:color="auto" w:fill="FFFFFF" w:themeFill="background1"/>
        <w:spacing w:after="0"/>
        <w:rPr>
          <w:rFonts w:ascii="Times New Roman" w:hAnsi="Times New Roman" w:cs="Times New Roman"/>
          <w:b/>
        </w:rPr>
      </w:pPr>
    </w:p>
    <w:p w:rsidR="0088070F" w:rsidRPr="00B82E53" w:rsidRDefault="0088070F" w:rsidP="0088070F">
      <w:pPr>
        <w:shd w:val="clear" w:color="auto" w:fill="FFFFFF" w:themeFill="background1"/>
        <w:spacing w:after="0"/>
        <w:ind w:left="540" w:hanging="540"/>
        <w:rPr>
          <w:rFonts w:ascii="Times New Roman" w:hAnsi="Times New Roman" w:cs="Times New Roman"/>
          <w:b/>
        </w:rPr>
      </w:pPr>
      <w:r w:rsidRPr="00B82E53">
        <w:rPr>
          <w:rFonts w:ascii="Times New Roman" w:hAnsi="Times New Roman" w:cs="Times New Roman"/>
          <w:b/>
        </w:rPr>
        <w:t xml:space="preserve">a) </w:t>
      </w:r>
      <w:r w:rsidRPr="00B82E53">
        <w:rPr>
          <w:rFonts w:ascii="Times New Roman" w:hAnsi="Times New Roman" w:cs="Times New Roman"/>
          <w:b/>
        </w:rPr>
        <w:tab/>
      </w:r>
      <w:r>
        <w:rPr>
          <w:rFonts w:ascii="Times New Roman" w:hAnsi="Times New Roman" w:cs="Times New Roman"/>
          <w:b/>
        </w:rPr>
        <w:t>A</w:t>
      </w:r>
      <w:r w:rsidRPr="00B82E53">
        <w:rPr>
          <w:rFonts w:ascii="Times New Roman" w:hAnsi="Times New Roman" w:cs="Times New Roman"/>
          <w:b/>
        </w:rPr>
        <w:t xml:space="preserve">ddress in detail the </w:t>
      </w:r>
      <w:r>
        <w:rPr>
          <w:rFonts w:ascii="Times New Roman" w:hAnsi="Times New Roman" w:cs="Times New Roman"/>
          <w:b/>
        </w:rPr>
        <w:t>particularly</w:t>
      </w:r>
      <w:r w:rsidRPr="00B82E53">
        <w:rPr>
          <w:rFonts w:ascii="Times New Roman" w:hAnsi="Times New Roman" w:cs="Times New Roman"/>
          <w:b/>
        </w:rPr>
        <w:t xml:space="preserve"> complex regulatory challenges posed by TNCs, including in relation to subsidiary companies, supply chains, and all other business enterprises otherwise associated with their operations, products or services </w:t>
      </w:r>
      <w:r>
        <w:rPr>
          <w:rFonts w:ascii="Times New Roman" w:hAnsi="Times New Roman" w:cs="Times New Roman"/>
          <w:b/>
        </w:rPr>
        <w:t>through</w:t>
      </w:r>
      <w:r w:rsidRPr="00B82E53">
        <w:rPr>
          <w:rFonts w:ascii="Times New Roman" w:hAnsi="Times New Roman" w:cs="Times New Roman"/>
          <w:b/>
        </w:rPr>
        <w:t xml:space="preserve"> their business relationships; and</w:t>
      </w:r>
    </w:p>
    <w:p w:rsidR="0088070F" w:rsidRPr="00B82E53" w:rsidRDefault="0088070F" w:rsidP="0088070F">
      <w:pPr>
        <w:shd w:val="clear" w:color="auto" w:fill="FFFFFF" w:themeFill="background1"/>
        <w:spacing w:after="0"/>
        <w:ind w:left="540" w:hanging="540"/>
        <w:rPr>
          <w:rFonts w:ascii="Times New Roman" w:hAnsi="Times New Roman" w:cs="Times New Roman"/>
          <w:b/>
        </w:rPr>
      </w:pPr>
      <w:r w:rsidRPr="00B82E53">
        <w:rPr>
          <w:rFonts w:ascii="Times New Roman" w:hAnsi="Times New Roman" w:cs="Times New Roman"/>
          <w:b/>
        </w:rPr>
        <w:t xml:space="preserve">b) </w:t>
      </w:r>
      <w:r w:rsidRPr="00B82E53">
        <w:rPr>
          <w:rFonts w:ascii="Times New Roman" w:hAnsi="Times New Roman" w:cs="Times New Roman"/>
          <w:b/>
        </w:rPr>
        <w:tab/>
      </w:r>
      <w:r>
        <w:rPr>
          <w:rFonts w:ascii="Times New Roman" w:hAnsi="Times New Roman" w:cs="Times New Roman"/>
          <w:b/>
        </w:rPr>
        <w:t>R</w:t>
      </w:r>
      <w:r w:rsidRPr="00B82E53">
        <w:rPr>
          <w:rFonts w:ascii="Times New Roman" w:hAnsi="Times New Roman" w:cs="Times New Roman"/>
          <w:b/>
        </w:rPr>
        <w:t xml:space="preserve">eaffirm that States have obligations to respect, protect and fulfill human rights in connection with the activities of </w:t>
      </w:r>
      <w:r w:rsidRPr="00596935">
        <w:rPr>
          <w:rFonts w:ascii="Times New Roman" w:hAnsi="Times New Roman" w:cs="Times New Roman"/>
          <w:b/>
        </w:rPr>
        <w:t>all</w:t>
      </w:r>
      <w:r w:rsidRPr="00B82E53">
        <w:rPr>
          <w:rFonts w:ascii="Times New Roman" w:hAnsi="Times New Roman" w:cs="Times New Roman"/>
          <w:b/>
        </w:rPr>
        <w:t xml:space="preserve"> </w:t>
      </w:r>
      <w:r>
        <w:rPr>
          <w:rFonts w:ascii="Times New Roman" w:hAnsi="Times New Roman" w:cs="Times New Roman"/>
          <w:b/>
        </w:rPr>
        <w:t>TNC-OBE</w:t>
      </w:r>
      <w:r w:rsidRPr="00B82E53">
        <w:rPr>
          <w:rFonts w:ascii="Times New Roman" w:hAnsi="Times New Roman" w:cs="Times New Roman"/>
          <w:b/>
        </w:rPr>
        <w:t xml:space="preserve">, including those registered and/or operating in one State. </w:t>
      </w:r>
      <w:r w:rsidRPr="00B82E53">
        <w:rPr>
          <w:rFonts w:ascii="Times New Roman" w:hAnsi="Times New Roman" w:cs="Times New Roman"/>
          <w:b/>
        </w:rPr>
        <w:tab/>
      </w:r>
    </w:p>
    <w:p w:rsidR="0063743A" w:rsidRDefault="0063743A">
      <w:pPr>
        <w:pBdr>
          <w:bottom w:val="single" w:sz="6" w:space="1" w:color="auto"/>
        </w:pBdr>
      </w:pPr>
    </w:p>
    <w:p w:rsidR="0063743A" w:rsidRDefault="00741518" w:rsidP="00F12613">
      <w:pPr>
        <w:jc w:val="center"/>
        <w:rPr>
          <w:b/>
          <w:sz w:val="28"/>
          <w:szCs w:val="28"/>
        </w:rPr>
      </w:pPr>
      <w:r>
        <w:br w:type="page"/>
      </w:r>
      <w:bookmarkStart w:id="0" w:name="_GoBack"/>
      <w:bookmarkEnd w:id="0"/>
      <w:r w:rsidR="0063743A" w:rsidRPr="008B0CEF">
        <w:rPr>
          <w:b/>
          <w:sz w:val="28"/>
          <w:szCs w:val="28"/>
        </w:rPr>
        <w:lastRenderedPageBreak/>
        <w:t>Signatories from the ESCR-Net Corporate Accountability Working Group</w:t>
      </w:r>
    </w:p>
    <w:p w:rsidR="0063743A" w:rsidRDefault="0063743A" w:rsidP="0063743A">
      <w:pPr>
        <w:jc w:val="center"/>
        <w:rPr>
          <w:sz w:val="24"/>
          <w:szCs w:val="24"/>
        </w:rPr>
      </w:pPr>
      <w:r w:rsidRPr="008B0CEF">
        <w:rPr>
          <w:sz w:val="24"/>
          <w:szCs w:val="24"/>
        </w:rPr>
        <w:t>Above Ground</w:t>
      </w:r>
      <w:r>
        <w:rPr>
          <w:sz w:val="24"/>
          <w:szCs w:val="24"/>
        </w:rPr>
        <w:t xml:space="preserve"> (Canada)</w:t>
      </w:r>
    </w:p>
    <w:p w:rsidR="0063743A" w:rsidRDefault="0063743A" w:rsidP="0063743A">
      <w:pPr>
        <w:jc w:val="center"/>
        <w:rPr>
          <w:sz w:val="24"/>
          <w:szCs w:val="24"/>
        </w:rPr>
      </w:pPr>
      <w:r>
        <w:rPr>
          <w:sz w:val="24"/>
          <w:szCs w:val="24"/>
        </w:rPr>
        <w:t xml:space="preserve">Accountability Counsel (USA)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6908"/>
      </w:tblGrid>
      <w:tr w:rsidR="0063743A" w:rsidRPr="008B0CEF" w:rsidTr="009A0251">
        <w:trPr>
          <w:tblCellSpacing w:w="15" w:type="dxa"/>
        </w:trPr>
        <w:tc>
          <w:tcPr>
            <w:tcW w:w="0" w:type="auto"/>
            <w:vAlign w:val="center"/>
            <w:hideMark/>
          </w:tcPr>
          <w:p w:rsidR="0063743A" w:rsidRPr="008B0CEF" w:rsidRDefault="0063743A" w:rsidP="009A0251">
            <w:pPr>
              <w:jc w:val="center"/>
              <w:rPr>
                <w:sz w:val="24"/>
                <w:szCs w:val="24"/>
              </w:rPr>
            </w:pPr>
          </w:p>
        </w:tc>
        <w:tc>
          <w:tcPr>
            <w:tcW w:w="0" w:type="auto"/>
            <w:vAlign w:val="center"/>
            <w:hideMark/>
          </w:tcPr>
          <w:p w:rsidR="0063743A" w:rsidRPr="008B0CEF" w:rsidRDefault="0063743A" w:rsidP="009A0251">
            <w:pPr>
              <w:ind w:left="2055"/>
              <w:jc w:val="center"/>
              <w:rPr>
                <w:sz w:val="24"/>
                <w:szCs w:val="24"/>
              </w:rPr>
            </w:pPr>
            <w:r w:rsidRPr="008B0CEF">
              <w:rPr>
                <w:sz w:val="24"/>
                <w:szCs w:val="24"/>
              </w:rPr>
              <w:t xml:space="preserve">Action </w:t>
            </w:r>
            <w:proofErr w:type="spellStart"/>
            <w:r w:rsidRPr="008B0CEF">
              <w:rPr>
                <w:sz w:val="24"/>
                <w:szCs w:val="24"/>
              </w:rPr>
              <w:t>Contre</w:t>
            </w:r>
            <w:proofErr w:type="spellEnd"/>
            <w:r w:rsidRPr="008B0CEF">
              <w:rPr>
                <w:sz w:val="24"/>
                <w:szCs w:val="24"/>
              </w:rPr>
              <w:t xml:space="preserve"> </w:t>
            </w:r>
            <w:proofErr w:type="spellStart"/>
            <w:r w:rsidRPr="008B0CEF">
              <w:rPr>
                <w:sz w:val="24"/>
                <w:szCs w:val="24"/>
              </w:rPr>
              <w:t>Impunitie</w:t>
            </w:r>
            <w:proofErr w:type="spellEnd"/>
            <w:r w:rsidRPr="008B0CEF">
              <w:rPr>
                <w:sz w:val="24"/>
                <w:szCs w:val="24"/>
              </w:rPr>
              <w:t xml:space="preserve"> Pour Les Droits </w:t>
            </w:r>
            <w:proofErr w:type="spellStart"/>
            <w:r w:rsidRPr="008B0CEF">
              <w:rPr>
                <w:sz w:val="24"/>
                <w:szCs w:val="24"/>
              </w:rPr>
              <w:t>Humains</w:t>
            </w:r>
            <w:proofErr w:type="spellEnd"/>
          </w:p>
        </w:tc>
      </w:tr>
    </w:tbl>
    <w:p w:rsidR="0063743A" w:rsidRPr="00F112AB" w:rsidRDefault="0063743A" w:rsidP="0063743A">
      <w:pPr>
        <w:jc w:val="center"/>
        <w:rPr>
          <w:sz w:val="24"/>
          <w:szCs w:val="24"/>
        </w:rPr>
      </w:pPr>
      <w:r w:rsidRPr="00F112AB">
        <w:rPr>
          <w:sz w:val="24"/>
          <w:szCs w:val="24"/>
        </w:rPr>
        <w:t>African Resources Watch (</w:t>
      </w:r>
      <w:proofErr w:type="spellStart"/>
      <w:proofErr w:type="gramStart"/>
      <w:r w:rsidRPr="00F112AB">
        <w:rPr>
          <w:sz w:val="24"/>
          <w:szCs w:val="24"/>
        </w:rPr>
        <w:t>AfreWatch</w:t>
      </w:r>
      <w:proofErr w:type="spellEnd"/>
      <w:r w:rsidRPr="00F112AB">
        <w:rPr>
          <w:sz w:val="24"/>
          <w:szCs w:val="24"/>
        </w:rPr>
        <w:t>)  (</w:t>
      </w:r>
      <w:proofErr w:type="gramEnd"/>
      <w:r w:rsidRPr="00F112AB">
        <w:rPr>
          <w:sz w:val="24"/>
          <w:szCs w:val="24"/>
        </w:rPr>
        <w:t>DRC)</w:t>
      </w:r>
    </w:p>
    <w:p w:rsidR="0063743A" w:rsidRPr="00F112AB" w:rsidRDefault="0063743A" w:rsidP="0063743A">
      <w:pPr>
        <w:jc w:val="center"/>
        <w:rPr>
          <w:sz w:val="24"/>
          <w:szCs w:val="24"/>
        </w:rPr>
      </w:pPr>
      <w:r w:rsidRPr="00F112AB">
        <w:rPr>
          <w:sz w:val="24"/>
          <w:szCs w:val="24"/>
        </w:rPr>
        <w:t>Al-Haq (Palestine)</w:t>
      </w:r>
    </w:p>
    <w:p w:rsidR="0063743A" w:rsidRPr="00F112AB" w:rsidRDefault="0063743A" w:rsidP="0063743A">
      <w:pPr>
        <w:jc w:val="center"/>
        <w:rPr>
          <w:sz w:val="24"/>
          <w:szCs w:val="24"/>
        </w:rPr>
      </w:pPr>
      <w:r w:rsidRPr="00F112AB">
        <w:rPr>
          <w:sz w:val="24"/>
          <w:szCs w:val="24"/>
        </w:rPr>
        <w:t>Alternative ASEAN Network on Burma</w:t>
      </w:r>
    </w:p>
    <w:p w:rsidR="0063743A" w:rsidRPr="00F112AB" w:rsidRDefault="0063743A" w:rsidP="0063743A">
      <w:pPr>
        <w:jc w:val="center"/>
        <w:rPr>
          <w:sz w:val="24"/>
          <w:szCs w:val="24"/>
        </w:rPr>
      </w:pPr>
      <w:r w:rsidRPr="00F112AB">
        <w:rPr>
          <w:sz w:val="24"/>
          <w:szCs w:val="24"/>
        </w:rPr>
        <w:t>Arab NGO Network for Development (Lebanon)</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7746"/>
      </w:tblGrid>
      <w:tr w:rsidR="0063743A" w:rsidRPr="008B0CEF" w:rsidTr="009A0251">
        <w:trPr>
          <w:tblCellSpacing w:w="15" w:type="dxa"/>
        </w:trPr>
        <w:tc>
          <w:tcPr>
            <w:tcW w:w="0" w:type="auto"/>
            <w:vAlign w:val="center"/>
            <w:hideMark/>
          </w:tcPr>
          <w:p w:rsidR="0063743A" w:rsidRPr="008B0CEF" w:rsidRDefault="0063743A" w:rsidP="009A0251">
            <w:pPr>
              <w:jc w:val="center"/>
              <w:rPr>
                <w:sz w:val="24"/>
                <w:szCs w:val="24"/>
              </w:rPr>
            </w:pPr>
          </w:p>
        </w:tc>
        <w:tc>
          <w:tcPr>
            <w:tcW w:w="0" w:type="auto"/>
            <w:vAlign w:val="center"/>
            <w:hideMark/>
          </w:tcPr>
          <w:p w:rsidR="0063743A" w:rsidRPr="00F112AB" w:rsidRDefault="0063743A" w:rsidP="009A0251">
            <w:pPr>
              <w:ind w:left="1695"/>
              <w:jc w:val="center"/>
              <w:rPr>
                <w:sz w:val="24"/>
                <w:szCs w:val="24"/>
              </w:rPr>
            </w:pPr>
            <w:hyperlink r:id="rId10" w:history="1">
              <w:r w:rsidRPr="00F112AB">
                <w:rPr>
                  <w:sz w:val="24"/>
                  <w:szCs w:val="24"/>
                </w:rPr>
                <w:t>Asian Forum for Human Rights and Development</w:t>
              </w:r>
            </w:hyperlink>
            <w:r w:rsidRPr="00F112AB">
              <w:rPr>
                <w:sz w:val="24"/>
                <w:szCs w:val="24"/>
              </w:rPr>
              <w:t xml:space="preserve"> (Thailand)</w:t>
            </w:r>
          </w:p>
          <w:p w:rsidR="0063743A" w:rsidRPr="00F112AB" w:rsidRDefault="0063743A" w:rsidP="009A0251">
            <w:pPr>
              <w:ind w:left="1785"/>
              <w:jc w:val="center"/>
              <w:rPr>
                <w:sz w:val="24"/>
                <w:szCs w:val="24"/>
              </w:rPr>
            </w:pPr>
            <w:r w:rsidRPr="00F112AB">
              <w:rPr>
                <w:sz w:val="24"/>
                <w:szCs w:val="24"/>
              </w:rPr>
              <w:t>Asian Indigenous Peoples' Pact (Thailand)</w:t>
            </w:r>
          </w:p>
          <w:p w:rsidR="0063743A" w:rsidRPr="008B0CEF" w:rsidRDefault="0063743A" w:rsidP="009A0251">
            <w:pPr>
              <w:ind w:left="1425"/>
              <w:jc w:val="center"/>
              <w:rPr>
                <w:sz w:val="24"/>
                <w:szCs w:val="24"/>
              </w:rPr>
            </w:pPr>
            <w:r w:rsidRPr="008B0CEF">
              <w:rPr>
                <w:sz w:val="24"/>
                <w:szCs w:val="24"/>
              </w:rPr>
              <w:t>Asia Pacific Forum on Women, Law and Development</w:t>
            </w:r>
            <w:r w:rsidRPr="00F112AB">
              <w:rPr>
                <w:sz w:val="24"/>
                <w:szCs w:val="24"/>
              </w:rPr>
              <w:t xml:space="preserve"> (Thailand)</w:t>
            </w:r>
          </w:p>
        </w:tc>
      </w:tr>
    </w:tbl>
    <w:p w:rsidR="0063743A" w:rsidRPr="00F112AB" w:rsidRDefault="0063743A" w:rsidP="0063743A">
      <w:pPr>
        <w:jc w:val="center"/>
        <w:rPr>
          <w:sz w:val="24"/>
          <w:szCs w:val="24"/>
        </w:rPr>
      </w:pPr>
      <w:proofErr w:type="spellStart"/>
      <w:r w:rsidRPr="00F112AB">
        <w:rPr>
          <w:sz w:val="24"/>
          <w:szCs w:val="24"/>
        </w:rPr>
        <w:t>A</w:t>
      </w:r>
      <w:r>
        <w:rPr>
          <w:sz w:val="24"/>
          <w:szCs w:val="24"/>
        </w:rPr>
        <w:t>sociacion</w:t>
      </w:r>
      <w:proofErr w:type="spellEnd"/>
      <w:r>
        <w:rPr>
          <w:sz w:val="24"/>
          <w:szCs w:val="24"/>
        </w:rPr>
        <w:t xml:space="preserve"> Pro Derechos </w:t>
      </w:r>
      <w:proofErr w:type="spellStart"/>
      <w:r>
        <w:rPr>
          <w:sz w:val="24"/>
          <w:szCs w:val="24"/>
        </w:rPr>
        <w:t>Humanos</w:t>
      </w:r>
      <w:proofErr w:type="spellEnd"/>
      <w:r>
        <w:rPr>
          <w:sz w:val="24"/>
          <w:szCs w:val="24"/>
        </w:rPr>
        <w:t xml:space="preserve"> </w:t>
      </w:r>
      <w:r w:rsidRPr="00F112AB">
        <w:rPr>
          <w:sz w:val="24"/>
          <w:szCs w:val="24"/>
        </w:rPr>
        <w:t>(Peru)</w:t>
      </w:r>
    </w:p>
    <w:p w:rsidR="0063743A" w:rsidRPr="00F112AB" w:rsidRDefault="0063743A" w:rsidP="0063743A">
      <w:pPr>
        <w:jc w:val="center"/>
        <w:rPr>
          <w:sz w:val="24"/>
          <w:szCs w:val="24"/>
        </w:rPr>
      </w:pPr>
      <w:r w:rsidRPr="00F112AB">
        <w:rPr>
          <w:sz w:val="24"/>
          <w:szCs w:val="24"/>
        </w:rPr>
        <w:t>Association for Women's Rights in Development</w:t>
      </w:r>
    </w:p>
    <w:p w:rsidR="0063743A" w:rsidRPr="00F112AB" w:rsidRDefault="0063743A" w:rsidP="0063743A">
      <w:pPr>
        <w:jc w:val="center"/>
        <w:rPr>
          <w:sz w:val="24"/>
          <w:szCs w:val="24"/>
        </w:rPr>
      </w:pPr>
      <w:r w:rsidRPr="00F112AB">
        <w:rPr>
          <w:sz w:val="24"/>
          <w:szCs w:val="24"/>
        </w:rPr>
        <w:t>Association of Environmental Lawyers of Liberia - Green Advocates</w:t>
      </w:r>
    </w:p>
    <w:p w:rsidR="0063743A" w:rsidRPr="00F112AB" w:rsidRDefault="0063743A" w:rsidP="0063743A">
      <w:pPr>
        <w:jc w:val="center"/>
        <w:rPr>
          <w:sz w:val="24"/>
          <w:szCs w:val="24"/>
        </w:rPr>
      </w:pPr>
      <w:r w:rsidRPr="00F112AB">
        <w:rPr>
          <w:sz w:val="24"/>
          <w:szCs w:val="24"/>
        </w:rPr>
        <w:t>Center for Constitutional Rights (USA)</w:t>
      </w:r>
    </w:p>
    <w:p w:rsidR="0063743A" w:rsidRPr="00F112AB" w:rsidRDefault="0063743A" w:rsidP="0063743A">
      <w:pPr>
        <w:jc w:val="center"/>
        <w:rPr>
          <w:sz w:val="24"/>
          <w:szCs w:val="24"/>
        </w:rPr>
      </w:pPr>
      <w:r w:rsidRPr="00F112AB">
        <w:rPr>
          <w:sz w:val="24"/>
          <w:szCs w:val="24"/>
        </w:rPr>
        <w:t>Center for International Environmental Law (USA)</w:t>
      </w:r>
    </w:p>
    <w:p w:rsidR="0063743A" w:rsidRPr="00F112AB" w:rsidRDefault="0063743A" w:rsidP="0063743A">
      <w:pPr>
        <w:jc w:val="center"/>
        <w:rPr>
          <w:sz w:val="24"/>
          <w:szCs w:val="24"/>
        </w:rPr>
      </w:pPr>
      <w:r w:rsidRPr="00F112AB">
        <w:rPr>
          <w:sz w:val="24"/>
          <w:szCs w:val="24"/>
        </w:rPr>
        <w:t xml:space="preserve">Centre for Applied Legal Studies (South Africa) </w:t>
      </w:r>
    </w:p>
    <w:p w:rsidR="0063743A" w:rsidRPr="00F112AB" w:rsidRDefault="0063743A" w:rsidP="0063743A">
      <w:pPr>
        <w:jc w:val="center"/>
        <w:rPr>
          <w:sz w:val="24"/>
          <w:szCs w:val="24"/>
        </w:rPr>
      </w:pPr>
      <w:r w:rsidRPr="00F112AB">
        <w:rPr>
          <w:sz w:val="24"/>
          <w:szCs w:val="24"/>
        </w:rPr>
        <w:t>Centre for Human Rights and Development (Mongolia)</w:t>
      </w:r>
    </w:p>
    <w:p w:rsidR="0063743A" w:rsidRPr="00F112AB" w:rsidRDefault="0063743A" w:rsidP="0063743A">
      <w:pPr>
        <w:jc w:val="center"/>
        <w:rPr>
          <w:sz w:val="24"/>
          <w:szCs w:val="24"/>
        </w:rPr>
      </w:pPr>
      <w:r w:rsidRPr="00F112AB">
        <w:rPr>
          <w:sz w:val="24"/>
          <w:szCs w:val="24"/>
        </w:rPr>
        <w:t xml:space="preserve">Centro de Derechos </w:t>
      </w:r>
      <w:proofErr w:type="spellStart"/>
      <w:r w:rsidRPr="00F112AB">
        <w:rPr>
          <w:sz w:val="24"/>
          <w:szCs w:val="24"/>
        </w:rPr>
        <w:t>Humanos</w:t>
      </w:r>
      <w:proofErr w:type="spellEnd"/>
      <w:r w:rsidRPr="00F112AB">
        <w:rPr>
          <w:sz w:val="24"/>
          <w:szCs w:val="24"/>
        </w:rPr>
        <w:t xml:space="preserve"> de la </w:t>
      </w:r>
      <w:proofErr w:type="spellStart"/>
      <w:r w:rsidRPr="00F112AB">
        <w:rPr>
          <w:sz w:val="24"/>
          <w:szCs w:val="24"/>
        </w:rPr>
        <w:t>Montaña</w:t>
      </w:r>
      <w:proofErr w:type="spellEnd"/>
      <w:r w:rsidRPr="00F112AB">
        <w:rPr>
          <w:sz w:val="24"/>
          <w:szCs w:val="24"/>
        </w:rPr>
        <w:t xml:space="preserve"> </w:t>
      </w:r>
      <w:proofErr w:type="spellStart"/>
      <w:r w:rsidRPr="00F112AB">
        <w:rPr>
          <w:sz w:val="24"/>
          <w:szCs w:val="24"/>
        </w:rPr>
        <w:t>Tlachinollan</w:t>
      </w:r>
      <w:proofErr w:type="spellEnd"/>
      <w:r w:rsidRPr="00F112AB">
        <w:rPr>
          <w:sz w:val="24"/>
          <w:szCs w:val="24"/>
        </w:rPr>
        <w:t xml:space="preserve"> (Mexico)</w:t>
      </w:r>
    </w:p>
    <w:p w:rsidR="0063743A" w:rsidRPr="00F112AB" w:rsidRDefault="0063743A" w:rsidP="0063743A">
      <w:pPr>
        <w:jc w:val="center"/>
        <w:rPr>
          <w:sz w:val="24"/>
          <w:szCs w:val="24"/>
        </w:rPr>
      </w:pPr>
      <w:r w:rsidRPr="00F112AB">
        <w:rPr>
          <w:sz w:val="24"/>
          <w:szCs w:val="24"/>
        </w:rPr>
        <w:t xml:space="preserve">Centro de </w:t>
      </w:r>
      <w:proofErr w:type="spellStart"/>
      <w:r w:rsidRPr="00F112AB">
        <w:rPr>
          <w:sz w:val="24"/>
          <w:szCs w:val="24"/>
        </w:rPr>
        <w:t>Estudios</w:t>
      </w:r>
      <w:proofErr w:type="spellEnd"/>
      <w:r w:rsidRPr="00F112AB">
        <w:rPr>
          <w:sz w:val="24"/>
          <w:szCs w:val="24"/>
        </w:rPr>
        <w:t xml:space="preserve"> </w:t>
      </w:r>
      <w:proofErr w:type="spellStart"/>
      <w:r w:rsidRPr="00F112AB">
        <w:rPr>
          <w:sz w:val="24"/>
          <w:szCs w:val="24"/>
        </w:rPr>
        <w:t>Legales</w:t>
      </w:r>
      <w:proofErr w:type="spellEnd"/>
      <w:r w:rsidRPr="00F112AB">
        <w:rPr>
          <w:sz w:val="24"/>
          <w:szCs w:val="24"/>
        </w:rPr>
        <w:t xml:space="preserve"> y </w:t>
      </w:r>
      <w:proofErr w:type="spellStart"/>
      <w:r w:rsidRPr="00F112AB">
        <w:rPr>
          <w:sz w:val="24"/>
          <w:szCs w:val="24"/>
        </w:rPr>
        <w:t>Sociales</w:t>
      </w:r>
      <w:proofErr w:type="spellEnd"/>
      <w:r w:rsidRPr="00F112AB">
        <w:rPr>
          <w:sz w:val="24"/>
          <w:szCs w:val="24"/>
        </w:rPr>
        <w:t xml:space="preserve"> (Argentina)</w:t>
      </w:r>
    </w:p>
    <w:p w:rsidR="0063743A" w:rsidRPr="00F112AB" w:rsidRDefault="0063743A" w:rsidP="0063743A">
      <w:pPr>
        <w:jc w:val="center"/>
        <w:rPr>
          <w:sz w:val="24"/>
          <w:szCs w:val="24"/>
        </w:rPr>
      </w:pPr>
      <w:r w:rsidRPr="00F112AB">
        <w:rPr>
          <w:sz w:val="24"/>
          <w:szCs w:val="24"/>
        </w:rPr>
        <w:t xml:space="preserve">Centro </w:t>
      </w:r>
      <w:proofErr w:type="spellStart"/>
      <w:r w:rsidRPr="00F112AB">
        <w:rPr>
          <w:sz w:val="24"/>
          <w:szCs w:val="24"/>
        </w:rPr>
        <w:t>Mexicano</w:t>
      </w:r>
      <w:proofErr w:type="spellEnd"/>
      <w:r w:rsidRPr="00F112AB">
        <w:rPr>
          <w:sz w:val="24"/>
          <w:szCs w:val="24"/>
        </w:rPr>
        <w:t xml:space="preserve"> de Derecho </w:t>
      </w:r>
      <w:proofErr w:type="spellStart"/>
      <w:r w:rsidRPr="00F112AB">
        <w:rPr>
          <w:sz w:val="24"/>
          <w:szCs w:val="24"/>
        </w:rPr>
        <w:t>Ambiental</w:t>
      </w:r>
      <w:proofErr w:type="spellEnd"/>
      <w:r w:rsidRPr="00F112AB">
        <w:rPr>
          <w:sz w:val="24"/>
          <w:szCs w:val="24"/>
        </w:rPr>
        <w:t xml:space="preserve"> A.C (Mexico)</w:t>
      </w:r>
    </w:p>
    <w:p w:rsidR="0063743A" w:rsidRPr="00F112AB" w:rsidRDefault="0063743A" w:rsidP="0063743A">
      <w:pPr>
        <w:jc w:val="center"/>
        <w:rPr>
          <w:sz w:val="24"/>
          <w:szCs w:val="24"/>
        </w:rPr>
      </w:pPr>
      <w:proofErr w:type="spellStart"/>
      <w:r w:rsidRPr="00F112AB">
        <w:rPr>
          <w:sz w:val="24"/>
          <w:szCs w:val="24"/>
        </w:rPr>
        <w:t>Chiadzwa</w:t>
      </w:r>
      <w:proofErr w:type="spellEnd"/>
      <w:r w:rsidRPr="00F112AB">
        <w:rPr>
          <w:sz w:val="24"/>
          <w:szCs w:val="24"/>
        </w:rPr>
        <w:t xml:space="preserve"> Community Development Trust (Zimbabwe)</w:t>
      </w:r>
    </w:p>
    <w:p w:rsidR="0063743A" w:rsidRPr="00F112AB" w:rsidRDefault="0063743A" w:rsidP="0063743A">
      <w:pPr>
        <w:jc w:val="center"/>
        <w:rPr>
          <w:sz w:val="24"/>
          <w:szCs w:val="24"/>
        </w:rPr>
      </w:pPr>
      <w:r w:rsidRPr="00F112AB">
        <w:rPr>
          <w:sz w:val="24"/>
          <w:szCs w:val="24"/>
        </w:rPr>
        <w:t>Citizen News Service (India)</w:t>
      </w:r>
    </w:p>
    <w:p w:rsidR="0063743A" w:rsidRPr="00F112AB" w:rsidRDefault="0063743A" w:rsidP="0063743A">
      <w:pPr>
        <w:jc w:val="center"/>
        <w:rPr>
          <w:sz w:val="24"/>
          <w:szCs w:val="24"/>
        </w:rPr>
      </w:pPr>
      <w:r w:rsidRPr="00F112AB">
        <w:rPr>
          <w:sz w:val="24"/>
          <w:szCs w:val="24"/>
        </w:rPr>
        <w:t>Citizens for Justice (Malawi)</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7132"/>
        <w:gridCol w:w="45"/>
      </w:tblGrid>
      <w:tr w:rsidR="0063743A" w:rsidRPr="008A7D25" w:rsidTr="009A0251">
        <w:trPr>
          <w:tblCellSpacing w:w="15" w:type="dxa"/>
        </w:trPr>
        <w:tc>
          <w:tcPr>
            <w:tcW w:w="0" w:type="auto"/>
            <w:vAlign w:val="center"/>
            <w:hideMark/>
          </w:tcPr>
          <w:p w:rsidR="0063743A" w:rsidRPr="008A7D25" w:rsidRDefault="0063743A" w:rsidP="009A0251">
            <w:pPr>
              <w:jc w:val="center"/>
              <w:rPr>
                <w:sz w:val="24"/>
                <w:szCs w:val="24"/>
              </w:rPr>
            </w:pPr>
          </w:p>
        </w:tc>
        <w:tc>
          <w:tcPr>
            <w:tcW w:w="0" w:type="auto"/>
            <w:gridSpan w:val="2"/>
            <w:vAlign w:val="center"/>
            <w:hideMark/>
          </w:tcPr>
          <w:p w:rsidR="0063743A" w:rsidRPr="008A7D25" w:rsidRDefault="0063743A" w:rsidP="009A0251">
            <w:pPr>
              <w:ind w:left="2055"/>
              <w:jc w:val="center"/>
              <w:rPr>
                <w:sz w:val="24"/>
                <w:szCs w:val="24"/>
              </w:rPr>
            </w:pPr>
            <w:proofErr w:type="spellStart"/>
            <w:r w:rsidRPr="008A7D25">
              <w:rPr>
                <w:sz w:val="24"/>
                <w:szCs w:val="24"/>
              </w:rPr>
              <w:t>Comite</w:t>
            </w:r>
            <w:proofErr w:type="spellEnd"/>
            <w:r w:rsidRPr="008A7D25">
              <w:rPr>
                <w:sz w:val="24"/>
                <w:szCs w:val="24"/>
              </w:rPr>
              <w:t xml:space="preserve"> </w:t>
            </w:r>
            <w:proofErr w:type="spellStart"/>
            <w:r w:rsidRPr="008A7D25">
              <w:rPr>
                <w:sz w:val="24"/>
                <w:szCs w:val="24"/>
              </w:rPr>
              <w:t>Ambiental</w:t>
            </w:r>
            <w:proofErr w:type="spellEnd"/>
            <w:r w:rsidRPr="008A7D25">
              <w:rPr>
                <w:sz w:val="24"/>
                <w:szCs w:val="24"/>
              </w:rPr>
              <w:t xml:space="preserve"> </w:t>
            </w:r>
            <w:proofErr w:type="spellStart"/>
            <w:r w:rsidRPr="008A7D25">
              <w:rPr>
                <w:sz w:val="24"/>
                <w:szCs w:val="24"/>
              </w:rPr>
              <w:t>en</w:t>
            </w:r>
            <w:proofErr w:type="spellEnd"/>
            <w:r w:rsidRPr="008A7D25">
              <w:rPr>
                <w:sz w:val="24"/>
                <w:szCs w:val="24"/>
              </w:rPr>
              <w:t xml:space="preserve"> </w:t>
            </w:r>
            <w:proofErr w:type="spellStart"/>
            <w:r w:rsidRPr="008A7D25">
              <w:rPr>
                <w:sz w:val="24"/>
                <w:szCs w:val="24"/>
              </w:rPr>
              <w:t>Defensa</w:t>
            </w:r>
            <w:proofErr w:type="spellEnd"/>
            <w:r w:rsidRPr="008A7D25">
              <w:rPr>
                <w:sz w:val="24"/>
                <w:szCs w:val="24"/>
              </w:rPr>
              <w:t xml:space="preserve"> de la Vida</w:t>
            </w:r>
            <w:r w:rsidRPr="00F112AB">
              <w:rPr>
                <w:sz w:val="24"/>
                <w:szCs w:val="24"/>
              </w:rPr>
              <w:t xml:space="preserve"> (Colombia)</w:t>
            </w:r>
          </w:p>
        </w:tc>
      </w:tr>
      <w:tr w:rsidR="0063743A" w:rsidRPr="008A7D25" w:rsidTr="009A0251">
        <w:trPr>
          <w:tblCellSpacing w:w="15" w:type="dxa"/>
        </w:trPr>
        <w:tc>
          <w:tcPr>
            <w:tcW w:w="0" w:type="auto"/>
            <w:vAlign w:val="center"/>
            <w:hideMark/>
          </w:tcPr>
          <w:p w:rsidR="0063743A" w:rsidRPr="008A7D25" w:rsidRDefault="0063743A" w:rsidP="009A0251">
            <w:pPr>
              <w:jc w:val="center"/>
              <w:rPr>
                <w:sz w:val="24"/>
                <w:szCs w:val="24"/>
              </w:rPr>
            </w:pPr>
          </w:p>
        </w:tc>
        <w:tc>
          <w:tcPr>
            <w:tcW w:w="0" w:type="auto"/>
            <w:gridSpan w:val="2"/>
            <w:vAlign w:val="center"/>
            <w:hideMark/>
          </w:tcPr>
          <w:p w:rsidR="0063743A" w:rsidRPr="008A7D25" w:rsidRDefault="0063743A" w:rsidP="009A0251">
            <w:pPr>
              <w:ind w:left="1875"/>
              <w:jc w:val="center"/>
              <w:rPr>
                <w:sz w:val="24"/>
                <w:szCs w:val="24"/>
              </w:rPr>
            </w:pPr>
            <w:r>
              <w:rPr>
                <w:sz w:val="24"/>
                <w:szCs w:val="24"/>
              </w:rPr>
              <w:t xml:space="preserve">Conectas </w:t>
            </w:r>
            <w:proofErr w:type="spellStart"/>
            <w:r>
              <w:rPr>
                <w:sz w:val="24"/>
                <w:szCs w:val="24"/>
              </w:rPr>
              <w:t>Direitos</w:t>
            </w:r>
            <w:proofErr w:type="spellEnd"/>
            <w:r>
              <w:rPr>
                <w:sz w:val="24"/>
                <w:szCs w:val="24"/>
              </w:rPr>
              <w:t xml:space="preserve"> </w:t>
            </w:r>
            <w:proofErr w:type="spellStart"/>
            <w:r>
              <w:rPr>
                <w:sz w:val="24"/>
                <w:szCs w:val="24"/>
              </w:rPr>
              <w:t>Humanos</w:t>
            </w:r>
            <w:proofErr w:type="spellEnd"/>
            <w:r w:rsidRPr="008A7D25">
              <w:rPr>
                <w:sz w:val="24"/>
                <w:szCs w:val="24"/>
              </w:rPr>
              <w:t xml:space="preserve"> </w:t>
            </w:r>
            <w:r w:rsidRPr="00F112AB">
              <w:rPr>
                <w:sz w:val="24"/>
                <w:szCs w:val="24"/>
              </w:rPr>
              <w:t>(Brazil)</w:t>
            </w:r>
          </w:p>
        </w:tc>
      </w:tr>
      <w:tr w:rsidR="0063743A" w:rsidRPr="008A7D25" w:rsidTr="009A0251">
        <w:trPr>
          <w:gridAfter w:val="1"/>
          <w:tblCellSpacing w:w="15" w:type="dxa"/>
        </w:trPr>
        <w:tc>
          <w:tcPr>
            <w:tcW w:w="0" w:type="auto"/>
            <w:vAlign w:val="center"/>
            <w:hideMark/>
          </w:tcPr>
          <w:p w:rsidR="0063743A" w:rsidRPr="008A7D25" w:rsidRDefault="0063743A" w:rsidP="009A0251">
            <w:pPr>
              <w:jc w:val="center"/>
              <w:rPr>
                <w:sz w:val="24"/>
                <w:szCs w:val="24"/>
              </w:rPr>
            </w:pPr>
          </w:p>
        </w:tc>
        <w:tc>
          <w:tcPr>
            <w:tcW w:w="0" w:type="auto"/>
            <w:vAlign w:val="center"/>
            <w:hideMark/>
          </w:tcPr>
          <w:p w:rsidR="0063743A" w:rsidRPr="008A7D25" w:rsidRDefault="0063743A" w:rsidP="009A0251">
            <w:pPr>
              <w:ind w:left="1785"/>
              <w:jc w:val="center"/>
              <w:rPr>
                <w:sz w:val="24"/>
                <w:szCs w:val="24"/>
              </w:rPr>
            </w:pPr>
            <w:proofErr w:type="spellStart"/>
            <w:r w:rsidRPr="008A7D25">
              <w:rPr>
                <w:sz w:val="24"/>
                <w:szCs w:val="24"/>
              </w:rPr>
              <w:t>Confederación</w:t>
            </w:r>
            <w:proofErr w:type="spellEnd"/>
            <w:r w:rsidRPr="008A7D25">
              <w:rPr>
                <w:sz w:val="24"/>
                <w:szCs w:val="24"/>
              </w:rPr>
              <w:t xml:space="preserve"> </w:t>
            </w:r>
            <w:proofErr w:type="spellStart"/>
            <w:r w:rsidRPr="008A7D25">
              <w:rPr>
                <w:sz w:val="24"/>
                <w:szCs w:val="24"/>
              </w:rPr>
              <w:t>Campesina</w:t>
            </w:r>
            <w:proofErr w:type="spellEnd"/>
            <w:r w:rsidRPr="008A7D25">
              <w:rPr>
                <w:sz w:val="24"/>
                <w:szCs w:val="24"/>
              </w:rPr>
              <w:t xml:space="preserve"> Del Peru</w:t>
            </w:r>
          </w:p>
        </w:tc>
      </w:tr>
    </w:tbl>
    <w:p w:rsidR="0063743A" w:rsidRPr="00F112AB" w:rsidRDefault="0063743A" w:rsidP="0063743A">
      <w:pPr>
        <w:jc w:val="center"/>
        <w:rPr>
          <w:sz w:val="24"/>
          <w:szCs w:val="24"/>
        </w:rPr>
      </w:pPr>
      <w:proofErr w:type="spellStart"/>
      <w:r w:rsidRPr="00F112AB">
        <w:rPr>
          <w:sz w:val="24"/>
          <w:szCs w:val="24"/>
        </w:rPr>
        <w:t>Consejo</w:t>
      </w:r>
      <w:proofErr w:type="spellEnd"/>
      <w:r w:rsidRPr="00F112AB">
        <w:rPr>
          <w:sz w:val="24"/>
          <w:szCs w:val="24"/>
        </w:rPr>
        <w:t xml:space="preserve"> de Pueblos </w:t>
      </w:r>
      <w:proofErr w:type="spellStart"/>
      <w:r w:rsidRPr="00F112AB">
        <w:rPr>
          <w:sz w:val="24"/>
          <w:szCs w:val="24"/>
        </w:rPr>
        <w:t>Wuxhtaj</w:t>
      </w:r>
      <w:proofErr w:type="spellEnd"/>
      <w:r w:rsidRPr="00F112AB">
        <w:rPr>
          <w:sz w:val="24"/>
          <w:szCs w:val="24"/>
        </w:rPr>
        <w:t xml:space="preserve"> (Guatemala)</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7240"/>
      </w:tblGrid>
      <w:tr w:rsidR="0063743A" w:rsidRPr="008A7D25" w:rsidTr="009A0251">
        <w:trPr>
          <w:tblCellSpacing w:w="15" w:type="dxa"/>
        </w:trPr>
        <w:tc>
          <w:tcPr>
            <w:tcW w:w="0" w:type="auto"/>
            <w:vAlign w:val="center"/>
            <w:hideMark/>
          </w:tcPr>
          <w:p w:rsidR="0063743A" w:rsidRPr="008A7D25" w:rsidRDefault="0063743A" w:rsidP="009A0251">
            <w:pPr>
              <w:jc w:val="center"/>
              <w:rPr>
                <w:sz w:val="24"/>
                <w:szCs w:val="24"/>
              </w:rPr>
            </w:pPr>
          </w:p>
        </w:tc>
        <w:tc>
          <w:tcPr>
            <w:tcW w:w="0" w:type="auto"/>
            <w:vAlign w:val="center"/>
            <w:hideMark/>
          </w:tcPr>
          <w:p w:rsidR="0063743A" w:rsidRPr="008A7D25" w:rsidRDefault="0063743A" w:rsidP="009A0251">
            <w:pPr>
              <w:ind w:left="1605"/>
              <w:jc w:val="center"/>
              <w:rPr>
                <w:sz w:val="24"/>
                <w:szCs w:val="24"/>
              </w:rPr>
            </w:pPr>
            <w:proofErr w:type="spellStart"/>
            <w:r w:rsidRPr="008A7D25">
              <w:rPr>
                <w:sz w:val="24"/>
                <w:szCs w:val="24"/>
              </w:rPr>
              <w:t>Coordinadora</w:t>
            </w:r>
            <w:proofErr w:type="spellEnd"/>
            <w:r w:rsidRPr="008A7D25">
              <w:rPr>
                <w:sz w:val="24"/>
                <w:szCs w:val="24"/>
              </w:rPr>
              <w:t xml:space="preserve"> </w:t>
            </w:r>
            <w:proofErr w:type="spellStart"/>
            <w:r w:rsidRPr="008A7D25">
              <w:rPr>
                <w:sz w:val="24"/>
                <w:szCs w:val="24"/>
              </w:rPr>
              <w:t>Andina</w:t>
            </w:r>
            <w:proofErr w:type="spellEnd"/>
            <w:r w:rsidRPr="008A7D25">
              <w:rPr>
                <w:sz w:val="24"/>
                <w:szCs w:val="24"/>
              </w:rPr>
              <w:t xml:space="preserve"> de </w:t>
            </w:r>
            <w:proofErr w:type="spellStart"/>
            <w:r w:rsidRPr="008A7D25">
              <w:rPr>
                <w:sz w:val="24"/>
                <w:szCs w:val="24"/>
              </w:rPr>
              <w:t>Organizaciones</w:t>
            </w:r>
            <w:proofErr w:type="spellEnd"/>
            <w:r w:rsidRPr="008A7D25">
              <w:rPr>
                <w:sz w:val="24"/>
                <w:szCs w:val="24"/>
              </w:rPr>
              <w:t xml:space="preserve"> </w:t>
            </w:r>
            <w:proofErr w:type="spellStart"/>
            <w:r w:rsidRPr="008A7D25">
              <w:rPr>
                <w:sz w:val="24"/>
                <w:szCs w:val="24"/>
              </w:rPr>
              <w:t>Indígenas</w:t>
            </w:r>
            <w:proofErr w:type="spellEnd"/>
            <w:r w:rsidRPr="00F112AB">
              <w:rPr>
                <w:sz w:val="24"/>
                <w:szCs w:val="24"/>
              </w:rPr>
              <w:t xml:space="preserve"> (Peru)</w:t>
            </w:r>
          </w:p>
        </w:tc>
      </w:tr>
    </w:tbl>
    <w:p w:rsidR="0063743A" w:rsidRPr="00F112AB" w:rsidRDefault="0063743A" w:rsidP="0063743A">
      <w:pPr>
        <w:jc w:val="center"/>
        <w:rPr>
          <w:sz w:val="24"/>
          <w:szCs w:val="24"/>
        </w:rPr>
      </w:pPr>
      <w:r w:rsidRPr="00F112AB">
        <w:rPr>
          <w:sz w:val="24"/>
          <w:szCs w:val="24"/>
        </w:rPr>
        <w:t xml:space="preserve">Corporate Accountability </w:t>
      </w:r>
      <w:proofErr w:type="gramStart"/>
      <w:r w:rsidRPr="00F112AB">
        <w:rPr>
          <w:sz w:val="24"/>
          <w:szCs w:val="24"/>
        </w:rPr>
        <w:t>International  (</w:t>
      </w:r>
      <w:proofErr w:type="gramEnd"/>
      <w:r w:rsidRPr="00F112AB">
        <w:rPr>
          <w:sz w:val="24"/>
          <w:szCs w:val="24"/>
        </w:rPr>
        <w:t>USA)</w:t>
      </w:r>
    </w:p>
    <w:p w:rsidR="0063743A" w:rsidRPr="00F112AB" w:rsidRDefault="0063743A" w:rsidP="0063743A">
      <w:pPr>
        <w:jc w:val="center"/>
        <w:rPr>
          <w:sz w:val="24"/>
          <w:szCs w:val="24"/>
        </w:rPr>
      </w:pPr>
      <w:r w:rsidRPr="00F112AB">
        <w:rPr>
          <w:sz w:val="24"/>
          <w:szCs w:val="24"/>
        </w:rPr>
        <w:t>Defend Job Philippines</w:t>
      </w:r>
    </w:p>
    <w:p w:rsidR="0063743A" w:rsidRPr="00F112AB" w:rsidRDefault="0063743A" w:rsidP="0063743A">
      <w:pPr>
        <w:jc w:val="center"/>
        <w:rPr>
          <w:sz w:val="24"/>
          <w:szCs w:val="24"/>
        </w:rPr>
      </w:pPr>
      <w:r w:rsidRPr="00F112AB">
        <w:rPr>
          <w:sz w:val="24"/>
          <w:szCs w:val="24"/>
        </w:rPr>
        <w:t>The Democracy Center (Bolivia)</w:t>
      </w:r>
    </w:p>
    <w:p w:rsidR="0063743A" w:rsidRPr="00F112AB" w:rsidRDefault="0063743A" w:rsidP="0088070F">
      <w:pPr>
        <w:ind w:left="540"/>
        <w:jc w:val="center"/>
        <w:rPr>
          <w:sz w:val="24"/>
          <w:szCs w:val="24"/>
        </w:rPr>
      </w:pPr>
      <w:proofErr w:type="spellStart"/>
      <w:r w:rsidRPr="00F112AB">
        <w:rPr>
          <w:sz w:val="24"/>
          <w:szCs w:val="24"/>
        </w:rPr>
        <w:t>Desarrollo</w:t>
      </w:r>
      <w:proofErr w:type="spellEnd"/>
      <w:r w:rsidRPr="00F112AB">
        <w:rPr>
          <w:sz w:val="24"/>
          <w:szCs w:val="24"/>
        </w:rPr>
        <w:t xml:space="preserve">, </w:t>
      </w:r>
      <w:proofErr w:type="spellStart"/>
      <w:r w:rsidRPr="00F112AB">
        <w:rPr>
          <w:sz w:val="24"/>
          <w:szCs w:val="24"/>
        </w:rPr>
        <w:t>Educación</w:t>
      </w:r>
      <w:proofErr w:type="spellEnd"/>
      <w:r w:rsidRPr="00F112AB">
        <w:rPr>
          <w:sz w:val="24"/>
          <w:szCs w:val="24"/>
        </w:rPr>
        <w:t xml:space="preserve"> Y </w:t>
      </w:r>
      <w:proofErr w:type="spellStart"/>
      <w:r w:rsidRPr="00F112AB">
        <w:rPr>
          <w:sz w:val="24"/>
          <w:szCs w:val="24"/>
        </w:rPr>
        <w:t>Cultura</w:t>
      </w:r>
      <w:proofErr w:type="spellEnd"/>
      <w:r w:rsidRPr="00F112AB">
        <w:rPr>
          <w:sz w:val="24"/>
          <w:szCs w:val="24"/>
        </w:rPr>
        <w:t xml:space="preserve"> </w:t>
      </w:r>
      <w:proofErr w:type="spellStart"/>
      <w:r w:rsidRPr="00F112AB">
        <w:rPr>
          <w:sz w:val="24"/>
          <w:szCs w:val="24"/>
        </w:rPr>
        <w:t>Autogestionarios</w:t>
      </w:r>
      <w:proofErr w:type="spellEnd"/>
      <w:r w:rsidRPr="00F112AB">
        <w:rPr>
          <w:sz w:val="24"/>
          <w:szCs w:val="24"/>
        </w:rPr>
        <w:t xml:space="preserve">, </w:t>
      </w:r>
      <w:proofErr w:type="spellStart"/>
      <w:r w:rsidRPr="00F112AB">
        <w:rPr>
          <w:sz w:val="24"/>
          <w:szCs w:val="24"/>
        </w:rPr>
        <w:t>Equipo</w:t>
      </w:r>
      <w:proofErr w:type="spellEnd"/>
      <w:r w:rsidRPr="00F112AB">
        <w:rPr>
          <w:sz w:val="24"/>
          <w:szCs w:val="24"/>
        </w:rPr>
        <w:t xml:space="preserve"> Pueblo A.C. (Mexico)</w:t>
      </w:r>
    </w:p>
    <w:p w:rsidR="0063743A" w:rsidRPr="00F112AB" w:rsidRDefault="0063743A" w:rsidP="0063743A">
      <w:pPr>
        <w:jc w:val="center"/>
        <w:rPr>
          <w:sz w:val="24"/>
          <w:szCs w:val="24"/>
        </w:rPr>
      </w:pPr>
      <w:r w:rsidRPr="00F112AB">
        <w:rPr>
          <w:sz w:val="24"/>
          <w:szCs w:val="24"/>
        </w:rPr>
        <w:t>Due Process of Law Foundation (USA)</w:t>
      </w:r>
    </w:p>
    <w:p w:rsidR="0063743A" w:rsidRPr="00F112AB" w:rsidRDefault="0063743A" w:rsidP="0063743A">
      <w:pPr>
        <w:jc w:val="center"/>
        <w:rPr>
          <w:sz w:val="24"/>
          <w:szCs w:val="24"/>
        </w:rPr>
      </w:pPr>
      <w:r w:rsidRPr="00F112AB">
        <w:rPr>
          <w:sz w:val="24"/>
          <w:szCs w:val="24"/>
        </w:rPr>
        <w:t>Equitable Cambodia</w:t>
      </w:r>
    </w:p>
    <w:p w:rsidR="0063743A" w:rsidRPr="00F112AB" w:rsidRDefault="0063743A" w:rsidP="0063743A">
      <w:pPr>
        <w:jc w:val="center"/>
        <w:rPr>
          <w:sz w:val="24"/>
          <w:szCs w:val="24"/>
        </w:rPr>
      </w:pPr>
      <w:proofErr w:type="spellStart"/>
      <w:r w:rsidRPr="00F112AB">
        <w:rPr>
          <w:sz w:val="24"/>
          <w:szCs w:val="24"/>
        </w:rPr>
        <w:t>Fédération</w:t>
      </w:r>
      <w:proofErr w:type="spellEnd"/>
      <w:r w:rsidRPr="00F112AB">
        <w:rPr>
          <w:sz w:val="24"/>
          <w:szCs w:val="24"/>
        </w:rPr>
        <w:t xml:space="preserve"> </w:t>
      </w:r>
      <w:proofErr w:type="spellStart"/>
      <w:r w:rsidRPr="00F112AB">
        <w:rPr>
          <w:sz w:val="24"/>
          <w:szCs w:val="24"/>
        </w:rPr>
        <w:t>internationale</w:t>
      </w:r>
      <w:proofErr w:type="spellEnd"/>
      <w:r w:rsidRPr="00F112AB">
        <w:rPr>
          <w:sz w:val="24"/>
          <w:szCs w:val="24"/>
        </w:rPr>
        <w:t xml:space="preserve"> des droits de </w:t>
      </w:r>
      <w:proofErr w:type="spellStart"/>
      <w:r w:rsidRPr="00F112AB">
        <w:rPr>
          <w:sz w:val="24"/>
          <w:szCs w:val="24"/>
        </w:rPr>
        <w:t>l'Homme</w:t>
      </w:r>
      <w:proofErr w:type="spellEnd"/>
      <w:r w:rsidRPr="00F112AB">
        <w:rPr>
          <w:sz w:val="24"/>
          <w:szCs w:val="24"/>
        </w:rPr>
        <w:t xml:space="preserve"> (France)</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9013"/>
      </w:tblGrid>
      <w:tr w:rsidR="0063743A" w:rsidRPr="008A7D25" w:rsidTr="009A0251">
        <w:trPr>
          <w:tblCellSpacing w:w="15" w:type="dxa"/>
        </w:trPr>
        <w:tc>
          <w:tcPr>
            <w:tcW w:w="0" w:type="auto"/>
            <w:vAlign w:val="center"/>
            <w:hideMark/>
          </w:tcPr>
          <w:p w:rsidR="0063743A" w:rsidRPr="008A7D25" w:rsidRDefault="0063743A" w:rsidP="009A0251">
            <w:pPr>
              <w:jc w:val="center"/>
              <w:rPr>
                <w:sz w:val="24"/>
                <w:szCs w:val="24"/>
              </w:rPr>
            </w:pPr>
          </w:p>
        </w:tc>
        <w:tc>
          <w:tcPr>
            <w:tcW w:w="0" w:type="auto"/>
            <w:vAlign w:val="center"/>
            <w:hideMark/>
          </w:tcPr>
          <w:p w:rsidR="0063743A" w:rsidRPr="008A7D25" w:rsidRDefault="0063743A" w:rsidP="009A0251">
            <w:pPr>
              <w:ind w:left="795"/>
              <w:jc w:val="center"/>
              <w:rPr>
                <w:sz w:val="24"/>
                <w:szCs w:val="24"/>
              </w:rPr>
            </w:pPr>
            <w:proofErr w:type="spellStart"/>
            <w:r w:rsidRPr="008A7D25">
              <w:rPr>
                <w:sz w:val="24"/>
                <w:szCs w:val="24"/>
              </w:rPr>
              <w:t>Foro</w:t>
            </w:r>
            <w:proofErr w:type="spellEnd"/>
            <w:r w:rsidRPr="008A7D25">
              <w:rPr>
                <w:sz w:val="24"/>
                <w:szCs w:val="24"/>
              </w:rPr>
              <w:t xml:space="preserve"> </w:t>
            </w:r>
            <w:proofErr w:type="spellStart"/>
            <w:r w:rsidRPr="008A7D25">
              <w:rPr>
                <w:sz w:val="24"/>
                <w:szCs w:val="24"/>
              </w:rPr>
              <w:t>Ciudadano</w:t>
            </w:r>
            <w:proofErr w:type="spellEnd"/>
            <w:r w:rsidRPr="008A7D25">
              <w:rPr>
                <w:sz w:val="24"/>
                <w:szCs w:val="24"/>
              </w:rPr>
              <w:t xml:space="preserve"> de </w:t>
            </w:r>
            <w:proofErr w:type="spellStart"/>
            <w:r w:rsidRPr="008A7D25">
              <w:rPr>
                <w:sz w:val="24"/>
                <w:szCs w:val="24"/>
              </w:rPr>
              <w:t>Participación</w:t>
            </w:r>
            <w:proofErr w:type="spellEnd"/>
            <w:r w:rsidRPr="008A7D25">
              <w:rPr>
                <w:sz w:val="24"/>
                <w:szCs w:val="24"/>
              </w:rPr>
              <w:t xml:space="preserve"> </w:t>
            </w:r>
            <w:proofErr w:type="spellStart"/>
            <w:r w:rsidRPr="008A7D25">
              <w:rPr>
                <w:sz w:val="24"/>
                <w:szCs w:val="24"/>
              </w:rPr>
              <w:t>por</w:t>
            </w:r>
            <w:proofErr w:type="spellEnd"/>
            <w:r w:rsidRPr="008A7D25">
              <w:rPr>
                <w:sz w:val="24"/>
                <w:szCs w:val="24"/>
              </w:rPr>
              <w:t xml:space="preserve"> la </w:t>
            </w:r>
            <w:proofErr w:type="spellStart"/>
            <w:r w:rsidRPr="008A7D25">
              <w:rPr>
                <w:sz w:val="24"/>
                <w:szCs w:val="24"/>
              </w:rPr>
              <w:t>Justicia</w:t>
            </w:r>
            <w:proofErr w:type="spellEnd"/>
            <w:r w:rsidRPr="008A7D25">
              <w:rPr>
                <w:sz w:val="24"/>
                <w:szCs w:val="24"/>
              </w:rPr>
              <w:t xml:space="preserve"> y </w:t>
            </w:r>
            <w:proofErr w:type="spellStart"/>
            <w:r w:rsidRPr="008A7D25">
              <w:rPr>
                <w:sz w:val="24"/>
                <w:szCs w:val="24"/>
              </w:rPr>
              <w:t>los</w:t>
            </w:r>
            <w:proofErr w:type="spellEnd"/>
            <w:r w:rsidRPr="008A7D25">
              <w:rPr>
                <w:sz w:val="24"/>
                <w:szCs w:val="24"/>
              </w:rPr>
              <w:t xml:space="preserve"> Derechos </w:t>
            </w:r>
            <w:proofErr w:type="spellStart"/>
            <w:r w:rsidRPr="008A7D25">
              <w:rPr>
                <w:sz w:val="24"/>
                <w:szCs w:val="24"/>
              </w:rPr>
              <w:t>Humanos</w:t>
            </w:r>
            <w:proofErr w:type="spellEnd"/>
            <w:r w:rsidRPr="00F112AB">
              <w:rPr>
                <w:sz w:val="24"/>
                <w:szCs w:val="24"/>
              </w:rPr>
              <w:t xml:space="preserve"> (Argentina)</w:t>
            </w:r>
          </w:p>
        </w:tc>
      </w:tr>
    </w:tbl>
    <w:p w:rsidR="0063743A" w:rsidRPr="00F112AB" w:rsidRDefault="0063743A" w:rsidP="0063743A">
      <w:pPr>
        <w:jc w:val="center"/>
        <w:rPr>
          <w:sz w:val="24"/>
          <w:szCs w:val="24"/>
        </w:rPr>
      </w:pPr>
      <w:r w:rsidRPr="00F112AB">
        <w:rPr>
          <w:sz w:val="24"/>
          <w:szCs w:val="24"/>
        </w:rPr>
        <w:t>Global Initiative for Economic, Social and Cultural Rights (GI-ESCR)</w:t>
      </w:r>
    </w:p>
    <w:p w:rsidR="0063743A" w:rsidRPr="00F112AB" w:rsidRDefault="0063743A" w:rsidP="0063743A">
      <w:pPr>
        <w:jc w:val="center"/>
        <w:rPr>
          <w:sz w:val="24"/>
          <w:szCs w:val="24"/>
        </w:rPr>
      </w:pPr>
      <w:r w:rsidRPr="00F112AB">
        <w:rPr>
          <w:sz w:val="24"/>
          <w:szCs w:val="24"/>
        </w:rPr>
        <w:t>Habi Center for Environmental Rights</w:t>
      </w:r>
      <w:r>
        <w:rPr>
          <w:sz w:val="24"/>
          <w:szCs w:val="24"/>
        </w:rPr>
        <w:t xml:space="preserve"> (Egypt)</w:t>
      </w:r>
    </w:p>
    <w:p w:rsidR="0063743A" w:rsidRPr="00F112AB" w:rsidRDefault="0063743A" w:rsidP="0063743A">
      <w:pPr>
        <w:jc w:val="center"/>
        <w:rPr>
          <w:sz w:val="24"/>
          <w:szCs w:val="24"/>
        </w:rPr>
      </w:pPr>
      <w:r w:rsidRPr="00F112AB">
        <w:rPr>
          <w:sz w:val="24"/>
          <w:szCs w:val="24"/>
        </w:rPr>
        <w:t>Human Rights Law Network (India)</w:t>
      </w:r>
    </w:p>
    <w:p w:rsidR="0063743A" w:rsidRPr="00F112AB" w:rsidRDefault="0063743A" w:rsidP="0063743A">
      <w:pPr>
        <w:jc w:val="center"/>
        <w:rPr>
          <w:sz w:val="24"/>
          <w:szCs w:val="24"/>
        </w:rPr>
      </w:pPr>
      <w:r w:rsidRPr="00F112AB">
        <w:rPr>
          <w:sz w:val="24"/>
          <w:szCs w:val="24"/>
        </w:rPr>
        <w:t>Human Rights Law Resource Centre (Australia)</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6727"/>
      </w:tblGrid>
      <w:tr w:rsidR="0063743A" w:rsidRPr="008A7D25" w:rsidTr="009A0251">
        <w:trPr>
          <w:tblCellSpacing w:w="15" w:type="dxa"/>
        </w:trPr>
        <w:tc>
          <w:tcPr>
            <w:tcW w:w="0" w:type="auto"/>
            <w:vAlign w:val="center"/>
            <w:hideMark/>
          </w:tcPr>
          <w:p w:rsidR="0063743A" w:rsidRPr="008A7D25" w:rsidRDefault="0063743A" w:rsidP="009A0251">
            <w:pPr>
              <w:jc w:val="center"/>
              <w:rPr>
                <w:sz w:val="24"/>
                <w:szCs w:val="24"/>
              </w:rPr>
            </w:pPr>
          </w:p>
        </w:tc>
        <w:tc>
          <w:tcPr>
            <w:tcW w:w="0" w:type="auto"/>
            <w:vAlign w:val="center"/>
            <w:hideMark/>
          </w:tcPr>
          <w:p w:rsidR="0063743A" w:rsidRPr="008A7D25" w:rsidRDefault="0063743A" w:rsidP="009A0251">
            <w:pPr>
              <w:ind w:left="2505"/>
              <w:jc w:val="center"/>
              <w:rPr>
                <w:sz w:val="24"/>
                <w:szCs w:val="24"/>
              </w:rPr>
            </w:pPr>
            <w:r w:rsidRPr="008A7D25">
              <w:rPr>
                <w:sz w:val="24"/>
                <w:szCs w:val="24"/>
              </w:rPr>
              <w:t>Inclusive Development International</w:t>
            </w:r>
            <w:r w:rsidRPr="00F112AB">
              <w:rPr>
                <w:sz w:val="24"/>
                <w:szCs w:val="24"/>
              </w:rPr>
              <w:t xml:space="preserve"> (USA)</w:t>
            </w:r>
          </w:p>
        </w:tc>
      </w:tr>
    </w:tbl>
    <w:p w:rsidR="0063743A" w:rsidRPr="00F112AB" w:rsidRDefault="0063743A" w:rsidP="0063743A">
      <w:pPr>
        <w:jc w:val="center"/>
        <w:rPr>
          <w:sz w:val="24"/>
          <w:szCs w:val="24"/>
        </w:rPr>
      </w:pPr>
      <w:r w:rsidRPr="00F112AB">
        <w:rPr>
          <w:sz w:val="24"/>
          <w:szCs w:val="24"/>
        </w:rPr>
        <w:t>International Accountability Project (USA)</w:t>
      </w:r>
    </w:p>
    <w:p w:rsidR="0063743A" w:rsidRPr="00F112AB" w:rsidRDefault="0063743A" w:rsidP="0063743A">
      <w:pPr>
        <w:jc w:val="center"/>
        <w:rPr>
          <w:sz w:val="24"/>
          <w:szCs w:val="24"/>
        </w:rPr>
      </w:pPr>
      <w:r w:rsidRPr="00F112AB">
        <w:rPr>
          <w:sz w:val="24"/>
          <w:szCs w:val="24"/>
        </w:rPr>
        <w:t>International Commission of Jurists</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5636"/>
      </w:tblGrid>
      <w:tr w:rsidR="0063743A" w:rsidRPr="008A7D25" w:rsidTr="009A0251">
        <w:trPr>
          <w:tblCellSpacing w:w="15" w:type="dxa"/>
        </w:trPr>
        <w:tc>
          <w:tcPr>
            <w:tcW w:w="0" w:type="auto"/>
            <w:vAlign w:val="center"/>
            <w:hideMark/>
          </w:tcPr>
          <w:p w:rsidR="0063743A" w:rsidRPr="008A7D25" w:rsidRDefault="0063743A" w:rsidP="009A0251">
            <w:pPr>
              <w:jc w:val="center"/>
              <w:rPr>
                <w:sz w:val="24"/>
                <w:szCs w:val="24"/>
              </w:rPr>
            </w:pPr>
          </w:p>
        </w:tc>
        <w:tc>
          <w:tcPr>
            <w:tcW w:w="0" w:type="auto"/>
            <w:vAlign w:val="center"/>
            <w:hideMark/>
          </w:tcPr>
          <w:p w:rsidR="0063743A" w:rsidRPr="008A7D25" w:rsidRDefault="0063743A" w:rsidP="009A0251">
            <w:pPr>
              <w:ind w:left="3495"/>
              <w:jc w:val="center"/>
              <w:rPr>
                <w:sz w:val="24"/>
                <w:szCs w:val="24"/>
              </w:rPr>
            </w:pPr>
            <w:proofErr w:type="spellStart"/>
            <w:r w:rsidRPr="008A7D25">
              <w:rPr>
                <w:sz w:val="24"/>
                <w:szCs w:val="24"/>
              </w:rPr>
              <w:t>Justiça</w:t>
            </w:r>
            <w:proofErr w:type="spellEnd"/>
            <w:r w:rsidRPr="008A7D25">
              <w:rPr>
                <w:sz w:val="24"/>
                <w:szCs w:val="24"/>
              </w:rPr>
              <w:t xml:space="preserve"> Global</w:t>
            </w:r>
            <w:r w:rsidRPr="00F112AB">
              <w:rPr>
                <w:sz w:val="24"/>
                <w:szCs w:val="24"/>
              </w:rPr>
              <w:t xml:space="preserve"> (Brazil)</w:t>
            </w:r>
          </w:p>
        </w:tc>
      </w:tr>
    </w:tbl>
    <w:p w:rsidR="0063743A" w:rsidRPr="00F112AB" w:rsidRDefault="0063743A" w:rsidP="0063743A">
      <w:pPr>
        <w:jc w:val="center"/>
        <w:rPr>
          <w:sz w:val="24"/>
          <w:szCs w:val="24"/>
        </w:rPr>
      </w:pPr>
      <w:r w:rsidRPr="00F112AB">
        <w:rPr>
          <w:sz w:val="24"/>
          <w:szCs w:val="24"/>
        </w:rPr>
        <w:t>Kenya Human Rights Commission</w:t>
      </w:r>
    </w:p>
    <w:p w:rsidR="0063743A" w:rsidRPr="00F112AB" w:rsidRDefault="0063743A" w:rsidP="0063743A">
      <w:pPr>
        <w:jc w:val="center"/>
        <w:rPr>
          <w:sz w:val="24"/>
          <w:szCs w:val="24"/>
        </w:rPr>
      </w:pPr>
      <w:r w:rsidRPr="00F112AB">
        <w:rPr>
          <w:sz w:val="24"/>
          <w:szCs w:val="24"/>
        </w:rPr>
        <w:t>Legal Resource Centre (South Africa)</w:t>
      </w:r>
    </w:p>
    <w:p w:rsidR="0063743A" w:rsidRPr="00F112AB" w:rsidRDefault="0063743A" w:rsidP="0063743A">
      <w:pPr>
        <w:jc w:val="center"/>
        <w:rPr>
          <w:sz w:val="24"/>
          <w:szCs w:val="24"/>
        </w:rPr>
      </w:pPr>
      <w:proofErr w:type="spellStart"/>
      <w:r w:rsidRPr="00F112AB">
        <w:rPr>
          <w:sz w:val="24"/>
          <w:szCs w:val="24"/>
        </w:rPr>
        <w:t>MiningWatch</w:t>
      </w:r>
      <w:proofErr w:type="spellEnd"/>
      <w:r w:rsidRPr="00F112AB">
        <w:rPr>
          <w:sz w:val="24"/>
          <w:szCs w:val="24"/>
        </w:rPr>
        <w:t xml:space="preserve"> Canada</w:t>
      </w:r>
    </w:p>
    <w:p w:rsidR="0063743A" w:rsidRPr="00F112AB" w:rsidRDefault="0063743A" w:rsidP="0063743A">
      <w:pPr>
        <w:jc w:val="center"/>
        <w:rPr>
          <w:sz w:val="24"/>
          <w:szCs w:val="24"/>
        </w:rPr>
      </w:pPr>
      <w:r w:rsidRPr="00F112AB">
        <w:rPr>
          <w:sz w:val="24"/>
          <w:szCs w:val="24"/>
        </w:rPr>
        <w:t>Movement for the Survival of the Ogoni People (Nigeria)</w:t>
      </w:r>
    </w:p>
    <w:p w:rsidR="0063743A" w:rsidRPr="00F112AB" w:rsidRDefault="0063743A" w:rsidP="0063743A">
      <w:pPr>
        <w:jc w:val="center"/>
        <w:rPr>
          <w:sz w:val="24"/>
          <w:szCs w:val="24"/>
        </w:rPr>
      </w:pPr>
      <w:proofErr w:type="spellStart"/>
      <w:r w:rsidRPr="00F112AB">
        <w:rPr>
          <w:sz w:val="24"/>
          <w:szCs w:val="24"/>
        </w:rPr>
        <w:t>Narasha</w:t>
      </w:r>
      <w:proofErr w:type="spellEnd"/>
      <w:r w:rsidRPr="00F112AB">
        <w:rPr>
          <w:sz w:val="24"/>
          <w:szCs w:val="24"/>
        </w:rPr>
        <w:t xml:space="preserve"> Community Development Group (Kenya)</w:t>
      </w:r>
    </w:p>
    <w:p w:rsidR="0063743A" w:rsidRPr="00F112AB" w:rsidRDefault="0063743A" w:rsidP="0063743A">
      <w:pPr>
        <w:jc w:val="center"/>
        <w:rPr>
          <w:sz w:val="24"/>
          <w:szCs w:val="24"/>
        </w:rPr>
      </w:pPr>
      <w:r w:rsidRPr="00F112AB">
        <w:rPr>
          <w:sz w:val="24"/>
          <w:szCs w:val="24"/>
        </w:rPr>
        <w:t>National Center for Advocacy Studies (India)</w:t>
      </w:r>
    </w:p>
    <w:p w:rsidR="0063743A" w:rsidRPr="00F112AB" w:rsidRDefault="0063743A" w:rsidP="0063743A">
      <w:pPr>
        <w:jc w:val="center"/>
        <w:rPr>
          <w:sz w:val="24"/>
          <w:szCs w:val="24"/>
        </w:rPr>
      </w:pPr>
      <w:r w:rsidRPr="00F112AB">
        <w:rPr>
          <w:sz w:val="24"/>
          <w:szCs w:val="24"/>
        </w:rPr>
        <w:t>National Economic and Social Rights Initiative (USA)</w:t>
      </w:r>
    </w:p>
    <w:p w:rsidR="0063743A" w:rsidRPr="00F112AB" w:rsidRDefault="0063743A" w:rsidP="0063743A">
      <w:pPr>
        <w:jc w:val="center"/>
        <w:rPr>
          <w:sz w:val="24"/>
          <w:szCs w:val="24"/>
        </w:rPr>
      </w:pPr>
      <w:r w:rsidRPr="00F112AB">
        <w:rPr>
          <w:sz w:val="24"/>
          <w:szCs w:val="24"/>
        </w:rPr>
        <w:lastRenderedPageBreak/>
        <w:t>National Fisheries Solidarity Organization (India)</w:t>
      </w:r>
    </w:p>
    <w:p w:rsidR="0063743A" w:rsidRPr="00F112AB" w:rsidRDefault="0063743A" w:rsidP="0063743A">
      <w:pPr>
        <w:jc w:val="center"/>
        <w:rPr>
          <w:sz w:val="24"/>
          <w:szCs w:val="24"/>
        </w:rPr>
      </w:pPr>
      <w:r w:rsidRPr="00F112AB">
        <w:rPr>
          <w:sz w:val="24"/>
          <w:szCs w:val="24"/>
        </w:rPr>
        <w:t>Natural Resources Alliance of Kenya</w:t>
      </w:r>
    </w:p>
    <w:p w:rsidR="0063743A" w:rsidRPr="00F112AB" w:rsidRDefault="0063743A" w:rsidP="0063743A">
      <w:pPr>
        <w:jc w:val="center"/>
        <w:rPr>
          <w:sz w:val="24"/>
          <w:szCs w:val="24"/>
        </w:rPr>
      </w:pPr>
      <w:r w:rsidRPr="00F112AB">
        <w:rPr>
          <w:sz w:val="24"/>
          <w:szCs w:val="24"/>
        </w:rPr>
        <w:t>Network Movement for Justice and Development (Sierra Leone)</w:t>
      </w:r>
    </w:p>
    <w:p w:rsidR="0063743A" w:rsidRPr="00F112AB" w:rsidRDefault="0063743A" w:rsidP="0063743A">
      <w:pPr>
        <w:jc w:val="center"/>
        <w:rPr>
          <w:sz w:val="24"/>
          <w:szCs w:val="24"/>
        </w:rPr>
      </w:pPr>
      <w:proofErr w:type="spellStart"/>
      <w:r w:rsidRPr="00F112AB">
        <w:rPr>
          <w:sz w:val="24"/>
          <w:szCs w:val="24"/>
        </w:rPr>
        <w:t>Observatorio</w:t>
      </w:r>
      <w:proofErr w:type="spellEnd"/>
      <w:r w:rsidRPr="00F112AB">
        <w:rPr>
          <w:sz w:val="24"/>
          <w:szCs w:val="24"/>
        </w:rPr>
        <w:t xml:space="preserve"> </w:t>
      </w:r>
      <w:proofErr w:type="spellStart"/>
      <w:r w:rsidRPr="00F112AB">
        <w:rPr>
          <w:sz w:val="24"/>
          <w:szCs w:val="24"/>
        </w:rPr>
        <w:t>Ciudadano</w:t>
      </w:r>
      <w:proofErr w:type="spellEnd"/>
      <w:r w:rsidRPr="00F112AB">
        <w:rPr>
          <w:sz w:val="24"/>
          <w:szCs w:val="24"/>
        </w:rPr>
        <w:t xml:space="preserve"> (Chile)</w:t>
      </w:r>
    </w:p>
    <w:p w:rsidR="0063743A" w:rsidRPr="00F112AB" w:rsidRDefault="0063743A" w:rsidP="0063743A">
      <w:pPr>
        <w:jc w:val="center"/>
        <w:rPr>
          <w:sz w:val="24"/>
          <w:szCs w:val="24"/>
        </w:rPr>
      </w:pPr>
      <w:proofErr w:type="spellStart"/>
      <w:r w:rsidRPr="00F112AB">
        <w:rPr>
          <w:sz w:val="24"/>
          <w:szCs w:val="24"/>
        </w:rPr>
        <w:t>Organización</w:t>
      </w:r>
      <w:proofErr w:type="spellEnd"/>
      <w:r w:rsidRPr="00F112AB">
        <w:rPr>
          <w:sz w:val="24"/>
          <w:szCs w:val="24"/>
        </w:rPr>
        <w:t xml:space="preserve"> Fraternal </w:t>
      </w:r>
      <w:proofErr w:type="spellStart"/>
      <w:r w:rsidRPr="00F112AB">
        <w:rPr>
          <w:sz w:val="24"/>
          <w:szCs w:val="24"/>
        </w:rPr>
        <w:t>Negra</w:t>
      </w:r>
      <w:proofErr w:type="spellEnd"/>
      <w:r w:rsidRPr="00F112AB">
        <w:rPr>
          <w:sz w:val="24"/>
          <w:szCs w:val="24"/>
        </w:rPr>
        <w:t xml:space="preserve"> </w:t>
      </w:r>
      <w:proofErr w:type="spellStart"/>
      <w:r w:rsidRPr="00F112AB">
        <w:rPr>
          <w:sz w:val="24"/>
          <w:szCs w:val="24"/>
        </w:rPr>
        <w:t>Hondureña</w:t>
      </w:r>
      <w:proofErr w:type="spellEnd"/>
      <w:r w:rsidRPr="00F112AB">
        <w:rPr>
          <w:sz w:val="24"/>
          <w:szCs w:val="24"/>
        </w:rPr>
        <w:t xml:space="preserve"> (Honduras)</w:t>
      </w:r>
    </w:p>
    <w:p w:rsidR="0063743A" w:rsidRPr="00F112AB" w:rsidRDefault="0063743A" w:rsidP="0063743A">
      <w:pPr>
        <w:jc w:val="center"/>
        <w:rPr>
          <w:sz w:val="24"/>
          <w:szCs w:val="24"/>
        </w:rPr>
      </w:pPr>
      <w:proofErr w:type="spellStart"/>
      <w:r w:rsidRPr="00F112AB">
        <w:rPr>
          <w:sz w:val="24"/>
          <w:szCs w:val="24"/>
        </w:rPr>
        <w:t>Otros</w:t>
      </w:r>
      <w:proofErr w:type="spellEnd"/>
      <w:r w:rsidRPr="00F112AB">
        <w:rPr>
          <w:sz w:val="24"/>
          <w:szCs w:val="24"/>
        </w:rPr>
        <w:t xml:space="preserve"> </w:t>
      </w:r>
      <w:proofErr w:type="spellStart"/>
      <w:r w:rsidRPr="00F112AB">
        <w:rPr>
          <w:sz w:val="24"/>
          <w:szCs w:val="24"/>
        </w:rPr>
        <w:t>Mundos</w:t>
      </w:r>
      <w:proofErr w:type="spellEnd"/>
      <w:r w:rsidRPr="00F112AB">
        <w:rPr>
          <w:sz w:val="24"/>
          <w:szCs w:val="24"/>
        </w:rPr>
        <w:t xml:space="preserve"> Chiapas (Mexico)</w:t>
      </w:r>
    </w:p>
    <w:p w:rsidR="0063743A" w:rsidRPr="00F112AB" w:rsidRDefault="0063743A" w:rsidP="0063743A">
      <w:pPr>
        <w:jc w:val="center"/>
        <w:rPr>
          <w:sz w:val="24"/>
          <w:szCs w:val="24"/>
        </w:rPr>
      </w:pPr>
      <w:proofErr w:type="spellStart"/>
      <w:r w:rsidRPr="00F112AB">
        <w:rPr>
          <w:sz w:val="24"/>
          <w:szCs w:val="24"/>
        </w:rPr>
        <w:t>Posco</w:t>
      </w:r>
      <w:proofErr w:type="spellEnd"/>
      <w:r w:rsidRPr="00F112AB">
        <w:rPr>
          <w:sz w:val="24"/>
          <w:szCs w:val="24"/>
        </w:rPr>
        <w:t xml:space="preserve"> </w:t>
      </w:r>
      <w:proofErr w:type="spellStart"/>
      <w:r w:rsidRPr="00F112AB">
        <w:rPr>
          <w:sz w:val="24"/>
          <w:szCs w:val="24"/>
        </w:rPr>
        <w:t>Pratirodh</w:t>
      </w:r>
      <w:proofErr w:type="spellEnd"/>
      <w:r w:rsidRPr="00F112AB">
        <w:rPr>
          <w:sz w:val="24"/>
          <w:szCs w:val="24"/>
        </w:rPr>
        <w:t xml:space="preserve"> </w:t>
      </w:r>
      <w:proofErr w:type="spellStart"/>
      <w:r w:rsidRPr="00F112AB">
        <w:rPr>
          <w:sz w:val="24"/>
          <w:szCs w:val="24"/>
        </w:rPr>
        <w:t>Sangram</w:t>
      </w:r>
      <w:proofErr w:type="spellEnd"/>
      <w:r w:rsidRPr="00F112AB">
        <w:rPr>
          <w:sz w:val="24"/>
          <w:szCs w:val="24"/>
        </w:rPr>
        <w:t xml:space="preserve"> </w:t>
      </w:r>
      <w:proofErr w:type="spellStart"/>
      <w:r w:rsidRPr="00F112AB">
        <w:rPr>
          <w:sz w:val="24"/>
          <w:szCs w:val="24"/>
        </w:rPr>
        <w:t>Samiti</w:t>
      </w:r>
      <w:proofErr w:type="spellEnd"/>
      <w:r w:rsidRPr="00F112AB">
        <w:rPr>
          <w:sz w:val="24"/>
          <w:szCs w:val="24"/>
        </w:rPr>
        <w:t xml:space="preserve"> (India)</w:t>
      </w:r>
    </w:p>
    <w:p w:rsidR="0063743A" w:rsidRPr="00F112AB" w:rsidRDefault="0063743A" w:rsidP="0063743A">
      <w:pPr>
        <w:jc w:val="center"/>
        <w:rPr>
          <w:sz w:val="24"/>
          <w:szCs w:val="24"/>
        </w:rPr>
      </w:pPr>
      <w:r w:rsidRPr="00F112AB">
        <w:rPr>
          <w:sz w:val="24"/>
          <w:szCs w:val="24"/>
        </w:rPr>
        <w:t>Project on Organizing, Development, Education and Research (Mexico)</w:t>
      </w:r>
    </w:p>
    <w:p w:rsidR="0063743A" w:rsidRPr="00F112AB" w:rsidRDefault="0063743A" w:rsidP="0063743A">
      <w:pPr>
        <w:jc w:val="center"/>
        <w:rPr>
          <w:sz w:val="24"/>
          <w:szCs w:val="24"/>
        </w:rPr>
      </w:pPr>
      <w:r w:rsidRPr="00F112AB">
        <w:rPr>
          <w:sz w:val="24"/>
          <w:szCs w:val="24"/>
        </w:rPr>
        <w:t xml:space="preserve">Proyecto de Derechos </w:t>
      </w:r>
      <w:proofErr w:type="spellStart"/>
      <w:r w:rsidRPr="00F112AB">
        <w:rPr>
          <w:sz w:val="24"/>
          <w:szCs w:val="24"/>
        </w:rPr>
        <w:t>Económicos</w:t>
      </w:r>
      <w:proofErr w:type="spellEnd"/>
      <w:r w:rsidRPr="00F112AB">
        <w:rPr>
          <w:sz w:val="24"/>
          <w:szCs w:val="24"/>
        </w:rPr>
        <w:t xml:space="preserve">, </w:t>
      </w:r>
      <w:proofErr w:type="spellStart"/>
      <w:r w:rsidRPr="00F112AB">
        <w:rPr>
          <w:sz w:val="24"/>
          <w:szCs w:val="24"/>
        </w:rPr>
        <w:t>Sociales</w:t>
      </w:r>
      <w:proofErr w:type="spellEnd"/>
      <w:r w:rsidRPr="00F112AB">
        <w:rPr>
          <w:sz w:val="24"/>
          <w:szCs w:val="24"/>
        </w:rPr>
        <w:t xml:space="preserve"> y </w:t>
      </w:r>
      <w:proofErr w:type="spellStart"/>
      <w:r w:rsidRPr="00F112AB">
        <w:rPr>
          <w:sz w:val="24"/>
          <w:szCs w:val="24"/>
        </w:rPr>
        <w:t>Culturales</w:t>
      </w:r>
      <w:proofErr w:type="spellEnd"/>
      <w:r w:rsidRPr="00F112AB">
        <w:rPr>
          <w:sz w:val="24"/>
          <w:szCs w:val="24"/>
        </w:rPr>
        <w:t xml:space="preserve"> (Mexico)</w:t>
      </w:r>
    </w:p>
    <w:p w:rsidR="0063743A" w:rsidRPr="00F112AB" w:rsidRDefault="0063743A" w:rsidP="0063743A">
      <w:pPr>
        <w:jc w:val="center"/>
        <w:rPr>
          <w:sz w:val="24"/>
          <w:szCs w:val="24"/>
        </w:rPr>
      </w:pPr>
      <w:r w:rsidRPr="00F112AB">
        <w:rPr>
          <w:sz w:val="24"/>
          <w:szCs w:val="24"/>
        </w:rPr>
        <w:t xml:space="preserve">Red </w:t>
      </w:r>
      <w:proofErr w:type="spellStart"/>
      <w:r w:rsidRPr="00F112AB">
        <w:rPr>
          <w:sz w:val="24"/>
          <w:szCs w:val="24"/>
        </w:rPr>
        <w:t>Internacional</w:t>
      </w:r>
      <w:proofErr w:type="spellEnd"/>
      <w:r w:rsidRPr="00F112AB">
        <w:rPr>
          <w:sz w:val="24"/>
          <w:szCs w:val="24"/>
        </w:rPr>
        <w:t xml:space="preserve"> de Derechos </w:t>
      </w:r>
      <w:proofErr w:type="spellStart"/>
      <w:r w:rsidRPr="00F112AB">
        <w:rPr>
          <w:sz w:val="24"/>
          <w:szCs w:val="24"/>
        </w:rPr>
        <w:t>Humanos</w:t>
      </w:r>
      <w:proofErr w:type="spellEnd"/>
      <w:r w:rsidRPr="00F112AB">
        <w:rPr>
          <w:sz w:val="24"/>
          <w:szCs w:val="24"/>
        </w:rPr>
        <w:t xml:space="preserve"> (Switzerland)</w:t>
      </w:r>
    </w:p>
    <w:p w:rsidR="0063743A" w:rsidRPr="00F112AB" w:rsidRDefault="0063743A" w:rsidP="0063743A">
      <w:pPr>
        <w:jc w:val="center"/>
        <w:rPr>
          <w:sz w:val="24"/>
          <w:szCs w:val="24"/>
        </w:rPr>
      </w:pPr>
      <w:r w:rsidRPr="00F112AB">
        <w:rPr>
          <w:sz w:val="24"/>
          <w:szCs w:val="24"/>
        </w:rPr>
        <w:t>Rights and Accountability in Development (UK)</w:t>
      </w:r>
    </w:p>
    <w:p w:rsidR="0063743A" w:rsidRPr="00F112AB" w:rsidRDefault="0063743A" w:rsidP="0063743A">
      <w:pPr>
        <w:jc w:val="center"/>
        <w:rPr>
          <w:sz w:val="24"/>
          <w:szCs w:val="24"/>
        </w:rPr>
      </w:pPr>
      <w:proofErr w:type="spellStart"/>
      <w:r w:rsidRPr="00F112AB">
        <w:rPr>
          <w:sz w:val="24"/>
          <w:szCs w:val="24"/>
        </w:rPr>
        <w:t>Sahmakum</w:t>
      </w:r>
      <w:proofErr w:type="spellEnd"/>
      <w:r w:rsidRPr="00F112AB">
        <w:rPr>
          <w:sz w:val="24"/>
          <w:szCs w:val="24"/>
        </w:rPr>
        <w:t xml:space="preserve"> </w:t>
      </w:r>
      <w:proofErr w:type="spellStart"/>
      <w:r w:rsidRPr="00F112AB">
        <w:rPr>
          <w:sz w:val="24"/>
          <w:szCs w:val="24"/>
        </w:rPr>
        <w:t>Teang</w:t>
      </w:r>
      <w:proofErr w:type="spellEnd"/>
      <w:r w:rsidRPr="00F112AB">
        <w:rPr>
          <w:sz w:val="24"/>
          <w:szCs w:val="24"/>
        </w:rPr>
        <w:t xml:space="preserve"> </w:t>
      </w:r>
      <w:proofErr w:type="spellStart"/>
      <w:r w:rsidRPr="00F112AB">
        <w:rPr>
          <w:sz w:val="24"/>
          <w:szCs w:val="24"/>
        </w:rPr>
        <w:t>Tnaut</w:t>
      </w:r>
      <w:proofErr w:type="spellEnd"/>
      <w:r w:rsidRPr="00F112AB">
        <w:rPr>
          <w:sz w:val="24"/>
          <w:szCs w:val="24"/>
        </w:rPr>
        <w:t xml:space="preserve"> (Cambodia)</w:t>
      </w:r>
    </w:p>
    <w:p w:rsidR="0063743A" w:rsidRPr="00F112AB" w:rsidRDefault="0063743A" w:rsidP="0063743A">
      <w:pPr>
        <w:jc w:val="center"/>
        <w:rPr>
          <w:sz w:val="24"/>
          <w:szCs w:val="24"/>
        </w:rPr>
      </w:pPr>
      <w:proofErr w:type="spellStart"/>
      <w:r w:rsidRPr="00F112AB">
        <w:rPr>
          <w:sz w:val="24"/>
          <w:szCs w:val="24"/>
        </w:rPr>
        <w:t>Tebtebba</w:t>
      </w:r>
      <w:proofErr w:type="spellEnd"/>
      <w:r w:rsidRPr="00F112AB">
        <w:rPr>
          <w:sz w:val="24"/>
          <w:szCs w:val="24"/>
        </w:rPr>
        <w:t xml:space="preserve"> Foundation (Philippines)</w:t>
      </w:r>
    </w:p>
    <w:p w:rsidR="0063743A" w:rsidRPr="00F112AB" w:rsidRDefault="0063743A" w:rsidP="0063743A">
      <w:pPr>
        <w:jc w:val="center"/>
        <w:rPr>
          <w:sz w:val="24"/>
          <w:szCs w:val="24"/>
        </w:rPr>
      </w:pPr>
      <w:r w:rsidRPr="00F112AB">
        <w:rPr>
          <w:sz w:val="24"/>
          <w:szCs w:val="24"/>
        </w:rPr>
        <w:t xml:space="preserve">Terra de </w:t>
      </w:r>
      <w:proofErr w:type="spellStart"/>
      <w:r w:rsidRPr="00F112AB">
        <w:rPr>
          <w:sz w:val="24"/>
          <w:szCs w:val="24"/>
        </w:rPr>
        <w:t>Direitos</w:t>
      </w:r>
      <w:proofErr w:type="spellEnd"/>
      <w:r w:rsidRPr="00F112AB">
        <w:rPr>
          <w:sz w:val="24"/>
          <w:szCs w:val="24"/>
        </w:rPr>
        <w:t xml:space="preserve"> (Brazil)</w:t>
      </w:r>
    </w:p>
    <w:p w:rsidR="0063743A" w:rsidRPr="00F112AB" w:rsidRDefault="0063743A" w:rsidP="0063743A">
      <w:pPr>
        <w:jc w:val="center"/>
        <w:rPr>
          <w:sz w:val="24"/>
          <w:szCs w:val="24"/>
        </w:rPr>
      </w:pPr>
      <w:r w:rsidRPr="00F112AB">
        <w:rPr>
          <w:sz w:val="24"/>
          <w:szCs w:val="24"/>
        </w:rPr>
        <w:t>Video Volunteers (India)</w:t>
      </w:r>
    </w:p>
    <w:p w:rsidR="0063743A" w:rsidRDefault="0063743A" w:rsidP="0063743A">
      <w:pPr>
        <w:jc w:val="center"/>
      </w:pPr>
      <w:r w:rsidRPr="00F112AB">
        <w:rPr>
          <w:sz w:val="24"/>
          <w:szCs w:val="24"/>
        </w:rPr>
        <w:t>Zimbabwe Environmental</w:t>
      </w:r>
      <w:r>
        <w:t xml:space="preserve"> Law Association</w:t>
      </w:r>
    </w:p>
    <w:p w:rsidR="0063743A" w:rsidRPr="00F112AB" w:rsidRDefault="0063743A" w:rsidP="0063743A">
      <w:pPr>
        <w:jc w:val="center"/>
      </w:pPr>
    </w:p>
    <w:p w:rsidR="0063743A" w:rsidRDefault="0063743A"/>
    <w:sectPr w:rsidR="006374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43A" w:rsidRDefault="0063743A" w:rsidP="0063743A">
      <w:pPr>
        <w:spacing w:after="0" w:line="240" w:lineRule="auto"/>
      </w:pPr>
      <w:r>
        <w:separator/>
      </w:r>
    </w:p>
  </w:endnote>
  <w:endnote w:type="continuationSeparator" w:id="0">
    <w:p w:rsidR="0063743A" w:rsidRDefault="0063743A" w:rsidP="00637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43A" w:rsidRDefault="0063743A" w:rsidP="0063743A">
      <w:pPr>
        <w:spacing w:after="0" w:line="240" w:lineRule="auto"/>
      </w:pPr>
      <w:r>
        <w:separator/>
      </w:r>
    </w:p>
  </w:footnote>
  <w:footnote w:type="continuationSeparator" w:id="0">
    <w:p w:rsidR="0063743A" w:rsidRDefault="0063743A" w:rsidP="0063743A">
      <w:pPr>
        <w:spacing w:after="0" w:line="240" w:lineRule="auto"/>
      </w:pPr>
      <w:r>
        <w:continuationSeparator/>
      </w:r>
    </w:p>
  </w:footnote>
  <w:footnote w:id="1">
    <w:p w:rsidR="0063743A" w:rsidRPr="00C526AC" w:rsidRDefault="0063743A" w:rsidP="0063743A">
      <w:pPr>
        <w:pStyle w:val="FootnoteText"/>
        <w:rPr>
          <w:rFonts w:ascii="Times New Roman" w:hAnsi="Times New Roman" w:cs="Times New Roman"/>
          <w:lang w:val="en-GB"/>
        </w:rPr>
      </w:pPr>
      <w:r w:rsidRPr="00B82E53">
        <w:rPr>
          <w:rStyle w:val="FootnoteReference"/>
          <w:rFonts w:ascii="Times New Roman" w:hAnsi="Times New Roman" w:cs="Times New Roman"/>
        </w:rPr>
        <w:footnoteRef/>
      </w:r>
      <w:r w:rsidRPr="00B82E53">
        <w:rPr>
          <w:rFonts w:ascii="Times New Roman" w:hAnsi="Times New Roman" w:cs="Times New Roman"/>
        </w:rPr>
        <w:t xml:space="preserve"> </w:t>
      </w:r>
      <w:r w:rsidRPr="00C526AC">
        <w:rPr>
          <w:rFonts w:ascii="Times New Roman" w:hAnsi="Times New Roman" w:cs="Times New Roman"/>
        </w:rPr>
        <w:t xml:space="preserve">For more information, see </w:t>
      </w:r>
      <w:r w:rsidRPr="00C526AC">
        <w:rPr>
          <w:rFonts w:ascii="Times New Roman" w:eastAsia="Times New Roman" w:hAnsi="Times New Roman" w:cs="Times New Roman"/>
        </w:rPr>
        <w:t>ESCR-Net and FIDH Treaty Initiative:</w:t>
      </w:r>
      <w:r w:rsidRPr="00C526AC">
        <w:rPr>
          <w:rFonts w:ascii="Times New Roman" w:hAnsi="Times New Roman" w:cs="Times New Roman"/>
        </w:rPr>
        <w:t xml:space="preserve"> </w:t>
      </w:r>
      <w:hyperlink r:id="rId1">
        <w:r w:rsidRPr="00C526AC">
          <w:rPr>
            <w:rStyle w:val="InternetLink"/>
            <w:rFonts w:ascii="Times New Roman" w:hAnsi="Times New Roman" w:cs="Times New Roman"/>
          </w:rPr>
          <w:t>https://www.escr-net.org/corporate-accountability/treaty-initiative/materials</w:t>
        </w:r>
      </w:hyperlink>
      <w:r w:rsidRPr="00C526AC">
        <w:rPr>
          <w:rFonts w:ascii="Times New Roman" w:hAnsi="Times New Roman" w:cs="Times New Roman"/>
        </w:rPr>
        <w:t xml:space="preserve">.  </w:t>
      </w:r>
    </w:p>
  </w:footnote>
  <w:footnote w:id="2">
    <w:p w:rsidR="0063743A" w:rsidRDefault="0063743A" w:rsidP="0063743A">
      <w:pPr>
        <w:spacing w:after="0" w:line="240" w:lineRule="auto"/>
        <w:rPr>
          <w:rFonts w:ascii="Times New Roman" w:eastAsia="Times New Roman" w:hAnsi="Times New Roman" w:cs="Times New Roman"/>
          <w:sz w:val="20"/>
          <w:szCs w:val="20"/>
        </w:rPr>
      </w:pPr>
      <w:r w:rsidRPr="00B82E53">
        <w:rPr>
          <w:rStyle w:val="FootnoteReference"/>
          <w:rFonts w:ascii="Times New Roman" w:hAnsi="Times New Roman" w:cs="Times New Roman"/>
          <w:sz w:val="20"/>
          <w:szCs w:val="20"/>
        </w:rPr>
        <w:footnoteRef/>
      </w:r>
      <w:r w:rsidRPr="00C526AC">
        <w:rPr>
          <w:rFonts w:ascii="Times New Roman" w:hAnsi="Times New Roman" w:cs="Times New Roman"/>
          <w:sz w:val="20"/>
          <w:szCs w:val="20"/>
        </w:rPr>
        <w:t xml:space="preserve"> Access </w:t>
      </w:r>
      <w:r w:rsidRPr="00C526AC">
        <w:rPr>
          <w:rFonts w:ascii="Times New Roman" w:eastAsia="Times New Roman" w:hAnsi="Times New Roman" w:cs="Times New Roman"/>
          <w:sz w:val="20"/>
          <w:szCs w:val="20"/>
        </w:rPr>
        <w:t xml:space="preserve">collective regional CSO statements from Asia-Pacific, Africa and Latin America Treaty Initiative </w:t>
      </w:r>
    </w:p>
    <w:p w:rsidR="0063743A" w:rsidRPr="00B82E53" w:rsidRDefault="0063743A" w:rsidP="0063743A">
      <w:pPr>
        <w:spacing w:after="0" w:line="240" w:lineRule="auto"/>
        <w:rPr>
          <w:rFonts w:ascii="Times New Roman" w:hAnsi="Times New Roman" w:cs="Times New Roman"/>
          <w:sz w:val="20"/>
          <w:szCs w:val="20"/>
        </w:rPr>
      </w:pPr>
      <w:r w:rsidRPr="00C526AC">
        <w:rPr>
          <w:rFonts w:ascii="Times New Roman" w:eastAsia="Times New Roman" w:hAnsi="Times New Roman" w:cs="Times New Roman"/>
          <w:sz w:val="20"/>
          <w:szCs w:val="20"/>
        </w:rPr>
        <w:t xml:space="preserve">consultations at: </w:t>
      </w:r>
      <w:hyperlink r:id="rId2">
        <w:r w:rsidRPr="00C526AC">
          <w:rPr>
            <w:rStyle w:val="InternetLink"/>
            <w:rFonts w:ascii="Times New Roman" w:eastAsia="Times New Roman" w:hAnsi="Times New Roman" w:cs="Times New Roman"/>
            <w:sz w:val="20"/>
            <w:szCs w:val="20"/>
          </w:rPr>
          <w:t>https://www.escr-net.org/corporateaccountability/treatyinitiative</w:t>
        </w:r>
      </w:hyperlink>
      <w:r w:rsidRPr="00C526AC">
        <w:rPr>
          <w:rFonts w:ascii="Times New Roman" w:eastAsia="Times New Roman" w:hAnsi="Times New Roman" w:cs="Times New Roman"/>
          <w:sz w:val="20"/>
          <w:szCs w:val="20"/>
        </w:rPr>
        <w:t>.</w:t>
      </w:r>
    </w:p>
  </w:footnote>
  <w:footnote w:id="3">
    <w:p w:rsidR="0088070F" w:rsidRPr="00B82E53" w:rsidRDefault="0088070F" w:rsidP="0088070F">
      <w:pPr>
        <w:pStyle w:val="FootnoteText"/>
        <w:rPr>
          <w:rFonts w:ascii="Times New Roman" w:hAnsi="Times New Roman" w:cs="Times New Roman"/>
          <w:lang w:val="en-GB"/>
        </w:rPr>
      </w:pPr>
      <w:r w:rsidRPr="00B82E53">
        <w:rPr>
          <w:rStyle w:val="FootnoteReference"/>
          <w:rFonts w:ascii="Times New Roman" w:hAnsi="Times New Roman" w:cs="Times New Roman"/>
        </w:rPr>
        <w:footnoteRef/>
      </w:r>
      <w:r w:rsidRPr="00B82E53">
        <w:rPr>
          <w:rFonts w:ascii="Times New Roman" w:hAnsi="Times New Roman" w:cs="Times New Roman"/>
        </w:rPr>
        <w:t xml:space="preserve"> </w:t>
      </w:r>
      <w:r w:rsidRPr="00B82E53">
        <w:rPr>
          <w:rFonts w:ascii="Times New Roman" w:hAnsi="Times New Roman" w:cs="Times New Roman"/>
          <w:lang w:val="en-GB"/>
        </w:rPr>
        <w:t xml:space="preserve">The term ‘activity’ in this submission refers to all parts of </w:t>
      </w:r>
      <w:r>
        <w:rPr>
          <w:rFonts w:ascii="Times New Roman" w:hAnsi="Times New Roman" w:cs="Times New Roman"/>
          <w:lang w:val="en-GB"/>
        </w:rPr>
        <w:t>TNC-OBE</w:t>
      </w:r>
      <w:r w:rsidRPr="00B82E53">
        <w:rPr>
          <w:rFonts w:ascii="Times New Roman" w:hAnsi="Times New Roman" w:cs="Times New Roman"/>
          <w:lang w:val="en-GB"/>
        </w:rPr>
        <w:t xml:space="preserve"> operations, including but not limited to </w:t>
      </w:r>
      <w:r w:rsidRPr="00B82E53">
        <w:rPr>
          <w:rFonts w:ascii="Times New Roman" w:hAnsi="Times New Roman" w:cs="Times New Roman"/>
        </w:rPr>
        <w:t>policies, practices, products and business relationships.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31D83"/>
    <w:multiLevelType w:val="multilevel"/>
    <w:tmpl w:val="AC38730E"/>
    <w:lvl w:ilvl="0">
      <w:start w:val="1"/>
      <w:numFmt w:val="decimal"/>
      <w:lvlText w:val="%1."/>
      <w:lvlJc w:val="left"/>
      <w:pPr>
        <w:ind w:left="720" w:hanging="360"/>
      </w:p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43A"/>
    <w:rsid w:val="0063743A"/>
    <w:rsid w:val="006F3CC4"/>
    <w:rsid w:val="00741518"/>
    <w:rsid w:val="007462E9"/>
    <w:rsid w:val="0088070F"/>
    <w:rsid w:val="008A1F04"/>
    <w:rsid w:val="00F12613"/>
    <w:rsid w:val="00FA1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0F03B"/>
  <w15:chartTrackingRefBased/>
  <w15:docId w15:val="{B4459FC0-3B3C-4660-9874-566F72C9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37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43A"/>
    <w:rPr>
      <w:color w:val="0563C1" w:themeColor="hyperlink"/>
      <w:u w:val="single"/>
    </w:rPr>
  </w:style>
  <w:style w:type="paragraph" w:styleId="FootnoteText">
    <w:name w:val="footnote text"/>
    <w:aliases w:val="5_G,Footnote Text Char Char,Footnote Text Char Char Char Char Char,Footnote Text Char Char Char,Footnote Text Char Char Char Char Cha Char,Footnote Text Char1,Footnote Text Char1 Char Char,FOOTNOTES,fn,Car,single space,f"/>
    <w:basedOn w:val="Normal"/>
    <w:link w:val="FootnoteTextChar"/>
    <w:unhideWhenUsed/>
    <w:qFormat/>
    <w:rsid w:val="0063743A"/>
    <w:pPr>
      <w:spacing w:after="0" w:line="240" w:lineRule="auto"/>
    </w:pPr>
    <w:rPr>
      <w:sz w:val="20"/>
      <w:szCs w:val="20"/>
    </w:rPr>
  </w:style>
  <w:style w:type="character" w:customStyle="1" w:styleId="FootnoteTextChar">
    <w:name w:val="Footnote Text Char"/>
    <w:aliases w:val="5_G Char,Footnote Text Char Char Char1,Footnote Text Char Char Char Char Char Char,Footnote Text Char Char Char Char,Footnote Text Char Char Char Char Cha Char Char,Footnote Text Char1 Char,Footnote Text Char1 Char Char Char,fn Char"/>
    <w:basedOn w:val="DefaultParagraphFont"/>
    <w:link w:val="FootnoteText"/>
    <w:rsid w:val="0063743A"/>
    <w:rPr>
      <w:sz w:val="20"/>
      <w:szCs w:val="20"/>
    </w:rPr>
  </w:style>
  <w:style w:type="character" w:styleId="FootnoteReference">
    <w:name w:val="footnote reference"/>
    <w:aliases w:val="Footnote symbol Car Zchn Zchn Char,Footnote Car Zchn Zchn Char,Times 10 Point Car Zchn Zchn Char,Exposant 3 Point Car Zchn Zchn Char,Footnote Reference Superscript Car Zchn Zchn Char, Char Char Char Char Char Car Zchn Zchn Char,4_G Ch"/>
    <w:basedOn w:val="DefaultParagraphFont"/>
    <w:link w:val="FootnotesymbolCarZchnZchn"/>
    <w:uiPriority w:val="99"/>
    <w:unhideWhenUsed/>
    <w:qFormat/>
    <w:rsid w:val="0063743A"/>
    <w:rPr>
      <w:vertAlign w:val="superscript"/>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4_G,ftref,Ref"/>
    <w:basedOn w:val="Normal"/>
    <w:link w:val="FootnoteReference"/>
    <w:uiPriority w:val="99"/>
    <w:qFormat/>
    <w:rsid w:val="0063743A"/>
    <w:pPr>
      <w:suppressAutoHyphens/>
      <w:spacing w:line="240" w:lineRule="exact"/>
      <w:jc w:val="both"/>
    </w:pPr>
    <w:rPr>
      <w:vertAlign w:val="superscript"/>
    </w:rPr>
  </w:style>
  <w:style w:type="character" w:customStyle="1" w:styleId="InternetLink">
    <w:name w:val="Internet Link"/>
    <w:basedOn w:val="DefaultParagraphFont"/>
    <w:uiPriority w:val="99"/>
    <w:unhideWhenUsed/>
    <w:rsid w:val="0063743A"/>
    <w:rPr>
      <w:color w:val="0563C1" w:themeColor="hyperlink"/>
      <w:u w:val="single"/>
    </w:rPr>
  </w:style>
  <w:style w:type="paragraph" w:styleId="ListParagraph">
    <w:name w:val="List Paragraph"/>
    <w:basedOn w:val="Normal"/>
    <w:uiPriority w:val="34"/>
    <w:qFormat/>
    <w:rsid w:val="00880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cr-net.org/corporateaccountability/treatyinitiativ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www.forum-asia.org/wp" TargetMode="External"/><Relationship Id="rId4" Type="http://schemas.openxmlformats.org/officeDocument/2006/relationships/webSettings" Target="webSettings.xml"/><Relationship Id="rId9" Type="http://schemas.openxmlformats.org/officeDocument/2006/relationships/hyperlink" Target="http://www.treatymovement.com/"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escr-net.org/corporateaccountability/treatyinitiative" TargetMode="External"/><Relationship Id="rId1" Type="http://schemas.openxmlformats.org/officeDocument/2006/relationships/hyperlink" Target="https://www.escr-net.org/corporate-accountability/treaty-initiative/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69F5A-2DB1-4F5C-9848-AF82DE454DCB}"/>
</file>

<file path=customXml/itemProps2.xml><?xml version="1.0" encoding="utf-8"?>
<ds:datastoreItem xmlns:ds="http://schemas.openxmlformats.org/officeDocument/2006/customXml" ds:itemID="{77B3A408-9251-493A-B511-ED20282D0D5E}"/>
</file>

<file path=customXml/itemProps3.xml><?xml version="1.0" encoding="utf-8"?>
<ds:datastoreItem xmlns:ds="http://schemas.openxmlformats.org/officeDocument/2006/customXml" ds:itemID="{8BDFAA38-B2B1-4405-A97A-4FA68E833592}"/>
</file>

<file path=docProps/app.xml><?xml version="1.0" encoding="utf-8"?>
<Properties xmlns="http://schemas.openxmlformats.org/officeDocument/2006/extended-properties" xmlns:vt="http://schemas.openxmlformats.org/officeDocument/2006/docPropsVTypes">
  <Template>Normal.dotm</Template>
  <TotalTime>15</TotalTime>
  <Pages>7</Pages>
  <Words>2281</Words>
  <Characters>13872</Characters>
  <Application>Microsoft Office Word</Application>
  <DocSecurity>0</DocSecurity>
  <Lines>266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ESCR-Net.</dc:creator>
  <cp:keywords/>
  <dc:description/>
  <cp:lastModifiedBy>ESCR-Net.</cp:lastModifiedBy>
  <cp:revision>2</cp:revision>
  <dcterms:created xsi:type="dcterms:W3CDTF">2016-10-04T23:06:00Z</dcterms:created>
  <dcterms:modified xsi:type="dcterms:W3CDTF">2016-10-05T00:02:00Z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3789600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