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584" w:rsidRDefault="00EE5584" w:rsidP="00EE5584"/>
    <w:p w:rsidR="00EE5584" w:rsidRDefault="00EE5584" w:rsidP="00EE5584">
      <w:pPr>
        <w:spacing w:after="0"/>
        <w:jc w:val="center"/>
      </w:pPr>
      <w:r w:rsidRPr="007D49F3">
        <w:rPr>
          <w:noProof/>
        </w:rPr>
        <w:drawing>
          <wp:inline distT="0" distB="0" distL="0" distR="0" wp14:anchorId="5495CDA0" wp14:editId="11FE4579">
            <wp:extent cx="4499321" cy="999369"/>
            <wp:effectExtent l="0" t="0" r="0" b="0"/>
            <wp:docPr id="3"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7"/>
                    <a:srcRect/>
                    <a:stretch>
                      <a:fillRect/>
                    </a:stretch>
                  </pic:blipFill>
                  <pic:spPr>
                    <a:xfrm>
                      <a:off x="0" y="0"/>
                      <a:ext cx="4499321" cy="999369"/>
                    </a:xfrm>
                    <a:prstGeom prst="rect">
                      <a:avLst/>
                    </a:prstGeom>
                    <a:ln/>
                  </pic:spPr>
                </pic:pic>
              </a:graphicData>
            </a:graphic>
          </wp:inline>
        </w:drawing>
      </w:r>
    </w:p>
    <w:p w:rsidR="00EE5584" w:rsidRDefault="00EE5584" w:rsidP="00EE5584">
      <w:pPr>
        <w:spacing w:after="0"/>
        <w:jc w:val="center"/>
        <w:rPr>
          <w:rFonts w:ascii="Times New Roman" w:eastAsia="Times New Roman" w:hAnsi="Times New Roman" w:cs="Times New Roman"/>
        </w:rPr>
      </w:pPr>
    </w:p>
    <w:p w:rsidR="00EE5584" w:rsidRPr="00AF27BF" w:rsidRDefault="00EE5584" w:rsidP="00EE5584">
      <w:pPr>
        <w:spacing w:after="0"/>
        <w:jc w:val="center"/>
        <w:rPr>
          <w:rFonts w:ascii="Times New Roman" w:eastAsia="Times New Roman" w:hAnsi="Times New Roman" w:cs="Times New Roman"/>
        </w:rPr>
      </w:pPr>
    </w:p>
    <w:p w:rsidR="00EE5584" w:rsidRPr="00B82E53" w:rsidRDefault="00EE5584" w:rsidP="00EE5584">
      <w:pPr>
        <w:spacing w:after="0"/>
        <w:jc w:val="center"/>
        <w:rPr>
          <w:rFonts w:ascii="Times New Roman" w:eastAsia="Times New Roman" w:hAnsi="Times New Roman" w:cs="Times New Roman"/>
          <w:b/>
        </w:rPr>
      </w:pPr>
      <w:r w:rsidRPr="00B82E53">
        <w:rPr>
          <w:rFonts w:ascii="Times New Roman" w:eastAsia="Times New Roman" w:hAnsi="Times New Roman" w:cs="Times New Roman"/>
          <w:b/>
        </w:rPr>
        <w:t>Corporate Accountability Working Group (CAWG) of the International Network for Economic, Social and Cultural Rights (ESCR-Net)</w:t>
      </w:r>
    </w:p>
    <w:p w:rsidR="00EE5584" w:rsidRDefault="00EE5584" w:rsidP="00EE5584">
      <w:pPr>
        <w:spacing w:after="0"/>
        <w:jc w:val="center"/>
        <w:rPr>
          <w:rFonts w:ascii="Times New Roman" w:eastAsia="Times New Roman" w:hAnsi="Times New Roman" w:cs="Times New Roman"/>
          <w:b/>
          <w:i/>
        </w:rPr>
      </w:pPr>
    </w:p>
    <w:p w:rsidR="00EE5584" w:rsidRDefault="00EE5584" w:rsidP="00EE5584">
      <w:pPr>
        <w:spacing w:after="0"/>
        <w:jc w:val="center"/>
        <w:rPr>
          <w:rFonts w:ascii="Times New Roman" w:eastAsia="Times New Roman" w:hAnsi="Times New Roman" w:cs="Times New Roman"/>
          <w:b/>
          <w:sz w:val="32"/>
          <w:szCs w:val="32"/>
        </w:rPr>
      </w:pPr>
      <w:r w:rsidRPr="00B82E53">
        <w:rPr>
          <w:rFonts w:ascii="Times New Roman" w:eastAsia="Times New Roman" w:hAnsi="Times New Roman" w:cs="Times New Roman"/>
          <w:b/>
          <w:sz w:val="32"/>
          <w:szCs w:val="32"/>
        </w:rPr>
        <w:t xml:space="preserve">Submission to the United Nations’ Open-ended Intergovernmental Working Group on Transnational Corporations and Other Business Enterprises with Respect to Human Rights (IGWG) </w:t>
      </w:r>
    </w:p>
    <w:p w:rsidR="00EE5584" w:rsidRDefault="00EE5584" w:rsidP="00EE5584">
      <w:pPr>
        <w:spacing w:after="0"/>
        <w:jc w:val="center"/>
        <w:rPr>
          <w:rFonts w:ascii="Times New Roman" w:eastAsia="Times New Roman" w:hAnsi="Times New Roman" w:cs="Times New Roman"/>
          <w:b/>
        </w:rPr>
      </w:pPr>
    </w:p>
    <w:p w:rsidR="00EE5584" w:rsidRPr="00B82E53" w:rsidRDefault="00EE5584" w:rsidP="00EE5584">
      <w:pPr>
        <w:spacing w:after="0"/>
        <w:jc w:val="center"/>
        <w:rPr>
          <w:rFonts w:ascii="Times New Roman" w:eastAsia="Times New Roman" w:hAnsi="Times New Roman" w:cs="Times New Roman"/>
          <w:b/>
        </w:rPr>
      </w:pPr>
      <w:r>
        <w:rPr>
          <w:rFonts w:ascii="Times New Roman" w:eastAsia="Times New Roman" w:hAnsi="Times New Roman" w:cs="Times New Roman"/>
          <w:b/>
        </w:rPr>
        <w:t>S</w:t>
      </w:r>
      <w:r w:rsidRPr="00B82E53">
        <w:rPr>
          <w:rFonts w:ascii="Times New Roman" w:eastAsia="Times New Roman" w:hAnsi="Times New Roman" w:cs="Times New Roman"/>
          <w:b/>
        </w:rPr>
        <w:t>econd meeting of the IGWG at the Human Rights Council, October 24-28, 2016</w:t>
      </w:r>
    </w:p>
    <w:p w:rsidR="00EE5584" w:rsidRDefault="00EE5584" w:rsidP="00EE5584">
      <w:pPr>
        <w:spacing w:after="0"/>
        <w:rPr>
          <w:rFonts w:ascii="Times New Roman" w:eastAsia="Times New Roman" w:hAnsi="Times New Roman" w:cs="Times New Roman"/>
          <w:b/>
          <w:i/>
        </w:rPr>
      </w:pPr>
    </w:p>
    <w:p w:rsidR="00EE5584" w:rsidRPr="00AF27BF" w:rsidRDefault="00EE5584" w:rsidP="00EE5584">
      <w:pPr>
        <w:spacing w:after="0"/>
        <w:rPr>
          <w:rFonts w:ascii="Times New Roman" w:eastAsia="Times New Roman" w:hAnsi="Times New Roman" w:cs="Times New Roman"/>
        </w:rPr>
      </w:pPr>
      <w:r w:rsidRPr="00AF27BF">
        <w:rPr>
          <w:rFonts w:ascii="Times New Roman" w:eastAsia="Times New Roman" w:hAnsi="Times New Roman" w:cs="Times New Roman"/>
        </w:rPr>
        <w:t>We,</w:t>
      </w:r>
      <w:r w:rsidRPr="00AF27BF">
        <w:rPr>
          <w:rFonts w:ascii="Times New Roman" w:eastAsia="Times New Roman" w:hAnsi="Times New Roman" w:cs="Times New Roman"/>
          <w:i/>
        </w:rPr>
        <w:t xml:space="preserve"> </w:t>
      </w:r>
      <w:r w:rsidRPr="00AF27BF">
        <w:rPr>
          <w:rFonts w:ascii="Times New Roman" w:eastAsia="Times New Roman" w:hAnsi="Times New Roman" w:cs="Times New Roman"/>
        </w:rPr>
        <w:t xml:space="preserve">the undersigned members of the Corporate Accountability Working Group (CAWG) of the International Network for Economic, Social and Cultural Rights (ESCR-Net), jointly call upon the United Nations’ </w:t>
      </w:r>
      <w:r w:rsidRPr="00AF27BF">
        <w:rPr>
          <w:rFonts w:ascii="Times New Roman" w:eastAsia="Times New Roman" w:hAnsi="Times New Roman" w:cs="Times New Roman"/>
          <w:i/>
        </w:rPr>
        <w:t>Open-ended Intergovernmental Working Group on Transnational Corporations and Other Business Enterprises with Respect to Human Rights</w:t>
      </w:r>
      <w:r w:rsidRPr="00AF27BF">
        <w:rPr>
          <w:rFonts w:ascii="Times New Roman" w:eastAsia="Times New Roman" w:hAnsi="Times New Roman" w:cs="Times New Roman"/>
        </w:rPr>
        <w:t xml:space="preserve"> (IGWG) to include the elements outlined in this statement within any draft materials the IGWG develops to outline the content of the forthcoming binding international instrument (Treaty). We also reaffirm our continuing commitment to support the important activities of the IGWG in the process towards developing and seeking adoption for the Treaty.  </w:t>
      </w:r>
    </w:p>
    <w:p w:rsidR="00EE5584" w:rsidRPr="00AF27BF" w:rsidRDefault="00EE5584" w:rsidP="00EE5584">
      <w:pPr>
        <w:spacing w:after="0"/>
        <w:rPr>
          <w:rFonts w:ascii="Times New Roman" w:eastAsia="Times New Roman" w:hAnsi="Times New Roman" w:cs="Times New Roman"/>
        </w:rPr>
      </w:pPr>
    </w:p>
    <w:p w:rsidR="00EE5584" w:rsidRDefault="00EE5584" w:rsidP="00EE5584">
      <w:pPr>
        <w:spacing w:after="0"/>
        <w:rPr>
          <w:rFonts w:ascii="Times New Roman" w:eastAsia="Times New Roman" w:hAnsi="Times New Roman" w:cs="Times New Roman"/>
        </w:rPr>
      </w:pPr>
      <w:r w:rsidRPr="00AF27BF">
        <w:rPr>
          <w:rFonts w:ascii="Times New Roman" w:eastAsia="Times New Roman" w:hAnsi="Times New Roman" w:cs="Times New Roman"/>
        </w:rPr>
        <w:t xml:space="preserve">Over the course of the past two years CAWG has led a </w:t>
      </w:r>
      <w:hyperlink r:id="rId8">
        <w:r>
          <w:rPr>
            <w:rStyle w:val="InternetLink"/>
            <w:rFonts w:ascii="Times New Roman" w:eastAsia="Times New Roman" w:hAnsi="Times New Roman" w:cs="Times New Roman"/>
          </w:rPr>
          <w:t>worldwide consultation</w:t>
        </w:r>
      </w:hyperlink>
      <w:r>
        <w:rPr>
          <w:rFonts w:ascii="Times New Roman" w:eastAsia="Times New Roman" w:hAnsi="Times New Roman" w:cs="Times New Roman"/>
        </w:rPr>
        <w:t xml:space="preserve"> with over 150 civil society </w:t>
      </w:r>
      <w:r w:rsidRPr="00AF27BF">
        <w:rPr>
          <w:rFonts w:ascii="Times New Roman" w:eastAsia="Times New Roman" w:hAnsi="Times New Roman" w:cs="Times New Roman"/>
        </w:rPr>
        <w:t>organisations (CSOs), including in-person consultations with our members and partners in Asia-Pacific, Africa and Latin America, and online consultations with civil society organisations (CSOs) from all regions.</w:t>
      </w:r>
      <w:r w:rsidRPr="00AF27BF">
        <w:rPr>
          <w:rStyle w:val="FootnoteReference"/>
          <w:rFonts w:ascii="Times New Roman" w:eastAsia="Times New Roman" w:hAnsi="Times New Roman" w:cs="Times New Roman"/>
        </w:rPr>
        <w:footnoteReference w:id="1"/>
      </w:r>
      <w:r w:rsidRPr="00AF27BF">
        <w:rPr>
          <w:rFonts w:ascii="Times New Roman" w:eastAsia="Times New Roman" w:hAnsi="Times New Roman" w:cs="Times New Roman"/>
        </w:rPr>
        <w:t xml:space="preserve"> This s</w:t>
      </w:r>
      <w:r>
        <w:rPr>
          <w:rFonts w:ascii="Times New Roman" w:eastAsia="Times New Roman" w:hAnsi="Times New Roman" w:cs="Times New Roman"/>
        </w:rPr>
        <w:t>ubmission</w:t>
      </w:r>
      <w:r w:rsidRPr="00AF27BF">
        <w:rPr>
          <w:rFonts w:ascii="Times New Roman" w:eastAsia="Times New Roman" w:hAnsi="Times New Roman" w:cs="Times New Roman"/>
        </w:rPr>
        <w:t xml:space="preserve"> is a reflection of the priorities that emerged out of these consultations.</w:t>
      </w:r>
      <w:r w:rsidRPr="00AF27BF">
        <w:rPr>
          <w:rStyle w:val="FootnoteReference"/>
          <w:rFonts w:ascii="Times New Roman" w:eastAsia="Times New Roman" w:hAnsi="Times New Roman" w:cs="Times New Roman"/>
        </w:rPr>
        <w:footnoteReference w:id="2"/>
      </w:r>
      <w:r w:rsidRPr="00AF27BF">
        <w:rPr>
          <w:rFonts w:ascii="Times New Roman" w:eastAsia="Times New Roman" w:hAnsi="Times New Roman" w:cs="Times New Roman"/>
        </w:rPr>
        <w:t xml:space="preserve"> ESCR-Net is also actively engaged in the global </w:t>
      </w:r>
      <w:hyperlink r:id="rId9" w:history="1">
        <w:r w:rsidRPr="001128E9">
          <w:rPr>
            <w:rStyle w:val="Hyperlink"/>
            <w:rFonts w:ascii="Times New Roman" w:eastAsia="Times New Roman" w:hAnsi="Times New Roman" w:cs="Times New Roman"/>
          </w:rPr>
          <w:t>Treaty Alliance</w:t>
        </w:r>
      </w:hyperlink>
      <w:r w:rsidRPr="00AF27BF">
        <w:rPr>
          <w:rFonts w:ascii="Times New Roman" w:eastAsia="Times New Roman" w:hAnsi="Times New Roman" w:cs="Times New Roman"/>
        </w:rPr>
        <w:t xml:space="preserve">, and supports the collective Alliance statements. </w:t>
      </w:r>
    </w:p>
    <w:p w:rsidR="00EE5584" w:rsidRDefault="00EE5584" w:rsidP="00EE5584">
      <w:pPr>
        <w:spacing w:after="0"/>
        <w:rPr>
          <w:rFonts w:ascii="Times New Roman" w:eastAsia="Times New Roman" w:hAnsi="Times New Roman" w:cs="Times New Roman"/>
        </w:rPr>
      </w:pPr>
    </w:p>
    <w:p w:rsidR="000B311B" w:rsidRDefault="000B311B" w:rsidP="000B311B">
      <w:pPr>
        <w:spacing w:after="0"/>
        <w:ind w:firstLine="540"/>
        <w:rPr>
          <w:rFonts w:ascii="Times New Roman" w:hAnsi="Times New Roman" w:cs="Times New Roman"/>
        </w:rPr>
      </w:pPr>
      <w:r>
        <w:rPr>
          <w:rFonts w:ascii="Times New Roman" w:hAnsi="Times New Roman" w:cs="Times New Roman"/>
        </w:rPr>
        <w:t xml:space="preserve">In our first submission of 2016 to the IGWG, we recommend the Treaty </w:t>
      </w:r>
      <w:r w:rsidRPr="00AF27BF">
        <w:rPr>
          <w:rFonts w:ascii="Times New Roman" w:hAnsi="Times New Roman" w:cs="Times New Roman"/>
        </w:rPr>
        <w:t xml:space="preserve">reflect the realities of current </w:t>
      </w:r>
      <w:r>
        <w:rPr>
          <w:rFonts w:ascii="Times New Roman" w:hAnsi="Times New Roman" w:cs="Times New Roman"/>
        </w:rPr>
        <w:t>TNC-OBE</w:t>
      </w:r>
      <w:r w:rsidRPr="00AF27BF">
        <w:rPr>
          <w:rFonts w:ascii="Times New Roman" w:hAnsi="Times New Roman" w:cs="Times New Roman"/>
        </w:rPr>
        <w:t xml:space="preserve"> operations and their impact</w:t>
      </w:r>
      <w:r>
        <w:rPr>
          <w:rFonts w:ascii="Times New Roman" w:hAnsi="Times New Roman" w:cs="Times New Roman"/>
        </w:rPr>
        <w:t xml:space="preserve"> globally</w:t>
      </w:r>
      <w:r w:rsidRPr="00AF27BF">
        <w:rPr>
          <w:rFonts w:ascii="Times New Roman" w:hAnsi="Times New Roman" w:cs="Times New Roman"/>
        </w:rPr>
        <w:t xml:space="preserve">, the Treaty should </w:t>
      </w:r>
      <w:r w:rsidRPr="00AF27BF">
        <w:rPr>
          <w:rFonts w:ascii="Times New Roman" w:hAnsi="Times New Roman" w:cs="Times New Roman"/>
          <w:b/>
        </w:rPr>
        <w:t>reaffirm the primacy of human rights</w:t>
      </w:r>
      <w:r>
        <w:rPr>
          <w:rFonts w:ascii="Times New Roman" w:hAnsi="Times New Roman" w:cs="Times New Roman"/>
          <w:b/>
        </w:rPr>
        <w:t xml:space="preserve"> obligations</w:t>
      </w:r>
      <w:r w:rsidRPr="00AF27BF">
        <w:rPr>
          <w:rFonts w:ascii="Times New Roman" w:hAnsi="Times New Roman" w:cs="Times New Roman"/>
          <w:b/>
        </w:rPr>
        <w:t xml:space="preserve"> </w:t>
      </w:r>
      <w:r w:rsidRPr="00AF27BF">
        <w:rPr>
          <w:rFonts w:ascii="Times New Roman" w:hAnsi="Times New Roman" w:cs="Times New Roman"/>
        </w:rPr>
        <w:t xml:space="preserve">(Section 2.1), </w:t>
      </w:r>
      <w:r w:rsidRPr="00B82E53">
        <w:rPr>
          <w:rFonts w:ascii="Times New Roman" w:hAnsi="Times New Roman" w:cs="Times New Roman"/>
          <w:b/>
        </w:rPr>
        <w:t>cover</w:t>
      </w:r>
      <w:r w:rsidRPr="00AF27BF">
        <w:rPr>
          <w:rFonts w:ascii="Times New Roman" w:hAnsi="Times New Roman" w:cs="Times New Roman"/>
        </w:rPr>
        <w:t xml:space="preserve"> </w:t>
      </w:r>
      <w:r w:rsidRPr="00AF27BF">
        <w:rPr>
          <w:rFonts w:ascii="Times New Roman" w:hAnsi="Times New Roman" w:cs="Times New Roman"/>
          <w:b/>
        </w:rPr>
        <w:t xml:space="preserve">all human rights </w:t>
      </w:r>
      <w:r w:rsidRPr="00AF27BF">
        <w:rPr>
          <w:rFonts w:ascii="Times New Roman" w:hAnsi="Times New Roman" w:cs="Times New Roman"/>
        </w:rPr>
        <w:t>(Section 2.2)</w:t>
      </w:r>
      <w:r w:rsidRPr="00AF27BF">
        <w:rPr>
          <w:rFonts w:ascii="Times New Roman" w:hAnsi="Times New Roman" w:cs="Times New Roman"/>
          <w:b/>
        </w:rPr>
        <w:t xml:space="preserve"> </w:t>
      </w:r>
      <w:r w:rsidRPr="00AF27BF">
        <w:rPr>
          <w:rFonts w:ascii="Times New Roman" w:hAnsi="Times New Roman" w:cs="Times New Roman"/>
        </w:rPr>
        <w:t xml:space="preserve">and be </w:t>
      </w:r>
      <w:r w:rsidRPr="00AF27BF">
        <w:rPr>
          <w:rFonts w:ascii="Times New Roman" w:hAnsi="Times New Roman" w:cs="Times New Roman"/>
          <w:b/>
        </w:rPr>
        <w:t xml:space="preserve">applicable to all </w:t>
      </w:r>
      <w:r>
        <w:rPr>
          <w:rFonts w:ascii="Times New Roman" w:hAnsi="Times New Roman" w:cs="Times New Roman"/>
          <w:b/>
        </w:rPr>
        <w:t>TNC-OBE</w:t>
      </w:r>
      <w:r w:rsidRPr="00AF27BF">
        <w:rPr>
          <w:rFonts w:ascii="Times New Roman" w:hAnsi="Times New Roman" w:cs="Times New Roman"/>
          <w:b/>
        </w:rPr>
        <w:t xml:space="preserve">, </w:t>
      </w:r>
      <w:r>
        <w:rPr>
          <w:rFonts w:ascii="Times New Roman" w:hAnsi="Times New Roman" w:cs="Times New Roman"/>
          <w:b/>
        </w:rPr>
        <w:t>but primarily address</w:t>
      </w:r>
      <w:r w:rsidRPr="00AF27BF">
        <w:rPr>
          <w:rFonts w:ascii="Times New Roman" w:hAnsi="Times New Roman" w:cs="Times New Roman"/>
          <w:b/>
        </w:rPr>
        <w:t xml:space="preserve"> </w:t>
      </w:r>
      <w:r>
        <w:rPr>
          <w:rFonts w:ascii="Times New Roman" w:hAnsi="Times New Roman" w:cs="Times New Roman"/>
          <w:b/>
        </w:rPr>
        <w:t xml:space="preserve">the activities of </w:t>
      </w:r>
      <w:r w:rsidRPr="00AF27BF">
        <w:rPr>
          <w:rFonts w:ascii="Times New Roman" w:hAnsi="Times New Roman" w:cs="Times New Roman"/>
          <w:b/>
        </w:rPr>
        <w:t xml:space="preserve">TNCs </w:t>
      </w:r>
      <w:r w:rsidRPr="00AF27BF">
        <w:rPr>
          <w:rFonts w:ascii="Times New Roman" w:hAnsi="Times New Roman" w:cs="Times New Roman"/>
        </w:rPr>
        <w:t>(Section 2.3).</w:t>
      </w:r>
    </w:p>
    <w:p w:rsidR="000B311B" w:rsidRPr="006F3CC4" w:rsidRDefault="000B311B" w:rsidP="000B311B">
      <w:pPr>
        <w:spacing w:after="0"/>
        <w:rPr>
          <w:rFonts w:ascii="Times New Roman" w:hAnsi="Times New Roman" w:cs="Times New Roman"/>
          <w:sz w:val="4"/>
          <w:szCs w:val="4"/>
        </w:rPr>
      </w:pPr>
    </w:p>
    <w:p w:rsidR="000B311B" w:rsidRPr="007462E9" w:rsidRDefault="000B311B" w:rsidP="000B311B">
      <w:pPr>
        <w:spacing w:after="0"/>
        <w:ind w:firstLine="540"/>
        <w:rPr>
          <w:rFonts w:ascii="Times New Roman" w:hAnsi="Times New Roman" w:cs="Times New Roman"/>
          <w:sz w:val="4"/>
          <w:szCs w:val="4"/>
        </w:rPr>
      </w:pPr>
      <w:r>
        <w:rPr>
          <w:rFonts w:ascii="Times New Roman" w:hAnsi="Times New Roman" w:cs="Times New Roman"/>
        </w:rPr>
        <w:t xml:space="preserve">Contained in </w:t>
      </w:r>
      <w:r>
        <w:rPr>
          <w:rFonts w:ascii="Times New Roman" w:hAnsi="Times New Roman" w:cs="Times New Roman"/>
        </w:rPr>
        <w:t>this</w:t>
      </w:r>
      <w:r>
        <w:rPr>
          <w:rFonts w:ascii="Times New Roman" w:hAnsi="Times New Roman" w:cs="Times New Roman"/>
        </w:rPr>
        <w:t xml:space="preserve"> second submission </w:t>
      </w:r>
      <w:r>
        <w:rPr>
          <w:rFonts w:ascii="Times New Roman" w:hAnsi="Times New Roman" w:cs="Times New Roman"/>
        </w:rPr>
        <w:t xml:space="preserve">of 2016 </w:t>
      </w:r>
      <w:r>
        <w:rPr>
          <w:rFonts w:ascii="Times New Roman" w:hAnsi="Times New Roman" w:cs="Times New Roman"/>
        </w:rPr>
        <w:t>to the IGWG, we recommend the need t</w:t>
      </w:r>
      <w:r w:rsidRPr="00AF27BF">
        <w:rPr>
          <w:rFonts w:ascii="Times New Roman" w:hAnsi="Times New Roman" w:cs="Times New Roman"/>
        </w:rPr>
        <w:t xml:space="preserve">o ensure an enabling environment for the enjoyment of human rights in practice, the Treaty should outline the framework requirements for </w:t>
      </w:r>
      <w:r>
        <w:rPr>
          <w:rFonts w:ascii="Times New Roman" w:hAnsi="Times New Roman" w:cs="Times New Roman"/>
          <w:b/>
        </w:rPr>
        <w:t>operationalizing the legal responsibilities of TNC-OBE to respect human rights</w:t>
      </w:r>
      <w:r>
        <w:rPr>
          <w:rFonts w:ascii="Times New Roman" w:hAnsi="Times New Roman" w:cs="Times New Roman"/>
        </w:rPr>
        <w:t xml:space="preserve"> (Section 2.4) and for ensuring</w:t>
      </w:r>
      <w:r w:rsidRPr="00AF27BF">
        <w:rPr>
          <w:rFonts w:ascii="Times New Roman" w:hAnsi="Times New Roman" w:cs="Times New Roman"/>
          <w:b/>
        </w:rPr>
        <w:t xml:space="preserve"> access to information </w:t>
      </w:r>
      <w:r>
        <w:rPr>
          <w:rFonts w:ascii="Times New Roman" w:hAnsi="Times New Roman" w:cs="Times New Roman"/>
          <w:b/>
        </w:rPr>
        <w:t xml:space="preserve">and participation </w:t>
      </w:r>
      <w:r w:rsidRPr="00AF27BF">
        <w:rPr>
          <w:rFonts w:ascii="Times New Roman" w:hAnsi="Times New Roman" w:cs="Times New Roman"/>
        </w:rPr>
        <w:t>(Section 2.</w:t>
      </w:r>
      <w:r>
        <w:rPr>
          <w:rFonts w:ascii="Times New Roman" w:hAnsi="Times New Roman" w:cs="Times New Roman"/>
        </w:rPr>
        <w:t>5</w:t>
      </w:r>
      <w:r w:rsidRPr="00AF27BF">
        <w:rPr>
          <w:rFonts w:ascii="Times New Roman" w:hAnsi="Times New Roman" w:cs="Times New Roman"/>
        </w:rPr>
        <w:t xml:space="preserve">), </w:t>
      </w:r>
      <w:r>
        <w:rPr>
          <w:rFonts w:ascii="Times New Roman" w:hAnsi="Times New Roman" w:cs="Times New Roman"/>
        </w:rPr>
        <w:t xml:space="preserve">and should </w:t>
      </w:r>
      <w:r w:rsidRPr="00AF27BF">
        <w:rPr>
          <w:rFonts w:ascii="Times New Roman" w:hAnsi="Times New Roman" w:cs="Times New Roman"/>
        </w:rPr>
        <w:lastRenderedPageBreak/>
        <w:t xml:space="preserve">affirm States’ </w:t>
      </w:r>
      <w:r w:rsidRPr="00AF27BF">
        <w:rPr>
          <w:rFonts w:ascii="Times New Roman" w:hAnsi="Times New Roman" w:cs="Times New Roman"/>
          <w:b/>
        </w:rPr>
        <w:t>extraterritorial obligations</w:t>
      </w:r>
      <w:r w:rsidRPr="00AF27BF">
        <w:rPr>
          <w:rFonts w:ascii="Times New Roman" w:hAnsi="Times New Roman" w:cs="Times New Roman"/>
        </w:rPr>
        <w:t xml:space="preserve"> (Section 2.6). </w:t>
      </w:r>
      <w:r>
        <w:rPr>
          <w:rFonts w:ascii="Times New Roman" w:hAnsi="Times New Roman" w:cs="Times New Roman"/>
        </w:rPr>
        <w:br/>
      </w:r>
    </w:p>
    <w:p w:rsidR="000B311B" w:rsidRDefault="000B311B" w:rsidP="000B311B">
      <w:pPr>
        <w:spacing w:after="0"/>
        <w:ind w:firstLine="540"/>
        <w:rPr>
          <w:rFonts w:ascii="Times New Roman" w:hAnsi="Times New Roman" w:cs="Times New Roman"/>
        </w:rPr>
      </w:pPr>
      <w:r>
        <w:rPr>
          <w:rFonts w:ascii="Times New Roman" w:hAnsi="Times New Roman" w:cs="Times New Roman"/>
        </w:rPr>
        <w:t>In this third submission to the IGWG</w:t>
      </w:r>
      <w:r w:rsidRPr="00AF27BF">
        <w:rPr>
          <w:rFonts w:ascii="Times New Roman" w:hAnsi="Times New Roman" w:cs="Times New Roman"/>
        </w:rPr>
        <w:t xml:space="preserve"> </w:t>
      </w:r>
      <w:r>
        <w:rPr>
          <w:rFonts w:ascii="Times New Roman" w:hAnsi="Times New Roman" w:cs="Times New Roman"/>
        </w:rPr>
        <w:t>we recommend that, in order t</w:t>
      </w:r>
      <w:r w:rsidRPr="00AF27BF">
        <w:rPr>
          <w:rFonts w:ascii="Times New Roman" w:hAnsi="Times New Roman" w:cs="Times New Roman"/>
        </w:rPr>
        <w:t xml:space="preserve">o facilitate access to justice for persons </w:t>
      </w:r>
      <w:r>
        <w:rPr>
          <w:rFonts w:ascii="Times New Roman" w:hAnsi="Times New Roman" w:cs="Times New Roman"/>
        </w:rPr>
        <w:t>whose human rights enjoyment is impaired by</w:t>
      </w:r>
      <w:r w:rsidRPr="00AF27BF">
        <w:rPr>
          <w:rFonts w:ascii="Times New Roman" w:hAnsi="Times New Roman" w:cs="Times New Roman"/>
        </w:rPr>
        <w:t xml:space="preserve"> </w:t>
      </w:r>
      <w:r>
        <w:rPr>
          <w:rFonts w:ascii="Times New Roman" w:hAnsi="Times New Roman" w:cs="Times New Roman"/>
        </w:rPr>
        <w:t>TNC-OBE</w:t>
      </w:r>
      <w:r w:rsidRPr="00AF27BF">
        <w:rPr>
          <w:rFonts w:ascii="Times New Roman" w:hAnsi="Times New Roman" w:cs="Times New Roman"/>
        </w:rPr>
        <w:t xml:space="preserve"> activities, the Treaty should address legal and practical obstacles to redress through framework requirements regarding</w:t>
      </w:r>
      <w:r w:rsidRPr="00AF27BF">
        <w:rPr>
          <w:rFonts w:ascii="Times New Roman" w:hAnsi="Times New Roman" w:cs="Times New Roman"/>
          <w:b/>
        </w:rPr>
        <w:t xml:space="preserve"> access to justice</w:t>
      </w:r>
      <w:r w:rsidRPr="00AF27BF">
        <w:rPr>
          <w:rFonts w:ascii="Times New Roman" w:hAnsi="Times New Roman" w:cs="Times New Roman"/>
        </w:rPr>
        <w:t xml:space="preserve"> (Section 2.</w:t>
      </w:r>
      <w:r>
        <w:rPr>
          <w:rFonts w:ascii="Times New Roman" w:hAnsi="Times New Roman" w:cs="Times New Roman"/>
        </w:rPr>
        <w:t>7</w:t>
      </w:r>
      <w:r w:rsidRPr="00AF27BF">
        <w:rPr>
          <w:rFonts w:ascii="Times New Roman" w:hAnsi="Times New Roman" w:cs="Times New Roman"/>
        </w:rPr>
        <w:t xml:space="preserve">) and protection of </w:t>
      </w:r>
      <w:r w:rsidRPr="00AF27BF">
        <w:rPr>
          <w:rFonts w:ascii="Times New Roman" w:hAnsi="Times New Roman" w:cs="Times New Roman"/>
          <w:b/>
        </w:rPr>
        <w:t>human rights defenders</w:t>
      </w:r>
      <w:r w:rsidRPr="00AF27BF">
        <w:rPr>
          <w:rFonts w:ascii="Times New Roman" w:hAnsi="Times New Roman" w:cs="Times New Roman"/>
        </w:rPr>
        <w:t xml:space="preserve"> (Section </w:t>
      </w:r>
      <w:r>
        <w:rPr>
          <w:rFonts w:ascii="Times New Roman" w:hAnsi="Times New Roman" w:cs="Times New Roman"/>
        </w:rPr>
        <w:t>2.8</w:t>
      </w:r>
      <w:r w:rsidRPr="00AF27BF">
        <w:rPr>
          <w:rFonts w:ascii="Times New Roman" w:hAnsi="Times New Roman" w:cs="Times New Roman"/>
        </w:rPr>
        <w:t xml:space="preserve">). </w:t>
      </w:r>
      <w:r>
        <w:rPr>
          <w:rFonts w:ascii="Times New Roman" w:hAnsi="Times New Roman" w:cs="Times New Roman"/>
        </w:rPr>
        <w:t xml:space="preserve"> </w:t>
      </w:r>
    </w:p>
    <w:p w:rsidR="000B311B" w:rsidRPr="007054BC" w:rsidRDefault="000B311B" w:rsidP="000B311B">
      <w:pPr>
        <w:spacing w:after="0"/>
        <w:ind w:firstLine="540"/>
        <w:rPr>
          <w:rFonts w:ascii="Times New Roman" w:hAnsi="Times New Roman" w:cs="Times New Roman"/>
          <w:sz w:val="4"/>
          <w:szCs w:val="4"/>
        </w:rPr>
      </w:pPr>
    </w:p>
    <w:p w:rsidR="000B311B" w:rsidRDefault="000B311B" w:rsidP="000B311B">
      <w:pPr>
        <w:spacing w:after="0"/>
        <w:ind w:firstLine="540"/>
        <w:rPr>
          <w:rFonts w:ascii="Times New Roman" w:hAnsi="Times New Roman" w:cs="Times New Roman"/>
        </w:rPr>
      </w:pPr>
      <w:r w:rsidRPr="007054BC">
        <w:rPr>
          <w:rFonts w:ascii="Times New Roman" w:hAnsi="Times New Roman" w:cs="Times New Roman"/>
        </w:rPr>
        <w:t xml:space="preserve">In our fourth and final submission of 2016 to the IGWG we recommend that specific consideration be given to the need for the Treaty to consider addressing the disproportionate influence of corporations on policy making by addressing the </w:t>
      </w:r>
      <w:r w:rsidRPr="007054BC">
        <w:rPr>
          <w:rFonts w:ascii="Times New Roman" w:hAnsi="Times New Roman" w:cs="Times New Roman"/>
          <w:b/>
        </w:rPr>
        <w:t>prevalence of</w:t>
      </w:r>
      <w:r w:rsidRPr="007054BC">
        <w:rPr>
          <w:rFonts w:ascii="Times New Roman" w:hAnsi="Times New Roman" w:cs="Times New Roman"/>
        </w:rPr>
        <w:t xml:space="preserve"> ‘</w:t>
      </w:r>
      <w:r w:rsidRPr="007054BC">
        <w:rPr>
          <w:rFonts w:ascii="Times New Roman" w:hAnsi="Times New Roman" w:cs="Times New Roman"/>
          <w:b/>
        </w:rPr>
        <w:t xml:space="preserve">corporate capture’ </w:t>
      </w:r>
      <w:r w:rsidRPr="007054BC">
        <w:rPr>
          <w:rFonts w:ascii="Times New Roman" w:hAnsi="Times New Roman" w:cs="Times New Roman"/>
        </w:rPr>
        <w:t xml:space="preserve">(Section 2.9), address the impacts of TNC-OBE activity from a </w:t>
      </w:r>
      <w:r w:rsidRPr="007054BC">
        <w:rPr>
          <w:rFonts w:ascii="Times New Roman" w:hAnsi="Times New Roman" w:cs="Times New Roman"/>
          <w:b/>
        </w:rPr>
        <w:t xml:space="preserve">gender </w:t>
      </w:r>
      <w:r w:rsidRPr="007054BC">
        <w:rPr>
          <w:rFonts w:ascii="Times New Roman" w:hAnsi="Times New Roman" w:cs="Times New Roman"/>
        </w:rPr>
        <w:t xml:space="preserve">perspective (Section 2.10) and consider the rights of </w:t>
      </w:r>
      <w:r w:rsidRPr="007054BC">
        <w:rPr>
          <w:rFonts w:ascii="Times New Roman" w:hAnsi="Times New Roman" w:cs="Times New Roman"/>
          <w:b/>
        </w:rPr>
        <w:t>indigenous peoples</w:t>
      </w:r>
      <w:r w:rsidRPr="007054BC">
        <w:rPr>
          <w:rFonts w:ascii="Times New Roman" w:hAnsi="Times New Roman" w:cs="Times New Roman"/>
        </w:rPr>
        <w:t xml:space="preserve"> (Section 2.11), as well as strengthen effective oversight of TNC-OBE activities in </w:t>
      </w:r>
      <w:r w:rsidRPr="007054BC">
        <w:rPr>
          <w:rFonts w:ascii="Times New Roman" w:hAnsi="Times New Roman" w:cs="Times New Roman"/>
          <w:b/>
        </w:rPr>
        <w:t xml:space="preserve">conflict and post-conflict situations </w:t>
      </w:r>
      <w:r w:rsidRPr="007054BC">
        <w:rPr>
          <w:rFonts w:ascii="Times New Roman" w:hAnsi="Times New Roman" w:cs="Times New Roman"/>
        </w:rPr>
        <w:t>(Section 2.12).</w:t>
      </w:r>
    </w:p>
    <w:p w:rsidR="008A1F04" w:rsidRDefault="008A1F04" w:rsidP="00C058A7">
      <w:pPr>
        <w:spacing w:after="0"/>
        <w:rPr>
          <w:rFonts w:ascii="Times New Roman" w:eastAsia="Times New Roman" w:hAnsi="Times New Roman" w:cs="Times New Roman"/>
        </w:rPr>
      </w:pPr>
    </w:p>
    <w:p w:rsidR="00C058A7" w:rsidRDefault="00C058A7" w:rsidP="00C058A7">
      <w:pPr>
        <w:spacing w:after="0"/>
      </w:pPr>
    </w:p>
    <w:p w:rsidR="00EE5584" w:rsidRPr="00C058A7" w:rsidRDefault="00EE5584" w:rsidP="00C058A7">
      <w:pPr>
        <w:pStyle w:val="ListParagraph"/>
        <w:numPr>
          <w:ilvl w:val="1"/>
          <w:numId w:val="6"/>
        </w:numPr>
        <w:spacing w:after="0"/>
        <w:ind w:left="720" w:hanging="720"/>
        <w:rPr>
          <w:rFonts w:ascii="Times New Roman" w:hAnsi="Times New Roman" w:cs="Times New Roman"/>
          <w:b/>
          <w:u w:val="single"/>
        </w:rPr>
      </w:pPr>
      <w:r w:rsidRPr="00C058A7">
        <w:rPr>
          <w:rFonts w:ascii="Times New Roman" w:hAnsi="Times New Roman" w:cs="Times New Roman"/>
          <w:b/>
          <w:u w:val="single"/>
        </w:rPr>
        <w:t xml:space="preserve">Operationalization of TNC-OBE Legal Responsibilities to Respect Human Rights </w:t>
      </w:r>
    </w:p>
    <w:p w:rsidR="00EE5584" w:rsidRPr="00AF27BF" w:rsidRDefault="00EE5584" w:rsidP="00EE5584">
      <w:pPr>
        <w:spacing w:after="0"/>
        <w:rPr>
          <w:rFonts w:ascii="Times New Roman" w:hAnsi="Times New Roman" w:cs="Times New Roman"/>
        </w:rPr>
      </w:pPr>
    </w:p>
    <w:p w:rsidR="00EE5584" w:rsidRDefault="00EE5584" w:rsidP="00EE5584">
      <w:pPr>
        <w:widowControl w:val="0"/>
        <w:spacing w:after="0"/>
        <w:rPr>
          <w:rFonts w:ascii="Times New Roman" w:hAnsi="Times New Roman" w:cs="Times New Roman"/>
        </w:rPr>
      </w:pPr>
      <w:r w:rsidRPr="00AF27BF">
        <w:rPr>
          <w:rFonts w:ascii="Times New Roman" w:hAnsi="Times New Roman" w:cs="Times New Roman"/>
        </w:rPr>
        <w:t xml:space="preserve">Current legal frameworks around the world, far from protecting those </w:t>
      </w:r>
      <w:r>
        <w:rPr>
          <w:rFonts w:ascii="Times New Roman" w:hAnsi="Times New Roman" w:cs="Times New Roman"/>
        </w:rPr>
        <w:t xml:space="preserve">whose human rights are impaired </w:t>
      </w:r>
      <w:r w:rsidRPr="00AF27BF">
        <w:rPr>
          <w:rFonts w:ascii="Times New Roman" w:hAnsi="Times New Roman" w:cs="Times New Roman"/>
        </w:rPr>
        <w:t xml:space="preserve">by </w:t>
      </w:r>
      <w:r>
        <w:rPr>
          <w:rFonts w:ascii="Times New Roman" w:hAnsi="Times New Roman" w:cs="Times New Roman"/>
        </w:rPr>
        <w:t>TNC-OBE</w:t>
      </w:r>
      <w:r w:rsidRPr="00AF27BF">
        <w:rPr>
          <w:rFonts w:ascii="Times New Roman" w:hAnsi="Times New Roman" w:cs="Times New Roman"/>
        </w:rPr>
        <w:t xml:space="preserve"> </w:t>
      </w:r>
      <w:r>
        <w:rPr>
          <w:rFonts w:ascii="Times New Roman" w:hAnsi="Times New Roman" w:cs="Times New Roman"/>
        </w:rPr>
        <w:t>activity</w:t>
      </w:r>
      <w:r w:rsidRPr="00AF27BF">
        <w:rPr>
          <w:rFonts w:ascii="Times New Roman" w:hAnsi="Times New Roman" w:cs="Times New Roman"/>
        </w:rPr>
        <w:t>, often actively perpetuate a culture of corporate im</w:t>
      </w:r>
      <w:r>
        <w:rPr>
          <w:rFonts w:ascii="Times New Roman" w:hAnsi="Times New Roman" w:cs="Times New Roman"/>
        </w:rPr>
        <w:t>p</w:t>
      </w:r>
      <w:r w:rsidRPr="00AF27BF">
        <w:rPr>
          <w:rFonts w:ascii="Times New Roman" w:hAnsi="Times New Roman" w:cs="Times New Roman"/>
        </w:rPr>
        <w:t xml:space="preserve">unity, privileging the pursuit of profit and other corporate objectives over human rights. From the testimony of those affected, it is also clear that States often either actively </w:t>
      </w:r>
      <w:r>
        <w:rPr>
          <w:rFonts w:ascii="Times New Roman" w:hAnsi="Times New Roman" w:cs="Times New Roman"/>
        </w:rPr>
        <w:t>collude with TNC-OBE</w:t>
      </w:r>
      <w:r w:rsidRPr="00AF27BF">
        <w:rPr>
          <w:rFonts w:ascii="Times New Roman" w:hAnsi="Times New Roman" w:cs="Times New Roman"/>
        </w:rPr>
        <w:t xml:space="preserve">, fail to prevent </w:t>
      </w:r>
      <w:r>
        <w:rPr>
          <w:rFonts w:ascii="Times New Roman" w:hAnsi="Times New Roman" w:cs="Times New Roman"/>
        </w:rPr>
        <w:t>the harm done by TNC-OBE</w:t>
      </w:r>
      <w:r w:rsidRPr="00AF27BF">
        <w:rPr>
          <w:rFonts w:ascii="Times New Roman" w:hAnsi="Times New Roman" w:cs="Times New Roman"/>
        </w:rPr>
        <w:t xml:space="preserve"> or make minimal or no effort to address </w:t>
      </w:r>
      <w:r>
        <w:rPr>
          <w:rFonts w:ascii="Times New Roman" w:hAnsi="Times New Roman" w:cs="Times New Roman"/>
        </w:rPr>
        <w:t>such harm</w:t>
      </w:r>
      <w:r w:rsidRPr="00AF27BF">
        <w:rPr>
          <w:rFonts w:ascii="Times New Roman" w:hAnsi="Times New Roman" w:cs="Times New Roman"/>
        </w:rPr>
        <w:t xml:space="preserve">. </w:t>
      </w:r>
      <w:r>
        <w:rPr>
          <w:rFonts w:ascii="Times New Roman" w:hAnsi="Times New Roman" w:cs="Times New Roman"/>
        </w:rPr>
        <w:t>Such failures by States to protect against human rights abuses by non-State actors amount to human rights violations by the States. States, jointly and separately, must take all appropriate measures to comply with their obligation to protect, including through explicit recognition that TNC-OBE have a legal responsibility to respect human rights and the establishment of a legal framework to address impairment of human rights enjoyment by TNC-OBE</w:t>
      </w:r>
      <w:r w:rsidRPr="00981E8B">
        <w:rPr>
          <w:rFonts w:ascii="Times New Roman" w:hAnsi="Times New Roman" w:cs="Times New Roman"/>
        </w:rPr>
        <w:t>.</w:t>
      </w:r>
      <w:r w:rsidRPr="00B82E53">
        <w:rPr>
          <w:rFonts w:ascii="Times New Roman" w:hAnsi="Times New Roman" w:cs="Times New Roman"/>
          <w:highlight w:val="yellow"/>
        </w:rPr>
        <w:t xml:space="preserve"> </w:t>
      </w:r>
      <w:r>
        <w:rPr>
          <w:rFonts w:ascii="Times New Roman" w:hAnsi="Times New Roman" w:cs="Times New Roman"/>
        </w:rPr>
        <w:t xml:space="preserve"> </w:t>
      </w:r>
    </w:p>
    <w:p w:rsidR="00EE5584" w:rsidRDefault="00EE5584" w:rsidP="00EE5584">
      <w:pPr>
        <w:widowControl w:val="0"/>
        <w:spacing w:after="0"/>
        <w:rPr>
          <w:rFonts w:ascii="Times New Roman" w:hAnsi="Times New Roman" w:cs="Times New Roman"/>
        </w:rPr>
      </w:pPr>
    </w:p>
    <w:p w:rsidR="00EE5584" w:rsidRPr="00AF27BF" w:rsidRDefault="00EE5584" w:rsidP="00EE5584">
      <w:pPr>
        <w:widowControl w:val="0"/>
        <w:spacing w:after="0"/>
        <w:rPr>
          <w:rFonts w:ascii="Times New Roman" w:hAnsi="Times New Roman" w:cs="Times New Roman"/>
        </w:rPr>
      </w:pPr>
      <w:r>
        <w:rPr>
          <w:rFonts w:ascii="Times New Roman" w:hAnsi="Times New Roman" w:cs="Times New Roman"/>
        </w:rPr>
        <w:t>Many national laws recognize</w:t>
      </w:r>
      <w:r w:rsidRPr="00AF27BF">
        <w:rPr>
          <w:rFonts w:ascii="Times New Roman" w:hAnsi="Times New Roman" w:cs="Times New Roman"/>
        </w:rPr>
        <w:t xml:space="preserve"> that corporate entities themselves, </w:t>
      </w:r>
      <w:r>
        <w:rPr>
          <w:rFonts w:ascii="Times New Roman" w:hAnsi="Times New Roman" w:cs="Times New Roman"/>
        </w:rPr>
        <w:t>not merely</w:t>
      </w:r>
      <w:r w:rsidRPr="00AF27BF">
        <w:rPr>
          <w:rFonts w:ascii="Times New Roman" w:hAnsi="Times New Roman" w:cs="Times New Roman"/>
        </w:rPr>
        <w:t xml:space="preserve"> the</w:t>
      </w:r>
      <w:r>
        <w:rPr>
          <w:rFonts w:ascii="Times New Roman" w:hAnsi="Times New Roman" w:cs="Times New Roman"/>
        </w:rPr>
        <w:t>ir</w:t>
      </w:r>
      <w:r w:rsidRPr="00AF27BF">
        <w:rPr>
          <w:rFonts w:ascii="Times New Roman" w:hAnsi="Times New Roman" w:cs="Times New Roman"/>
        </w:rPr>
        <w:t xml:space="preserve"> individual officers or employees, can be held </w:t>
      </w:r>
      <w:r>
        <w:rPr>
          <w:rFonts w:ascii="Times New Roman" w:hAnsi="Times New Roman" w:cs="Times New Roman"/>
        </w:rPr>
        <w:t>crimina</w:t>
      </w:r>
      <w:r w:rsidRPr="00AF27BF">
        <w:rPr>
          <w:rFonts w:ascii="Times New Roman" w:hAnsi="Times New Roman" w:cs="Times New Roman"/>
        </w:rPr>
        <w:t>lly responsible for damage in connection with their activities. For example, in France companies are able to be found guilty of an offence, major or minor, under the Penal Code. Many other jurisdictions in Europe provide for corporate criminal liability including Belgium, Italy, Poland, the United Kingdom, the Netherlands, the Czech Republic, Romania, Luxembourg and Spain. In Australia, corporations are able to be prosecuted for certain crimes, as are corporations in other jurisdictions that have similarly incorporated components of the Rome Statute of the International Criminal Court into their national laws and applied them to “legal persons”</w:t>
      </w:r>
      <w:r>
        <w:rPr>
          <w:rFonts w:ascii="Times New Roman" w:hAnsi="Times New Roman" w:cs="Times New Roman"/>
        </w:rPr>
        <w:t xml:space="preserve"> (i.e. corporations)</w:t>
      </w:r>
      <w:r w:rsidRPr="00AF27BF">
        <w:rPr>
          <w:rFonts w:ascii="Times New Roman" w:hAnsi="Times New Roman" w:cs="Times New Roman"/>
        </w:rPr>
        <w:t xml:space="preserve">. In Africa, the constitutions of both South Africa and Kenya impose responsibilities upon corporate entities as well.  </w:t>
      </w:r>
    </w:p>
    <w:p w:rsidR="00EE5584" w:rsidRDefault="00EE5584" w:rsidP="00EE5584">
      <w:pPr>
        <w:spacing w:after="0"/>
        <w:rPr>
          <w:rFonts w:ascii="Times New Roman" w:hAnsi="Times New Roman" w:cs="Times New Roman"/>
        </w:rPr>
      </w:pPr>
    </w:p>
    <w:p w:rsidR="00EE5584" w:rsidRDefault="00EE5584" w:rsidP="00EE5584">
      <w:pPr>
        <w:spacing w:after="0"/>
        <w:rPr>
          <w:rFonts w:ascii="Times New Roman" w:hAnsi="Times New Roman" w:cs="Times New Roman"/>
        </w:rPr>
      </w:pPr>
      <w:r w:rsidRPr="00AF27BF">
        <w:rPr>
          <w:rFonts w:ascii="Times New Roman" w:hAnsi="Times New Roman" w:cs="Times New Roman"/>
        </w:rPr>
        <w:t xml:space="preserve">At the regional level, a 2014 Protocol to the African Court of Justice and Human and Peoples’ Rights establishes jurisdiction for the court over </w:t>
      </w:r>
      <w:r>
        <w:rPr>
          <w:rFonts w:ascii="Times New Roman" w:hAnsi="Times New Roman" w:cs="Times New Roman"/>
        </w:rPr>
        <w:t>a series of criminal offences when committed by</w:t>
      </w:r>
      <w:r w:rsidRPr="00AF27BF">
        <w:rPr>
          <w:rFonts w:ascii="Times New Roman" w:hAnsi="Times New Roman" w:cs="Times New Roman"/>
        </w:rPr>
        <w:t xml:space="preserve"> corporations. </w:t>
      </w:r>
      <w:r>
        <w:rPr>
          <w:rFonts w:ascii="Times New Roman" w:hAnsi="Times New Roman" w:cs="Times New Roman"/>
        </w:rPr>
        <w:t xml:space="preserve"> </w:t>
      </w:r>
      <w:r w:rsidRPr="00AF27BF">
        <w:rPr>
          <w:rFonts w:ascii="Times New Roman" w:hAnsi="Times New Roman" w:cs="Times New Roman"/>
        </w:rPr>
        <w:t xml:space="preserve">Furthermore, the trend in international standards in the area of human rights and business has been to </w:t>
      </w:r>
      <w:r>
        <w:rPr>
          <w:rFonts w:ascii="Times New Roman" w:hAnsi="Times New Roman" w:cs="Times New Roman"/>
        </w:rPr>
        <w:t>recognize</w:t>
      </w:r>
      <w:r w:rsidRPr="00AF27BF">
        <w:rPr>
          <w:rFonts w:ascii="Times New Roman" w:hAnsi="Times New Roman" w:cs="Times New Roman"/>
        </w:rPr>
        <w:t xml:space="preserve"> the responsibilities of </w:t>
      </w:r>
      <w:r>
        <w:rPr>
          <w:rFonts w:ascii="Times New Roman" w:hAnsi="Times New Roman" w:cs="Times New Roman"/>
        </w:rPr>
        <w:t>TNC-OBE</w:t>
      </w:r>
      <w:r w:rsidRPr="00AF27BF">
        <w:rPr>
          <w:rFonts w:ascii="Times New Roman" w:hAnsi="Times New Roman" w:cs="Times New Roman"/>
        </w:rPr>
        <w:t xml:space="preserve"> to respect human rights, including by acknowledging that they exist independently of States’ abilities and/or willingness to fulfil</w:t>
      </w:r>
      <w:r>
        <w:rPr>
          <w:rFonts w:ascii="Times New Roman" w:hAnsi="Times New Roman" w:cs="Times New Roman"/>
        </w:rPr>
        <w:t>l</w:t>
      </w:r>
      <w:r w:rsidRPr="00AF27BF">
        <w:rPr>
          <w:rFonts w:ascii="Times New Roman" w:hAnsi="Times New Roman" w:cs="Times New Roman"/>
        </w:rPr>
        <w:t xml:space="preserve"> their own human rights obligations, and </w:t>
      </w:r>
      <w:r>
        <w:rPr>
          <w:rFonts w:ascii="Times New Roman" w:hAnsi="Times New Roman" w:cs="Times New Roman"/>
        </w:rPr>
        <w:t xml:space="preserve">that they </w:t>
      </w:r>
      <w:r w:rsidRPr="00AF27BF">
        <w:rPr>
          <w:rFonts w:ascii="Times New Roman" w:hAnsi="Times New Roman" w:cs="Times New Roman"/>
        </w:rPr>
        <w:t xml:space="preserve">do not diminish these obligations. And yet, almost </w:t>
      </w:r>
      <w:r>
        <w:rPr>
          <w:rFonts w:ascii="Times New Roman" w:hAnsi="Times New Roman" w:cs="Times New Roman"/>
        </w:rPr>
        <w:t>70</w:t>
      </w:r>
      <w:r w:rsidRPr="00AF27BF">
        <w:rPr>
          <w:rFonts w:ascii="Times New Roman" w:hAnsi="Times New Roman" w:cs="Times New Roman"/>
        </w:rPr>
        <w:t xml:space="preserve"> years after the Universal Declaration of Human Rights (UDHR) first proclaimed that “every individual and every organ of society” shall respect human rights</w:t>
      </w:r>
      <w:r>
        <w:rPr>
          <w:rFonts w:ascii="Times New Roman" w:hAnsi="Times New Roman" w:cs="Times New Roman"/>
        </w:rPr>
        <w:t>,</w:t>
      </w:r>
      <w:r w:rsidRPr="00AF27BF">
        <w:rPr>
          <w:rFonts w:ascii="Times New Roman" w:hAnsi="Times New Roman" w:cs="Times New Roman"/>
        </w:rPr>
        <w:t xml:space="preserve"> States have not established a </w:t>
      </w:r>
      <w:r>
        <w:rPr>
          <w:rFonts w:ascii="Times New Roman" w:hAnsi="Times New Roman" w:cs="Times New Roman"/>
        </w:rPr>
        <w:t>universal,</w:t>
      </w:r>
      <w:r w:rsidRPr="00AF27BF">
        <w:rPr>
          <w:rFonts w:ascii="Times New Roman" w:hAnsi="Times New Roman" w:cs="Times New Roman"/>
        </w:rPr>
        <w:t xml:space="preserve"> binding international human rights l</w:t>
      </w:r>
      <w:r>
        <w:rPr>
          <w:rFonts w:ascii="Times New Roman" w:hAnsi="Times New Roman" w:cs="Times New Roman"/>
        </w:rPr>
        <w:t>egal framework</w:t>
      </w:r>
      <w:r w:rsidRPr="00AF27BF">
        <w:rPr>
          <w:rFonts w:ascii="Times New Roman" w:hAnsi="Times New Roman" w:cs="Times New Roman"/>
        </w:rPr>
        <w:t xml:space="preserve"> to </w:t>
      </w:r>
      <w:r>
        <w:rPr>
          <w:rFonts w:ascii="Times New Roman" w:hAnsi="Times New Roman" w:cs="Times New Roman"/>
        </w:rPr>
        <w:t>detail</w:t>
      </w:r>
      <w:r w:rsidRPr="00AF27BF">
        <w:rPr>
          <w:rFonts w:ascii="Times New Roman" w:hAnsi="Times New Roman" w:cs="Times New Roman"/>
        </w:rPr>
        <w:t xml:space="preserve"> </w:t>
      </w:r>
      <w:r>
        <w:rPr>
          <w:rFonts w:ascii="Times New Roman" w:hAnsi="Times New Roman" w:cs="Times New Roman"/>
        </w:rPr>
        <w:t xml:space="preserve">how to </w:t>
      </w:r>
      <w:r w:rsidRPr="00AF27BF">
        <w:rPr>
          <w:rFonts w:ascii="Times New Roman" w:hAnsi="Times New Roman" w:cs="Times New Roman"/>
        </w:rPr>
        <w:t>bring this into operation</w:t>
      </w:r>
      <w:r>
        <w:rPr>
          <w:rFonts w:ascii="Times New Roman" w:hAnsi="Times New Roman" w:cs="Times New Roman"/>
        </w:rPr>
        <w:t xml:space="preserve"> vis-à-vis TNC-OBE.</w:t>
      </w:r>
      <w:r w:rsidRPr="00AF27BF">
        <w:rPr>
          <w:rFonts w:ascii="Times New Roman" w:hAnsi="Times New Roman" w:cs="Times New Roman"/>
        </w:rPr>
        <w:t xml:space="preserve"> </w:t>
      </w:r>
    </w:p>
    <w:p w:rsidR="00EE5584" w:rsidRDefault="00EE5584" w:rsidP="00EE5584">
      <w:pPr>
        <w:spacing w:after="0"/>
        <w:rPr>
          <w:rFonts w:ascii="Times New Roman" w:hAnsi="Times New Roman" w:cs="Times New Roman"/>
        </w:rPr>
      </w:pPr>
    </w:p>
    <w:p w:rsidR="00EE5584" w:rsidRDefault="00EE5584" w:rsidP="00EE5584">
      <w:pPr>
        <w:spacing w:after="0"/>
        <w:rPr>
          <w:rFonts w:ascii="Times New Roman" w:hAnsi="Times New Roman" w:cs="Times New Roman"/>
        </w:rPr>
      </w:pPr>
      <w:r w:rsidRPr="00AF27BF">
        <w:rPr>
          <w:rFonts w:ascii="Times New Roman" w:hAnsi="Times New Roman" w:cs="Times New Roman"/>
        </w:rPr>
        <w:t>The current advances made at national and regional level are augmented only by a non-binding international framework</w:t>
      </w:r>
      <w:r>
        <w:rPr>
          <w:rFonts w:ascii="Times New Roman" w:hAnsi="Times New Roman" w:cs="Times New Roman"/>
        </w:rPr>
        <w:t>,</w:t>
      </w:r>
      <w:r w:rsidRPr="00AF27BF">
        <w:rPr>
          <w:rFonts w:ascii="Times New Roman" w:hAnsi="Times New Roman" w:cs="Times New Roman"/>
        </w:rPr>
        <w:t xml:space="preserve"> </w:t>
      </w:r>
      <w:r>
        <w:rPr>
          <w:rFonts w:ascii="Times New Roman" w:hAnsi="Times New Roman" w:cs="Times New Roman"/>
        </w:rPr>
        <w:t xml:space="preserve">which </w:t>
      </w:r>
      <w:r w:rsidRPr="00AF27BF">
        <w:rPr>
          <w:rFonts w:ascii="Times New Roman" w:hAnsi="Times New Roman" w:cs="Times New Roman"/>
        </w:rPr>
        <w:t xml:space="preserve">does not connect the responsibilities of </w:t>
      </w:r>
      <w:r>
        <w:rPr>
          <w:rFonts w:ascii="Times New Roman" w:hAnsi="Times New Roman" w:cs="Times New Roman"/>
        </w:rPr>
        <w:t>TNC-OBE</w:t>
      </w:r>
      <w:r w:rsidRPr="00AF27BF">
        <w:rPr>
          <w:rFonts w:ascii="Times New Roman" w:hAnsi="Times New Roman" w:cs="Times New Roman"/>
        </w:rPr>
        <w:t xml:space="preserve"> to respect human </w:t>
      </w:r>
      <w:r w:rsidRPr="00AF27BF">
        <w:rPr>
          <w:rFonts w:ascii="Times New Roman" w:hAnsi="Times New Roman" w:cs="Times New Roman"/>
        </w:rPr>
        <w:lastRenderedPageBreak/>
        <w:t>rights with corresponding legal liabilit</w:t>
      </w:r>
      <w:r>
        <w:rPr>
          <w:rFonts w:ascii="Times New Roman" w:hAnsi="Times New Roman" w:cs="Times New Roman"/>
        </w:rPr>
        <w:t>ies</w:t>
      </w:r>
      <w:r w:rsidRPr="00AF27BF">
        <w:rPr>
          <w:rFonts w:ascii="Times New Roman" w:hAnsi="Times New Roman" w:cs="Times New Roman"/>
        </w:rPr>
        <w:t xml:space="preserve"> to address circumstances where they do not fulfi</w:t>
      </w:r>
      <w:r>
        <w:rPr>
          <w:rFonts w:ascii="Times New Roman" w:hAnsi="Times New Roman" w:cs="Times New Roman"/>
        </w:rPr>
        <w:t>l</w:t>
      </w:r>
      <w:r w:rsidRPr="00AF27BF">
        <w:rPr>
          <w:rFonts w:ascii="Times New Roman" w:hAnsi="Times New Roman" w:cs="Times New Roman"/>
        </w:rPr>
        <w:t xml:space="preserve">l their </w:t>
      </w:r>
      <w:r>
        <w:rPr>
          <w:rFonts w:ascii="Times New Roman" w:eastAsia="Times New Roman" w:hAnsi="Times New Roman" w:cs="Times New Roman"/>
        </w:rPr>
        <w:t>responsibilities.</w:t>
      </w:r>
      <w:r>
        <w:rPr>
          <w:rFonts w:ascii="Times New Roman" w:hAnsi="Times New Roman" w:cs="Times New Roman"/>
        </w:rPr>
        <w:t xml:space="preserve"> </w:t>
      </w:r>
      <w:r w:rsidRPr="00AF27BF">
        <w:rPr>
          <w:rFonts w:ascii="Times New Roman" w:hAnsi="Times New Roman" w:cs="Times New Roman"/>
        </w:rPr>
        <w:t xml:space="preserve">This is problematic as it renders international human rights </w:t>
      </w:r>
      <w:r>
        <w:rPr>
          <w:rFonts w:ascii="Times New Roman" w:hAnsi="Times New Roman" w:cs="Times New Roman"/>
        </w:rPr>
        <w:t>standards in this field</w:t>
      </w:r>
      <w:r w:rsidRPr="00AF27BF">
        <w:rPr>
          <w:rFonts w:ascii="Times New Roman" w:hAnsi="Times New Roman" w:cs="Times New Roman"/>
        </w:rPr>
        <w:t xml:space="preserve"> </w:t>
      </w:r>
      <w:r>
        <w:rPr>
          <w:rFonts w:ascii="Times New Roman" w:hAnsi="Times New Roman" w:cs="Times New Roman"/>
        </w:rPr>
        <w:t xml:space="preserve">merely </w:t>
      </w:r>
      <w:r w:rsidRPr="00AF27BF">
        <w:rPr>
          <w:rFonts w:ascii="Times New Roman" w:hAnsi="Times New Roman" w:cs="Times New Roman"/>
        </w:rPr>
        <w:t>aspirational</w:t>
      </w:r>
      <w:r>
        <w:rPr>
          <w:rFonts w:ascii="Times New Roman" w:hAnsi="Times New Roman" w:cs="Times New Roman"/>
        </w:rPr>
        <w:t>. The</w:t>
      </w:r>
      <w:r w:rsidRPr="00AF27BF">
        <w:rPr>
          <w:rFonts w:ascii="Times New Roman" w:hAnsi="Times New Roman" w:cs="Times New Roman"/>
        </w:rPr>
        <w:t xml:space="preserve"> </w:t>
      </w:r>
      <w:r>
        <w:rPr>
          <w:rFonts w:ascii="Times New Roman" w:hAnsi="Times New Roman" w:cs="Times New Roman"/>
        </w:rPr>
        <w:t xml:space="preserve">result is an inconsistent </w:t>
      </w:r>
      <w:r w:rsidRPr="00AF27BF">
        <w:rPr>
          <w:rFonts w:ascii="Times New Roman" w:hAnsi="Times New Roman" w:cs="Times New Roman"/>
        </w:rPr>
        <w:t xml:space="preserve">patchwork of </w:t>
      </w:r>
      <w:r>
        <w:rPr>
          <w:rFonts w:ascii="Times New Roman" w:hAnsi="Times New Roman" w:cs="Times New Roman"/>
        </w:rPr>
        <w:t xml:space="preserve">national and regional </w:t>
      </w:r>
      <w:r w:rsidRPr="00AF27BF">
        <w:rPr>
          <w:rFonts w:ascii="Times New Roman" w:hAnsi="Times New Roman" w:cs="Times New Roman"/>
        </w:rPr>
        <w:t xml:space="preserve">laws </w:t>
      </w:r>
      <w:r>
        <w:rPr>
          <w:rFonts w:ascii="Times New Roman" w:hAnsi="Times New Roman" w:cs="Times New Roman"/>
        </w:rPr>
        <w:t xml:space="preserve">which </w:t>
      </w:r>
      <w:r w:rsidRPr="00AF27BF">
        <w:rPr>
          <w:rFonts w:ascii="Times New Roman" w:hAnsi="Times New Roman" w:cs="Times New Roman"/>
        </w:rPr>
        <w:t>provid</w:t>
      </w:r>
      <w:r>
        <w:rPr>
          <w:rFonts w:ascii="Times New Roman" w:hAnsi="Times New Roman" w:cs="Times New Roman"/>
        </w:rPr>
        <w:t>e</w:t>
      </w:r>
      <w:r w:rsidRPr="00AF27BF">
        <w:rPr>
          <w:rFonts w:ascii="Times New Roman" w:hAnsi="Times New Roman" w:cs="Times New Roman"/>
        </w:rPr>
        <w:t xml:space="preserve"> limited legal bases </w:t>
      </w:r>
      <w:r>
        <w:rPr>
          <w:rFonts w:ascii="Times New Roman" w:hAnsi="Times New Roman" w:cs="Times New Roman"/>
        </w:rPr>
        <w:t xml:space="preserve">in some States </w:t>
      </w:r>
      <w:r w:rsidRPr="00AF27BF">
        <w:rPr>
          <w:rFonts w:ascii="Times New Roman" w:hAnsi="Times New Roman" w:cs="Times New Roman"/>
        </w:rPr>
        <w:t xml:space="preserve">for taking action against </w:t>
      </w:r>
      <w:r>
        <w:rPr>
          <w:rFonts w:ascii="Times New Roman" w:hAnsi="Times New Roman" w:cs="Times New Roman"/>
        </w:rPr>
        <w:t xml:space="preserve">TNC-OBE. </w:t>
      </w:r>
      <w:r w:rsidRPr="00AF27BF">
        <w:rPr>
          <w:rFonts w:ascii="Times New Roman" w:hAnsi="Times New Roman" w:cs="Times New Roman"/>
        </w:rPr>
        <w:t xml:space="preserve">These gaps are compounded by weak </w:t>
      </w:r>
      <w:r>
        <w:rPr>
          <w:rFonts w:ascii="Times New Roman" w:hAnsi="Times New Roman" w:cs="Times New Roman"/>
        </w:rPr>
        <w:t xml:space="preserve">protection </w:t>
      </w:r>
      <w:r w:rsidRPr="00AF27BF">
        <w:rPr>
          <w:rFonts w:ascii="Times New Roman" w:hAnsi="Times New Roman" w:cs="Times New Roman"/>
        </w:rPr>
        <w:t xml:space="preserve">of human rights in the </w:t>
      </w:r>
      <w:r>
        <w:rPr>
          <w:rFonts w:ascii="Times New Roman" w:hAnsi="Times New Roman" w:cs="Times New Roman"/>
        </w:rPr>
        <w:t>context of TNC-OBE activity</w:t>
      </w:r>
      <w:r w:rsidRPr="00AF27BF">
        <w:rPr>
          <w:rFonts w:ascii="Times New Roman" w:hAnsi="Times New Roman" w:cs="Times New Roman"/>
        </w:rPr>
        <w:t>, in stark contrast to the strong, binding framework established in the trade and investment field</w:t>
      </w:r>
      <w:r>
        <w:rPr>
          <w:rFonts w:ascii="Times New Roman" w:hAnsi="Times New Roman" w:cs="Times New Roman"/>
        </w:rPr>
        <w:t>, as discussed in section 2.1</w:t>
      </w:r>
      <w:r w:rsidR="000B311B">
        <w:rPr>
          <w:rFonts w:ascii="Times New Roman" w:hAnsi="Times New Roman" w:cs="Times New Roman"/>
        </w:rPr>
        <w:t xml:space="preserve"> (in our first submission)</w:t>
      </w:r>
      <w:r w:rsidRPr="00AF27BF">
        <w:rPr>
          <w:rFonts w:ascii="Times New Roman" w:hAnsi="Times New Roman" w:cs="Times New Roman"/>
        </w:rPr>
        <w:t>.</w:t>
      </w:r>
    </w:p>
    <w:p w:rsidR="00EE5584" w:rsidRPr="00AF27BF" w:rsidRDefault="00EE5584" w:rsidP="00EE5584">
      <w:pPr>
        <w:spacing w:after="0"/>
        <w:rPr>
          <w:rFonts w:ascii="Times New Roman" w:hAnsi="Times New Roman" w:cs="Times New Roman"/>
        </w:rPr>
      </w:pPr>
    </w:p>
    <w:p w:rsidR="00EE5584" w:rsidRDefault="00EE5584" w:rsidP="00EE5584">
      <w:pPr>
        <w:spacing w:after="0"/>
        <w:rPr>
          <w:rFonts w:ascii="Times New Roman" w:hAnsi="Times New Roman" w:cs="Times New Roman"/>
          <w:b/>
          <w:i/>
        </w:rPr>
      </w:pPr>
      <w:r w:rsidRPr="00AF27BF">
        <w:rPr>
          <w:rFonts w:ascii="Times New Roman" w:hAnsi="Times New Roman" w:cs="Times New Roman"/>
        </w:rPr>
        <w:t xml:space="preserve">While affirming the State obligation to protect against human rights </w:t>
      </w:r>
      <w:r>
        <w:rPr>
          <w:rFonts w:ascii="Times New Roman" w:hAnsi="Times New Roman" w:cs="Times New Roman"/>
        </w:rPr>
        <w:t>abuses</w:t>
      </w:r>
      <w:r w:rsidRPr="00AF27BF">
        <w:rPr>
          <w:rFonts w:ascii="Times New Roman" w:hAnsi="Times New Roman" w:cs="Times New Roman"/>
        </w:rPr>
        <w:t xml:space="preserve"> by non-</w:t>
      </w:r>
      <w:r>
        <w:rPr>
          <w:rFonts w:ascii="Times New Roman" w:hAnsi="Times New Roman" w:cs="Times New Roman"/>
        </w:rPr>
        <w:t>S</w:t>
      </w:r>
      <w:r w:rsidRPr="00AF27BF">
        <w:rPr>
          <w:rFonts w:ascii="Times New Roman" w:hAnsi="Times New Roman" w:cs="Times New Roman"/>
        </w:rPr>
        <w:t xml:space="preserve">tate actors, the Treaty provides the opportunity to confirm that </w:t>
      </w:r>
      <w:r>
        <w:rPr>
          <w:rFonts w:ascii="Times New Roman" w:hAnsi="Times New Roman" w:cs="Times New Roman"/>
        </w:rPr>
        <w:t>TNC-OBE</w:t>
      </w:r>
      <w:r w:rsidRPr="00AF27BF">
        <w:rPr>
          <w:rFonts w:ascii="Times New Roman" w:hAnsi="Times New Roman" w:cs="Times New Roman"/>
        </w:rPr>
        <w:t xml:space="preserve"> have legal responsibilities to respect human rights and to provide a framework for </w:t>
      </w:r>
      <w:r>
        <w:rPr>
          <w:rFonts w:ascii="Times New Roman" w:hAnsi="Times New Roman" w:cs="Times New Roman"/>
        </w:rPr>
        <w:t xml:space="preserve">holding TNC-OBE legally liable for failure to comply with such responsibilities. </w:t>
      </w:r>
    </w:p>
    <w:p w:rsidR="00EE5584" w:rsidRDefault="00EE5584" w:rsidP="00EE5584">
      <w:pPr>
        <w:spacing w:after="0"/>
        <w:rPr>
          <w:rFonts w:ascii="Times New Roman" w:hAnsi="Times New Roman" w:cs="Times New Roman"/>
          <w:b/>
          <w:i/>
        </w:rPr>
      </w:pPr>
    </w:p>
    <w:p w:rsidR="00EE5584" w:rsidRPr="00B82E53" w:rsidRDefault="00EE5584" w:rsidP="00EE5584">
      <w:pPr>
        <w:shd w:val="clear" w:color="auto" w:fill="FFFFFF" w:themeFill="background1"/>
        <w:spacing w:after="0"/>
        <w:rPr>
          <w:rFonts w:ascii="Times New Roman" w:hAnsi="Times New Roman" w:cs="Times New Roman"/>
          <w:b/>
        </w:rPr>
      </w:pPr>
      <w:r w:rsidRPr="00B82E53">
        <w:rPr>
          <w:rFonts w:ascii="Times New Roman" w:hAnsi="Times New Roman" w:cs="Times New Roman"/>
          <w:b/>
          <w:u w:val="single"/>
        </w:rPr>
        <w:t>Key Recommendation</w:t>
      </w:r>
      <w:r w:rsidRPr="00B82E53">
        <w:rPr>
          <w:rFonts w:ascii="Times New Roman" w:hAnsi="Times New Roman" w:cs="Times New Roman"/>
          <w:b/>
        </w:rPr>
        <w:t>: The Treaty should:</w:t>
      </w:r>
    </w:p>
    <w:p w:rsidR="00EE5584" w:rsidRPr="00B82E53" w:rsidRDefault="00EE5584" w:rsidP="00EE5584">
      <w:pPr>
        <w:shd w:val="clear" w:color="auto" w:fill="FFFFFF" w:themeFill="background1"/>
        <w:spacing w:after="0"/>
        <w:rPr>
          <w:rFonts w:ascii="Times New Roman" w:hAnsi="Times New Roman" w:cs="Times New Roman"/>
          <w:b/>
        </w:rPr>
      </w:pPr>
    </w:p>
    <w:p w:rsidR="00EE5584" w:rsidRPr="00B82E53" w:rsidRDefault="00EE5584" w:rsidP="00EE5584">
      <w:pPr>
        <w:pStyle w:val="ListParagraph"/>
        <w:numPr>
          <w:ilvl w:val="0"/>
          <w:numId w:val="1"/>
        </w:numPr>
        <w:shd w:val="clear" w:color="auto" w:fill="FFFFFF" w:themeFill="background1"/>
        <w:spacing w:after="0"/>
        <w:ind w:left="540" w:hanging="540"/>
        <w:rPr>
          <w:rFonts w:ascii="Times New Roman" w:hAnsi="Times New Roman" w:cs="Times New Roman"/>
          <w:b/>
        </w:rPr>
      </w:pPr>
      <w:r>
        <w:rPr>
          <w:rFonts w:ascii="Times New Roman" w:hAnsi="Times New Roman" w:cs="Times New Roman"/>
          <w:b/>
        </w:rPr>
        <w:t>C</w:t>
      </w:r>
      <w:r w:rsidRPr="00B82E53">
        <w:rPr>
          <w:rFonts w:ascii="Times New Roman" w:hAnsi="Times New Roman" w:cs="Times New Roman"/>
          <w:b/>
        </w:rPr>
        <w:t xml:space="preserve">onfirm that </w:t>
      </w:r>
      <w:r>
        <w:rPr>
          <w:rFonts w:ascii="Times New Roman" w:hAnsi="Times New Roman" w:cs="Times New Roman"/>
          <w:b/>
        </w:rPr>
        <w:t>TNC-OBE</w:t>
      </w:r>
      <w:r w:rsidRPr="00B82E53">
        <w:rPr>
          <w:rFonts w:ascii="Times New Roman" w:hAnsi="Times New Roman" w:cs="Times New Roman"/>
          <w:b/>
        </w:rPr>
        <w:t xml:space="preserve"> are legally bound to respect human rights and can be held directly liable for their impairment of human rights under national law</w:t>
      </w:r>
      <w:r>
        <w:rPr>
          <w:rFonts w:ascii="Times New Roman" w:hAnsi="Times New Roman" w:cs="Times New Roman"/>
          <w:b/>
        </w:rPr>
        <w:t>;</w:t>
      </w:r>
      <w:r w:rsidRPr="00B82E53">
        <w:rPr>
          <w:rFonts w:ascii="Times New Roman" w:hAnsi="Times New Roman" w:cs="Times New Roman"/>
          <w:b/>
        </w:rPr>
        <w:t xml:space="preserve"> </w:t>
      </w:r>
    </w:p>
    <w:p w:rsidR="00EE5584" w:rsidRPr="00495BAD" w:rsidRDefault="00EE5584" w:rsidP="00EE5584">
      <w:pPr>
        <w:pStyle w:val="ListParagraph"/>
        <w:numPr>
          <w:ilvl w:val="0"/>
          <w:numId w:val="1"/>
        </w:numPr>
        <w:shd w:val="clear" w:color="auto" w:fill="FFFFFF" w:themeFill="background1"/>
        <w:spacing w:after="0"/>
        <w:ind w:left="540" w:hanging="540"/>
        <w:rPr>
          <w:rFonts w:ascii="Times New Roman" w:hAnsi="Times New Roman" w:cs="Times New Roman"/>
          <w:b/>
        </w:rPr>
      </w:pPr>
      <w:r>
        <w:rPr>
          <w:rFonts w:ascii="Times New Roman" w:hAnsi="Times New Roman" w:cs="Times New Roman"/>
          <w:b/>
        </w:rPr>
        <w:t>O</w:t>
      </w:r>
      <w:r w:rsidRPr="00B82E53">
        <w:rPr>
          <w:rFonts w:ascii="Times New Roman" w:hAnsi="Times New Roman" w:cs="Times New Roman"/>
          <w:b/>
        </w:rPr>
        <w:t xml:space="preserve">utline the State obligation to develop and implement enabling legislation, policies and practices that impose liability on </w:t>
      </w:r>
      <w:r>
        <w:rPr>
          <w:rFonts w:ascii="Times New Roman" w:hAnsi="Times New Roman" w:cs="Times New Roman"/>
          <w:b/>
        </w:rPr>
        <w:t>TNC-OBE</w:t>
      </w:r>
      <w:r w:rsidRPr="00B82E53">
        <w:rPr>
          <w:rFonts w:ascii="Times New Roman" w:hAnsi="Times New Roman" w:cs="Times New Roman"/>
          <w:b/>
        </w:rPr>
        <w:t xml:space="preserve"> for any activity which impairs the enjoyment of human rights</w:t>
      </w:r>
      <w:r>
        <w:rPr>
          <w:rFonts w:ascii="Times New Roman" w:hAnsi="Times New Roman" w:cs="Times New Roman"/>
          <w:b/>
        </w:rPr>
        <w:t>; and</w:t>
      </w:r>
    </w:p>
    <w:p w:rsidR="00EE5584" w:rsidRPr="00AF27BF" w:rsidRDefault="00EE5584" w:rsidP="00EE5584">
      <w:pPr>
        <w:pStyle w:val="ListParagraph"/>
        <w:numPr>
          <w:ilvl w:val="0"/>
          <w:numId w:val="1"/>
        </w:numPr>
        <w:shd w:val="clear" w:color="auto" w:fill="FFFFFF" w:themeFill="background1"/>
        <w:spacing w:after="0"/>
        <w:ind w:left="540" w:hanging="540"/>
        <w:rPr>
          <w:rFonts w:ascii="Times New Roman" w:hAnsi="Times New Roman" w:cs="Times New Roman"/>
          <w:b/>
          <w:i/>
        </w:rPr>
      </w:pPr>
      <w:r>
        <w:rPr>
          <w:rFonts w:ascii="Times New Roman" w:hAnsi="Times New Roman" w:cs="Times New Roman"/>
          <w:b/>
        </w:rPr>
        <w:t>Ensure a</w:t>
      </w:r>
      <w:r w:rsidRPr="00B82E53">
        <w:rPr>
          <w:rFonts w:ascii="Times New Roman" w:hAnsi="Times New Roman" w:cs="Times New Roman"/>
          <w:b/>
        </w:rPr>
        <w:t xml:space="preserve">ccess to a complementary international recourse mechanism, as detailed in </w:t>
      </w:r>
      <w:r>
        <w:rPr>
          <w:rFonts w:ascii="Times New Roman" w:hAnsi="Times New Roman" w:cs="Times New Roman"/>
          <w:b/>
        </w:rPr>
        <w:t>Recommendation</w:t>
      </w:r>
      <w:r w:rsidRPr="00B82E53">
        <w:rPr>
          <w:rFonts w:ascii="Times New Roman" w:hAnsi="Times New Roman" w:cs="Times New Roman"/>
          <w:b/>
        </w:rPr>
        <w:t xml:space="preserve"> 2.</w:t>
      </w:r>
      <w:r w:rsidRPr="005C2B00">
        <w:rPr>
          <w:rFonts w:ascii="Times New Roman" w:hAnsi="Times New Roman" w:cs="Times New Roman"/>
          <w:b/>
        </w:rPr>
        <w:t xml:space="preserve">7(g) </w:t>
      </w:r>
      <w:r w:rsidR="00C058A7">
        <w:rPr>
          <w:rFonts w:ascii="Times New Roman" w:hAnsi="Times New Roman" w:cs="Times New Roman"/>
          <w:b/>
        </w:rPr>
        <w:t>in our third submission</w:t>
      </w:r>
      <w:r w:rsidRPr="00B82E53">
        <w:rPr>
          <w:rFonts w:ascii="Times New Roman" w:hAnsi="Times New Roman" w:cs="Times New Roman"/>
          <w:b/>
        </w:rPr>
        <w:t>.</w:t>
      </w:r>
    </w:p>
    <w:p w:rsidR="00EE5584" w:rsidRDefault="00EE5584" w:rsidP="00EE5584">
      <w:pPr>
        <w:pStyle w:val="ListParagraph"/>
        <w:spacing w:after="0"/>
        <w:ind w:left="540"/>
        <w:rPr>
          <w:rFonts w:ascii="Times New Roman" w:hAnsi="Times New Roman" w:cs="Times New Roman"/>
          <w:b/>
          <w:u w:val="single"/>
        </w:rPr>
      </w:pPr>
    </w:p>
    <w:p w:rsidR="00EE5584" w:rsidRPr="00AF27BF" w:rsidRDefault="00EE5584" w:rsidP="00EE5584">
      <w:pPr>
        <w:spacing w:after="0"/>
        <w:rPr>
          <w:rFonts w:ascii="Times New Roman" w:hAnsi="Times New Roman" w:cs="Times New Roman"/>
        </w:rPr>
      </w:pPr>
    </w:p>
    <w:p w:rsidR="00EE5584" w:rsidRPr="00C058A7" w:rsidRDefault="00EE5584" w:rsidP="00C058A7">
      <w:pPr>
        <w:pStyle w:val="ListParagraph"/>
        <w:numPr>
          <w:ilvl w:val="1"/>
          <w:numId w:val="6"/>
        </w:numPr>
        <w:spacing w:after="0"/>
        <w:ind w:left="720" w:hanging="720"/>
        <w:rPr>
          <w:rFonts w:ascii="Times New Roman" w:hAnsi="Times New Roman" w:cs="Times New Roman"/>
          <w:b/>
          <w:u w:val="single"/>
        </w:rPr>
      </w:pPr>
      <w:r w:rsidRPr="00C058A7">
        <w:rPr>
          <w:rFonts w:ascii="Times New Roman" w:hAnsi="Times New Roman" w:cs="Times New Roman"/>
          <w:b/>
          <w:u w:val="single"/>
        </w:rPr>
        <w:t xml:space="preserve">Ensuring Access to Information and Participation </w:t>
      </w:r>
    </w:p>
    <w:p w:rsidR="00EE5584" w:rsidRPr="00AF27BF" w:rsidRDefault="00EE5584" w:rsidP="00EE5584">
      <w:pPr>
        <w:spacing w:after="0"/>
        <w:rPr>
          <w:rFonts w:ascii="Times New Roman" w:hAnsi="Times New Roman" w:cs="Times New Roman"/>
        </w:rPr>
      </w:pPr>
    </w:p>
    <w:p w:rsidR="00EE5584" w:rsidRPr="00AF27BF" w:rsidRDefault="00EE5584" w:rsidP="00EE5584">
      <w:pPr>
        <w:spacing w:after="0"/>
        <w:rPr>
          <w:rFonts w:ascii="Times New Roman" w:hAnsi="Times New Roman" w:cs="Times New Roman"/>
        </w:rPr>
      </w:pPr>
      <w:r w:rsidRPr="00AF27BF">
        <w:rPr>
          <w:rFonts w:ascii="Times New Roman" w:hAnsi="Times New Roman" w:cs="Times New Roman"/>
        </w:rPr>
        <w:t xml:space="preserve">Where </w:t>
      </w:r>
      <w:r>
        <w:rPr>
          <w:rFonts w:ascii="Times New Roman" w:hAnsi="Times New Roman" w:cs="Times New Roman"/>
        </w:rPr>
        <w:t>TNC-OBE</w:t>
      </w:r>
      <w:r w:rsidRPr="00AF27BF">
        <w:rPr>
          <w:rFonts w:ascii="Times New Roman" w:hAnsi="Times New Roman" w:cs="Times New Roman"/>
        </w:rPr>
        <w:t xml:space="preserve"> activity could impa</w:t>
      </w:r>
      <w:r>
        <w:rPr>
          <w:rFonts w:ascii="Times New Roman" w:hAnsi="Times New Roman" w:cs="Times New Roman"/>
        </w:rPr>
        <w:t>ir</w:t>
      </w:r>
      <w:r w:rsidRPr="00AF27BF">
        <w:rPr>
          <w:rFonts w:ascii="Times New Roman" w:hAnsi="Times New Roman" w:cs="Times New Roman"/>
        </w:rPr>
        <w:t xml:space="preserve"> or has impa</w:t>
      </w:r>
      <w:r>
        <w:rPr>
          <w:rFonts w:ascii="Times New Roman" w:hAnsi="Times New Roman" w:cs="Times New Roman"/>
        </w:rPr>
        <w:t>ired</w:t>
      </w:r>
      <w:r w:rsidRPr="00AF27BF">
        <w:rPr>
          <w:rFonts w:ascii="Times New Roman" w:hAnsi="Times New Roman" w:cs="Times New Roman"/>
        </w:rPr>
        <w:t xml:space="preserve"> the enjoyment of human rights, </w:t>
      </w:r>
      <w:r>
        <w:rPr>
          <w:rFonts w:ascii="Times New Roman" w:hAnsi="Times New Roman" w:cs="Times New Roman"/>
        </w:rPr>
        <w:t>affected persons</w:t>
      </w:r>
      <w:r w:rsidRPr="00AF27BF">
        <w:rPr>
          <w:rFonts w:ascii="Times New Roman" w:hAnsi="Times New Roman" w:cs="Times New Roman"/>
        </w:rPr>
        <w:t xml:space="preserve"> must have enough information to be able to understand and discuss the situation fully, in order to make informed decisions on what action to take to prevent and address human rights </w:t>
      </w:r>
      <w:r>
        <w:rPr>
          <w:rFonts w:ascii="Times New Roman" w:hAnsi="Times New Roman" w:cs="Times New Roman"/>
        </w:rPr>
        <w:t>abuse</w:t>
      </w:r>
      <w:r w:rsidRPr="00AF27BF">
        <w:rPr>
          <w:rFonts w:ascii="Times New Roman" w:hAnsi="Times New Roman" w:cs="Times New Roman"/>
        </w:rPr>
        <w:t xml:space="preserve">. Currently, there is a serious lack of information available to local communities and the general public about corporate decisions and practices. In particular, access </w:t>
      </w:r>
      <w:proofErr w:type="gramStart"/>
      <w:r w:rsidRPr="00AF27BF">
        <w:rPr>
          <w:rFonts w:ascii="Times New Roman" w:hAnsi="Times New Roman" w:cs="Times New Roman"/>
        </w:rPr>
        <w:t>to</w:t>
      </w:r>
      <w:proofErr w:type="gramEnd"/>
      <w:r w:rsidRPr="00AF27BF">
        <w:rPr>
          <w:rFonts w:ascii="Times New Roman" w:hAnsi="Times New Roman" w:cs="Times New Roman"/>
        </w:rPr>
        <w:t xml:space="preserve"> relevant, sufficient, quality information necessary for meaningful participation is lacking at each stage of corporate activity: (1) prior to corporate activity, (2) during </w:t>
      </w:r>
      <w:r>
        <w:rPr>
          <w:rFonts w:ascii="Times New Roman" w:hAnsi="Times New Roman" w:cs="Times New Roman"/>
        </w:rPr>
        <w:t xml:space="preserve">and after </w:t>
      </w:r>
      <w:r w:rsidRPr="00AF27BF">
        <w:rPr>
          <w:rFonts w:ascii="Times New Roman" w:hAnsi="Times New Roman" w:cs="Times New Roman"/>
        </w:rPr>
        <w:t>corporate activity</w:t>
      </w:r>
      <w:r>
        <w:rPr>
          <w:rFonts w:ascii="Times New Roman" w:eastAsia="Times New Roman" w:hAnsi="Times New Roman" w:cs="Times New Roman"/>
        </w:rPr>
        <w:t>, (3) during investor-State dispute settlement processes, and (4</w:t>
      </w:r>
      <w:r w:rsidRPr="00AF27BF">
        <w:rPr>
          <w:rFonts w:ascii="Times New Roman" w:hAnsi="Times New Roman" w:cs="Times New Roman"/>
        </w:rPr>
        <w:t xml:space="preserve">) when seeking accountability if human rights abuse occurs. The failure to gather and/or disclose necessary information can affect many other rights such as the right to a remedy. The proposed </w:t>
      </w:r>
      <w:r>
        <w:rPr>
          <w:rFonts w:ascii="Times New Roman" w:hAnsi="Times New Roman" w:cs="Times New Roman"/>
        </w:rPr>
        <w:t>T</w:t>
      </w:r>
      <w:r w:rsidRPr="00AF27BF">
        <w:rPr>
          <w:rFonts w:ascii="Times New Roman" w:hAnsi="Times New Roman" w:cs="Times New Roman"/>
        </w:rPr>
        <w:t xml:space="preserve">reaty offers the opportunity to outline the State obligation to provide/strengthen (independent access to) key information and therefore reduce the information gaps.  </w:t>
      </w:r>
    </w:p>
    <w:p w:rsidR="00EE5584" w:rsidRPr="00AF27BF" w:rsidRDefault="00EE5584" w:rsidP="00EE5584">
      <w:pPr>
        <w:spacing w:after="0"/>
        <w:rPr>
          <w:rFonts w:ascii="Times New Roman" w:hAnsi="Times New Roman" w:cs="Times New Roman"/>
        </w:rPr>
      </w:pPr>
    </w:p>
    <w:p w:rsidR="00EE5584" w:rsidRPr="00AF27BF" w:rsidRDefault="00EE5584" w:rsidP="00EE5584">
      <w:pPr>
        <w:spacing w:after="0"/>
        <w:rPr>
          <w:rFonts w:ascii="Times New Roman" w:eastAsia="Times New Roman" w:hAnsi="Times New Roman" w:cs="Times New Roman"/>
          <w:lang w:eastAsia="en-GB"/>
        </w:rPr>
      </w:pPr>
      <w:r w:rsidRPr="00AF27BF">
        <w:rPr>
          <w:rFonts w:ascii="Times New Roman" w:eastAsia="Times New Roman" w:hAnsi="Times New Roman" w:cs="Times New Roman"/>
          <w:lang w:eastAsia="en-GB"/>
        </w:rPr>
        <w:t xml:space="preserve">Human rights due diligence is a key concept outlining the responsibility and activities by which </w:t>
      </w:r>
      <w:r>
        <w:rPr>
          <w:rFonts w:ascii="Times New Roman" w:eastAsia="Times New Roman" w:hAnsi="Times New Roman" w:cs="Times New Roman"/>
          <w:lang w:eastAsia="en-GB"/>
        </w:rPr>
        <w:t>TNC-OBE</w:t>
      </w:r>
      <w:r w:rsidRPr="00AF27BF">
        <w:rPr>
          <w:rFonts w:ascii="Times New Roman" w:eastAsia="Times New Roman" w:hAnsi="Times New Roman" w:cs="Times New Roman"/>
          <w:lang w:eastAsia="en-GB"/>
        </w:rPr>
        <w:t xml:space="preserve"> should identify, prevent, mitigate and account for the harms they cause, contribute to, or to which they are linked. The proposed </w:t>
      </w:r>
      <w:r>
        <w:rPr>
          <w:rFonts w:ascii="Times New Roman" w:eastAsia="Times New Roman" w:hAnsi="Times New Roman" w:cs="Times New Roman"/>
          <w:lang w:eastAsia="en-GB"/>
        </w:rPr>
        <w:t>T</w:t>
      </w:r>
      <w:r w:rsidRPr="00AF27BF">
        <w:rPr>
          <w:rFonts w:ascii="Times New Roman" w:eastAsia="Times New Roman" w:hAnsi="Times New Roman" w:cs="Times New Roman"/>
          <w:lang w:eastAsia="en-GB"/>
        </w:rPr>
        <w:t>reaty offers the opportunity to outline the State obligation to clarify the concept and elements of human rights due diligence</w:t>
      </w:r>
      <w:r>
        <w:rPr>
          <w:rFonts w:ascii="Times New Roman" w:eastAsia="Times New Roman" w:hAnsi="Times New Roman" w:cs="Times New Roman"/>
          <w:lang w:eastAsia="en-GB"/>
        </w:rPr>
        <w:t>.</w:t>
      </w:r>
    </w:p>
    <w:p w:rsidR="00EE5584" w:rsidRPr="00AF27BF" w:rsidRDefault="00EE5584" w:rsidP="00EE5584">
      <w:pPr>
        <w:spacing w:after="0"/>
        <w:rPr>
          <w:rFonts w:ascii="Times New Roman" w:hAnsi="Times New Roman" w:cs="Times New Roman"/>
        </w:rPr>
      </w:pPr>
    </w:p>
    <w:p w:rsidR="00EE5584" w:rsidRPr="00C526AC" w:rsidRDefault="00EE5584" w:rsidP="00EE5584">
      <w:pPr>
        <w:spacing w:after="0"/>
        <w:rPr>
          <w:rFonts w:ascii="Times New Roman" w:hAnsi="Times New Roman" w:cs="Times New Roman"/>
          <w:b/>
        </w:rPr>
      </w:pPr>
      <w:r w:rsidRPr="00B82E53">
        <w:rPr>
          <w:rFonts w:ascii="Times New Roman" w:hAnsi="Times New Roman" w:cs="Times New Roman"/>
          <w:b/>
          <w:u w:val="single"/>
        </w:rPr>
        <w:t>Key Recommendation</w:t>
      </w:r>
      <w:r w:rsidRPr="00C526AC">
        <w:rPr>
          <w:rFonts w:ascii="Times New Roman" w:hAnsi="Times New Roman" w:cs="Times New Roman"/>
          <w:b/>
        </w:rPr>
        <w:t xml:space="preserve">: The Treaty should </w:t>
      </w:r>
      <w:r>
        <w:rPr>
          <w:rFonts w:ascii="Times New Roman" w:hAnsi="Times New Roman" w:cs="Times New Roman"/>
          <w:b/>
        </w:rPr>
        <w:t>set out</w:t>
      </w:r>
      <w:r w:rsidRPr="00C526AC">
        <w:rPr>
          <w:rFonts w:ascii="Times New Roman" w:hAnsi="Times New Roman" w:cs="Times New Roman"/>
          <w:b/>
        </w:rPr>
        <w:t xml:space="preserve"> a </w:t>
      </w:r>
      <w:r>
        <w:rPr>
          <w:rFonts w:ascii="Times New Roman" w:hAnsi="Times New Roman" w:cs="Times New Roman"/>
          <w:b/>
        </w:rPr>
        <w:t xml:space="preserve">general </w:t>
      </w:r>
      <w:r w:rsidRPr="00C526AC">
        <w:rPr>
          <w:rFonts w:ascii="Times New Roman" w:hAnsi="Times New Roman" w:cs="Times New Roman"/>
          <w:b/>
        </w:rPr>
        <w:t xml:space="preserve">framework to ensure public participation and access </w:t>
      </w:r>
      <w:proofErr w:type="gramStart"/>
      <w:r w:rsidRPr="00C526AC">
        <w:rPr>
          <w:rFonts w:ascii="Times New Roman" w:hAnsi="Times New Roman" w:cs="Times New Roman"/>
          <w:b/>
        </w:rPr>
        <w:t>to</w:t>
      </w:r>
      <w:proofErr w:type="gramEnd"/>
      <w:r w:rsidRPr="00C526AC">
        <w:rPr>
          <w:rFonts w:ascii="Times New Roman" w:hAnsi="Times New Roman" w:cs="Times New Roman"/>
          <w:b/>
        </w:rPr>
        <w:t xml:space="preserve"> relevant, sufficient, quality information, in connection with each stage of </w:t>
      </w:r>
      <w:r>
        <w:rPr>
          <w:rFonts w:ascii="Times New Roman" w:hAnsi="Times New Roman" w:cs="Times New Roman"/>
          <w:b/>
        </w:rPr>
        <w:t>TNC-OBE</w:t>
      </w:r>
      <w:r w:rsidRPr="00C526AC">
        <w:rPr>
          <w:rFonts w:ascii="Times New Roman" w:hAnsi="Times New Roman" w:cs="Times New Roman"/>
          <w:b/>
        </w:rPr>
        <w:t xml:space="preserve"> activity, </w:t>
      </w:r>
      <w:r w:rsidRPr="00E4504D">
        <w:rPr>
          <w:rFonts w:ascii="Times New Roman" w:hAnsi="Times New Roman" w:cs="Times New Roman"/>
          <w:b/>
        </w:rPr>
        <w:t>requiring States to take concrete, targeted measures to, among other things</w:t>
      </w:r>
      <w:r>
        <w:rPr>
          <w:rFonts w:ascii="Times New Roman" w:hAnsi="Times New Roman" w:cs="Times New Roman"/>
          <w:b/>
        </w:rPr>
        <w:t>:</w:t>
      </w:r>
      <w:r w:rsidRPr="00C526AC">
        <w:rPr>
          <w:rFonts w:ascii="Times New Roman" w:hAnsi="Times New Roman" w:cs="Times New Roman"/>
          <w:b/>
        </w:rPr>
        <w:t xml:space="preserve"> </w:t>
      </w:r>
    </w:p>
    <w:p w:rsidR="00EE5584" w:rsidRPr="00B82E53" w:rsidRDefault="00EE5584" w:rsidP="00EE5584">
      <w:pPr>
        <w:pStyle w:val="ListParagraph"/>
        <w:spacing w:after="0"/>
        <w:ind w:left="540"/>
        <w:rPr>
          <w:rFonts w:ascii="Times New Roman" w:hAnsi="Times New Roman" w:cs="Times New Roman"/>
          <w:b/>
          <w:highlight w:val="yellow"/>
        </w:rPr>
      </w:pPr>
    </w:p>
    <w:p w:rsidR="00EE5584" w:rsidRDefault="00EE5584" w:rsidP="00EE5584">
      <w:pPr>
        <w:pStyle w:val="ListParagraph"/>
        <w:numPr>
          <w:ilvl w:val="0"/>
          <w:numId w:val="3"/>
        </w:numPr>
        <w:spacing w:after="0"/>
        <w:ind w:left="540" w:hanging="540"/>
        <w:rPr>
          <w:rFonts w:ascii="Times New Roman" w:hAnsi="Times New Roman" w:cs="Times New Roman"/>
          <w:b/>
        </w:rPr>
      </w:pPr>
      <w:r w:rsidRPr="00495BAD">
        <w:rPr>
          <w:rFonts w:ascii="Times New Roman" w:hAnsi="Times New Roman" w:cs="Times New Roman"/>
          <w:b/>
        </w:rPr>
        <w:lastRenderedPageBreak/>
        <w:t>Establish</w:t>
      </w:r>
      <w:r w:rsidRPr="00596935">
        <w:rPr>
          <w:rFonts w:ascii="Times New Roman" w:hAnsi="Times New Roman" w:cs="Times New Roman"/>
          <w:b/>
        </w:rPr>
        <w:t xml:space="preserve"> national legislation requiring mandatory human rights due diligence</w:t>
      </w:r>
      <w:r w:rsidRPr="00C526AC">
        <w:rPr>
          <w:rFonts w:ascii="Times New Roman" w:hAnsi="Times New Roman" w:cs="Times New Roman"/>
          <w:b/>
        </w:rPr>
        <w:t xml:space="preserve"> </w:t>
      </w:r>
      <w:r>
        <w:rPr>
          <w:rFonts w:ascii="Times New Roman" w:hAnsi="Times New Roman" w:cs="Times New Roman"/>
          <w:b/>
        </w:rPr>
        <w:t>by TNC-OBE in accordance with, at a minimum, existing international standards in the area of hum</w:t>
      </w:r>
      <w:r w:rsidRPr="004B4876">
        <w:rPr>
          <w:rFonts w:ascii="Times New Roman" w:hAnsi="Times New Roman" w:cs="Times New Roman"/>
          <w:b/>
        </w:rPr>
        <w:t>an rights and business</w:t>
      </w:r>
      <w:r>
        <w:rPr>
          <w:rFonts w:ascii="Times New Roman" w:hAnsi="Times New Roman" w:cs="Times New Roman"/>
          <w:b/>
        </w:rPr>
        <w:t xml:space="preserve">, which among other things: </w:t>
      </w:r>
    </w:p>
    <w:p w:rsidR="00EE5584" w:rsidRDefault="00EE5584" w:rsidP="00EE5584">
      <w:pPr>
        <w:pStyle w:val="ListParagraph"/>
        <w:numPr>
          <w:ilvl w:val="1"/>
          <w:numId w:val="1"/>
        </w:numPr>
        <w:spacing w:after="0"/>
        <w:ind w:left="990" w:hanging="450"/>
        <w:rPr>
          <w:rFonts w:ascii="Times New Roman" w:hAnsi="Times New Roman" w:cs="Times New Roman"/>
          <w:b/>
        </w:rPr>
      </w:pPr>
      <w:r>
        <w:rPr>
          <w:rFonts w:ascii="Times New Roman" w:hAnsi="Times New Roman" w:cs="Times New Roman"/>
          <w:b/>
        </w:rPr>
        <w:t xml:space="preserve">cover of </w:t>
      </w:r>
      <w:r w:rsidRPr="00596935">
        <w:rPr>
          <w:rFonts w:ascii="Times New Roman" w:hAnsi="Times New Roman" w:cs="Times New Roman"/>
          <w:b/>
        </w:rPr>
        <w:t xml:space="preserve">all </w:t>
      </w:r>
      <w:r>
        <w:rPr>
          <w:rFonts w:ascii="Times New Roman" w:hAnsi="Times New Roman" w:cs="Times New Roman"/>
          <w:b/>
        </w:rPr>
        <w:t xml:space="preserve">TNC-OBE activity, including those of </w:t>
      </w:r>
      <w:r w:rsidRPr="00596935">
        <w:rPr>
          <w:rFonts w:ascii="Times New Roman" w:hAnsi="Times New Roman" w:cs="Times New Roman"/>
          <w:b/>
        </w:rPr>
        <w:t xml:space="preserve">subsidiaries and </w:t>
      </w:r>
      <w:r>
        <w:rPr>
          <w:rFonts w:ascii="Times New Roman" w:hAnsi="Times New Roman" w:cs="Times New Roman"/>
          <w:b/>
        </w:rPr>
        <w:t xml:space="preserve">other business enterprises </w:t>
      </w:r>
      <w:r w:rsidRPr="00596935">
        <w:rPr>
          <w:rFonts w:ascii="Times New Roman" w:hAnsi="Times New Roman" w:cs="Times New Roman"/>
          <w:b/>
        </w:rPr>
        <w:t>in the supply chain</w:t>
      </w:r>
      <w:r>
        <w:rPr>
          <w:rFonts w:ascii="Times New Roman" w:hAnsi="Times New Roman" w:cs="Times New Roman"/>
          <w:b/>
        </w:rPr>
        <w:t xml:space="preserve">; </w:t>
      </w:r>
    </w:p>
    <w:p w:rsidR="00EE5584" w:rsidRDefault="00EE5584" w:rsidP="00EE5584">
      <w:pPr>
        <w:pStyle w:val="ListParagraph"/>
        <w:numPr>
          <w:ilvl w:val="1"/>
          <w:numId w:val="1"/>
        </w:numPr>
        <w:spacing w:after="0"/>
        <w:ind w:left="990" w:hanging="450"/>
        <w:rPr>
          <w:rFonts w:ascii="Times New Roman" w:hAnsi="Times New Roman" w:cs="Times New Roman"/>
          <w:b/>
        </w:rPr>
      </w:pPr>
      <w:r w:rsidRPr="00495BAD">
        <w:rPr>
          <w:rFonts w:ascii="Times New Roman" w:hAnsi="Times New Roman" w:cs="Times New Roman"/>
          <w:b/>
        </w:rPr>
        <w:t>require</w:t>
      </w:r>
      <w:r w:rsidRPr="00997FF1">
        <w:rPr>
          <w:rFonts w:ascii="Times New Roman" w:hAnsi="Times New Roman" w:cs="Times New Roman"/>
          <w:b/>
        </w:rPr>
        <w:t xml:space="preserve"> </w:t>
      </w:r>
      <w:r>
        <w:rPr>
          <w:rFonts w:ascii="Times New Roman" w:hAnsi="Times New Roman" w:cs="Times New Roman"/>
          <w:b/>
        </w:rPr>
        <w:t xml:space="preserve">regular </w:t>
      </w:r>
      <w:r w:rsidRPr="00495BAD">
        <w:rPr>
          <w:rFonts w:ascii="Times New Roman" w:hAnsi="Times New Roman" w:cs="Times New Roman"/>
          <w:b/>
        </w:rPr>
        <w:t>human rights impacts assessments</w:t>
      </w:r>
      <w:r w:rsidRPr="00997FF1">
        <w:rPr>
          <w:rFonts w:ascii="Times New Roman" w:hAnsi="Times New Roman" w:cs="Times New Roman"/>
          <w:b/>
        </w:rPr>
        <w:t xml:space="preserve"> </w:t>
      </w:r>
      <w:r w:rsidRPr="00596935">
        <w:rPr>
          <w:rFonts w:ascii="Times New Roman" w:hAnsi="Times New Roman" w:cs="Times New Roman"/>
          <w:b/>
        </w:rPr>
        <w:t xml:space="preserve">for </w:t>
      </w:r>
      <w:r>
        <w:rPr>
          <w:rFonts w:ascii="Times New Roman" w:hAnsi="Times New Roman" w:cs="Times New Roman"/>
          <w:b/>
        </w:rPr>
        <w:t xml:space="preserve">all </w:t>
      </w:r>
      <w:r w:rsidRPr="00495BAD">
        <w:rPr>
          <w:rFonts w:ascii="Times New Roman" w:hAnsi="Times New Roman" w:cs="Times New Roman"/>
          <w:b/>
        </w:rPr>
        <w:t>TNC-OBE activity</w:t>
      </w:r>
      <w:r>
        <w:rPr>
          <w:rFonts w:ascii="Times New Roman" w:hAnsi="Times New Roman" w:cs="Times New Roman"/>
          <w:b/>
        </w:rPr>
        <w:t>;</w:t>
      </w:r>
      <w:r w:rsidRPr="00596935">
        <w:rPr>
          <w:rFonts w:ascii="Times New Roman" w:hAnsi="Times New Roman" w:cs="Times New Roman"/>
          <w:b/>
        </w:rPr>
        <w:t xml:space="preserve"> </w:t>
      </w:r>
    </w:p>
    <w:p w:rsidR="00EE5584" w:rsidRDefault="00EE5584" w:rsidP="00EE5584">
      <w:pPr>
        <w:pStyle w:val="ListParagraph"/>
        <w:numPr>
          <w:ilvl w:val="1"/>
          <w:numId w:val="1"/>
        </w:numPr>
        <w:spacing w:after="0"/>
        <w:ind w:left="990" w:hanging="450"/>
        <w:rPr>
          <w:rFonts w:ascii="Times New Roman" w:hAnsi="Times New Roman" w:cs="Times New Roman"/>
          <w:b/>
        </w:rPr>
      </w:pPr>
      <w:r>
        <w:rPr>
          <w:rFonts w:ascii="Times New Roman" w:hAnsi="Times New Roman" w:cs="Times New Roman"/>
          <w:b/>
        </w:rPr>
        <w:t xml:space="preserve">require </w:t>
      </w:r>
      <w:r w:rsidRPr="00596935">
        <w:rPr>
          <w:rFonts w:ascii="Times New Roman" w:hAnsi="Times New Roman" w:cs="Times New Roman"/>
          <w:b/>
        </w:rPr>
        <w:t>timely public disclosure of all relevant documents and materials relating to any and all impacts on human rights and the environment</w:t>
      </w:r>
      <w:r>
        <w:rPr>
          <w:rFonts w:ascii="Times New Roman" w:hAnsi="Times New Roman" w:cs="Times New Roman"/>
          <w:b/>
        </w:rPr>
        <w:t>; and</w:t>
      </w:r>
    </w:p>
    <w:p w:rsidR="00EE5584" w:rsidRPr="00C526AC" w:rsidRDefault="00EE5584" w:rsidP="00EE5584">
      <w:pPr>
        <w:pStyle w:val="ListParagraph"/>
        <w:numPr>
          <w:ilvl w:val="1"/>
          <w:numId w:val="1"/>
        </w:numPr>
        <w:spacing w:after="0"/>
        <w:ind w:left="990" w:hanging="450"/>
      </w:pPr>
      <w:r>
        <w:rPr>
          <w:rFonts w:ascii="Times New Roman" w:hAnsi="Times New Roman" w:cs="Times New Roman"/>
          <w:b/>
        </w:rPr>
        <w:t>ensure</w:t>
      </w:r>
      <w:r w:rsidRPr="00C526AC">
        <w:rPr>
          <w:rFonts w:ascii="Times New Roman" w:hAnsi="Times New Roman" w:cs="Times New Roman"/>
          <w:b/>
        </w:rPr>
        <w:t xml:space="preserve"> the </w:t>
      </w:r>
      <w:r w:rsidRPr="00B82E53">
        <w:rPr>
          <w:rFonts w:ascii="Times New Roman" w:hAnsi="Times New Roman" w:cs="Times New Roman"/>
          <w:b/>
        </w:rPr>
        <w:t>right to participation</w:t>
      </w:r>
      <w:r w:rsidRPr="00C526AC">
        <w:rPr>
          <w:rFonts w:ascii="Times New Roman" w:hAnsi="Times New Roman" w:cs="Times New Roman"/>
          <w:b/>
        </w:rPr>
        <w:t xml:space="preserve"> including</w:t>
      </w:r>
      <w:r w:rsidRPr="00B82E53">
        <w:rPr>
          <w:rFonts w:ascii="Times New Roman" w:hAnsi="Times New Roman" w:cs="Times New Roman"/>
          <w:b/>
        </w:rPr>
        <w:t xml:space="preserve"> through offering safe spaces for </w:t>
      </w:r>
      <w:r w:rsidRPr="006A5E31">
        <w:rPr>
          <w:rFonts w:ascii="Times New Roman" w:hAnsi="Times New Roman" w:cs="Times New Roman"/>
          <w:b/>
        </w:rPr>
        <w:t>women</w:t>
      </w:r>
      <w:r>
        <w:rPr>
          <w:rFonts w:ascii="Times New Roman" w:hAnsi="Times New Roman" w:cs="Times New Roman"/>
          <w:b/>
        </w:rPr>
        <w:t>, marginalized and minority groups, and persons with disabilities</w:t>
      </w:r>
      <w:r w:rsidRPr="00B82E53">
        <w:rPr>
          <w:rFonts w:ascii="Times New Roman" w:hAnsi="Times New Roman" w:cs="Times New Roman"/>
          <w:b/>
        </w:rPr>
        <w:t xml:space="preserve"> to voice their concerns freely, and directly engage with </w:t>
      </w:r>
      <w:r>
        <w:rPr>
          <w:rFonts w:ascii="Times New Roman" w:hAnsi="Times New Roman" w:cs="Times New Roman"/>
          <w:b/>
        </w:rPr>
        <w:t>TNC-OBE</w:t>
      </w:r>
      <w:r w:rsidRPr="00B82E53">
        <w:rPr>
          <w:rFonts w:ascii="Times New Roman" w:hAnsi="Times New Roman" w:cs="Times New Roman"/>
          <w:b/>
        </w:rPr>
        <w:t xml:space="preserve"> and State representatives in all capacities</w:t>
      </w:r>
      <w:r>
        <w:rPr>
          <w:rFonts w:ascii="Times New Roman" w:hAnsi="Times New Roman" w:cs="Times New Roman"/>
          <w:b/>
        </w:rPr>
        <w:t>;</w:t>
      </w:r>
    </w:p>
    <w:p w:rsidR="00EE5584" w:rsidRPr="005C2B00" w:rsidRDefault="00EE5584" w:rsidP="00EE5584">
      <w:pPr>
        <w:spacing w:after="0"/>
        <w:ind w:left="540" w:hanging="540"/>
        <w:rPr>
          <w:rFonts w:ascii="Times New Roman" w:eastAsia="Times New Roman" w:hAnsi="Times New Roman" w:cs="Times New Roman"/>
          <w:b/>
        </w:rPr>
      </w:pPr>
      <w:r>
        <w:rPr>
          <w:rFonts w:ascii="Times New Roman" w:eastAsia="Times New Roman" w:hAnsi="Times New Roman" w:cs="Times New Roman"/>
          <w:b/>
        </w:rPr>
        <w:t xml:space="preserve">b) </w:t>
      </w:r>
      <w:r>
        <w:rPr>
          <w:rFonts w:ascii="Times New Roman" w:eastAsia="Times New Roman" w:hAnsi="Times New Roman" w:cs="Times New Roman"/>
          <w:b/>
        </w:rPr>
        <w:tab/>
      </w:r>
      <w:r w:rsidRPr="005C2B00">
        <w:rPr>
          <w:rFonts w:ascii="Times New Roman" w:eastAsia="Times New Roman" w:hAnsi="Times New Roman" w:cs="Times New Roman"/>
          <w:b/>
        </w:rPr>
        <w:t xml:space="preserve">Ensure timely, regular, public disclosure of negotiations and agreements between States and TNC-OBE (including announcements of meetings and lists of attendees, and publication of contracts and other relevant legal documents), including, but not limited to, those related to trade and investment agreement negotiations and those emanating from </w:t>
      </w:r>
      <w:proofErr w:type="gramStart"/>
      <w:r w:rsidRPr="005C2B00">
        <w:rPr>
          <w:rFonts w:ascii="Times New Roman" w:eastAsia="Times New Roman" w:hAnsi="Times New Roman" w:cs="Times New Roman"/>
          <w:b/>
        </w:rPr>
        <w:t>investor</w:t>
      </w:r>
      <w:proofErr w:type="gramEnd"/>
      <w:r w:rsidRPr="005C2B00">
        <w:rPr>
          <w:rFonts w:ascii="Times New Roman" w:eastAsia="Times New Roman" w:hAnsi="Times New Roman" w:cs="Times New Roman"/>
          <w:b/>
        </w:rPr>
        <w:t>-State dispute settlement processes</w:t>
      </w:r>
      <w:r w:rsidRPr="005C2B00">
        <w:rPr>
          <w:rFonts w:ascii="Times New Roman" w:hAnsi="Times New Roman" w:cs="Times New Roman"/>
          <w:b/>
        </w:rPr>
        <w:t>; and</w:t>
      </w:r>
    </w:p>
    <w:p w:rsidR="00EE5584" w:rsidRPr="00596935" w:rsidRDefault="00EE5584" w:rsidP="00EE5584">
      <w:pPr>
        <w:pStyle w:val="ListParagraph"/>
        <w:ind w:left="540" w:hanging="540"/>
        <w:rPr>
          <w:rFonts w:eastAsia="Times New Roman"/>
        </w:rPr>
      </w:pPr>
      <w:r>
        <w:rPr>
          <w:rFonts w:ascii="Times New Roman" w:hAnsi="Times New Roman" w:cs="Times New Roman"/>
          <w:b/>
          <w:lang w:eastAsia="nl-NL"/>
        </w:rPr>
        <w:t xml:space="preserve">c) </w:t>
      </w:r>
      <w:r>
        <w:rPr>
          <w:rFonts w:ascii="Times New Roman" w:hAnsi="Times New Roman" w:cs="Times New Roman"/>
          <w:b/>
          <w:lang w:eastAsia="nl-NL"/>
        </w:rPr>
        <w:tab/>
      </w:r>
      <w:r w:rsidRPr="00596935">
        <w:rPr>
          <w:rFonts w:ascii="Times New Roman" w:hAnsi="Times New Roman" w:cs="Times New Roman"/>
          <w:b/>
          <w:lang w:eastAsia="nl-NL"/>
        </w:rPr>
        <w:t>Ensure the right to an effective remedy</w:t>
      </w:r>
      <w:r>
        <w:rPr>
          <w:rFonts w:ascii="Times New Roman" w:hAnsi="Times New Roman" w:cs="Times New Roman"/>
          <w:b/>
          <w:lang w:eastAsia="nl-NL"/>
        </w:rPr>
        <w:t xml:space="preserve"> by</w:t>
      </w:r>
      <w:r w:rsidRPr="00596935">
        <w:rPr>
          <w:rFonts w:ascii="Times New Roman" w:hAnsi="Times New Roman" w:cs="Times New Roman"/>
          <w:b/>
          <w:lang w:eastAsia="nl-NL"/>
        </w:rPr>
        <w:t xml:space="preserve">, </w:t>
      </w:r>
      <w:r w:rsidRPr="006A5E31">
        <w:rPr>
          <w:rFonts w:ascii="Times New Roman" w:hAnsi="Times New Roman" w:cs="Times New Roman"/>
          <w:b/>
        </w:rPr>
        <w:t xml:space="preserve">in addition to the measures detailed in </w:t>
      </w:r>
      <w:r>
        <w:rPr>
          <w:rFonts w:ascii="Times New Roman" w:hAnsi="Times New Roman" w:cs="Times New Roman"/>
          <w:b/>
        </w:rPr>
        <w:t>R</w:t>
      </w:r>
      <w:r w:rsidRPr="006A5E31">
        <w:rPr>
          <w:rFonts w:ascii="Times New Roman" w:hAnsi="Times New Roman" w:cs="Times New Roman"/>
          <w:b/>
        </w:rPr>
        <w:t xml:space="preserve">ecommendation </w:t>
      </w:r>
      <w:r w:rsidRPr="005C2B00">
        <w:rPr>
          <w:rFonts w:ascii="Times New Roman" w:hAnsi="Times New Roman" w:cs="Times New Roman"/>
          <w:b/>
        </w:rPr>
        <w:t xml:space="preserve">2.7 </w:t>
      </w:r>
      <w:r w:rsidR="00C058A7">
        <w:rPr>
          <w:rFonts w:ascii="Times New Roman" w:hAnsi="Times New Roman" w:cs="Times New Roman"/>
          <w:b/>
        </w:rPr>
        <w:t>in our third submission</w:t>
      </w:r>
      <w:r>
        <w:rPr>
          <w:rFonts w:ascii="Times New Roman" w:hAnsi="Times New Roman" w:cs="Times New Roman"/>
          <w:b/>
        </w:rPr>
        <w:t xml:space="preserve">, </w:t>
      </w:r>
      <w:r w:rsidRPr="00596935">
        <w:rPr>
          <w:rFonts w:ascii="Times New Roman" w:hAnsi="Times New Roman" w:cs="Times New Roman"/>
          <w:b/>
          <w:lang w:eastAsia="nl-NL"/>
        </w:rPr>
        <w:t>establish</w:t>
      </w:r>
      <w:r>
        <w:rPr>
          <w:rFonts w:ascii="Times New Roman" w:hAnsi="Times New Roman" w:cs="Times New Roman"/>
          <w:b/>
          <w:lang w:eastAsia="nl-NL"/>
        </w:rPr>
        <w:t>ing</w:t>
      </w:r>
      <w:r w:rsidRPr="00596935">
        <w:rPr>
          <w:rFonts w:ascii="Times New Roman" w:hAnsi="Times New Roman" w:cs="Times New Roman"/>
          <w:b/>
          <w:lang w:eastAsia="nl-NL"/>
        </w:rPr>
        <w:t xml:space="preserve"> and appl</w:t>
      </w:r>
      <w:r>
        <w:rPr>
          <w:rFonts w:ascii="Times New Roman" w:hAnsi="Times New Roman" w:cs="Times New Roman"/>
          <w:b/>
          <w:lang w:eastAsia="nl-NL"/>
        </w:rPr>
        <w:t>ying</w:t>
      </w:r>
      <w:r w:rsidRPr="00596935">
        <w:rPr>
          <w:rFonts w:ascii="Times New Roman" w:hAnsi="Times New Roman" w:cs="Times New Roman"/>
          <w:b/>
          <w:lang w:eastAsia="nl-NL"/>
        </w:rPr>
        <w:t xml:space="preserve"> legal rules (for example, in relation to discovery/disclosure) to enable claimants to obtain all information necessary to support a claim against TNC-OBE of human rights abuse</w:t>
      </w:r>
      <w:r>
        <w:rPr>
          <w:rFonts w:ascii="Times New Roman" w:hAnsi="Times New Roman" w:cs="Times New Roman"/>
          <w:b/>
          <w:lang w:eastAsia="nl-NL"/>
        </w:rPr>
        <w:t>.</w:t>
      </w:r>
      <w:r w:rsidRPr="00596935">
        <w:rPr>
          <w:rFonts w:ascii="Times New Roman" w:hAnsi="Times New Roman" w:cs="Times New Roman"/>
          <w:b/>
          <w:lang w:eastAsia="nl-NL"/>
        </w:rPr>
        <w:t xml:space="preserve"> </w:t>
      </w:r>
    </w:p>
    <w:p w:rsidR="00EE5584" w:rsidRDefault="00EE5584" w:rsidP="00EE5584">
      <w:pPr>
        <w:pStyle w:val="ListParagraph"/>
        <w:spacing w:after="0"/>
        <w:ind w:left="540"/>
        <w:rPr>
          <w:rFonts w:ascii="Times New Roman" w:hAnsi="Times New Roman" w:cs="Times New Roman"/>
          <w:b/>
          <w:u w:val="single"/>
        </w:rPr>
      </w:pPr>
    </w:p>
    <w:p w:rsidR="00EE5584" w:rsidRPr="00AF27BF" w:rsidRDefault="00EE5584" w:rsidP="00EE5584">
      <w:pPr>
        <w:spacing w:after="0"/>
        <w:rPr>
          <w:rFonts w:ascii="Times New Roman" w:hAnsi="Times New Roman" w:cs="Times New Roman"/>
          <w:b/>
          <w:i/>
        </w:rPr>
      </w:pPr>
    </w:p>
    <w:p w:rsidR="00EE5584" w:rsidRPr="00AF27BF" w:rsidRDefault="00EE5584" w:rsidP="00C058A7">
      <w:pPr>
        <w:pStyle w:val="ListParagraph"/>
        <w:numPr>
          <w:ilvl w:val="1"/>
          <w:numId w:val="6"/>
        </w:numPr>
        <w:spacing w:after="0"/>
        <w:ind w:left="720" w:hanging="720"/>
        <w:rPr>
          <w:rFonts w:ascii="Times New Roman" w:hAnsi="Times New Roman" w:cs="Times New Roman"/>
          <w:b/>
          <w:u w:val="single"/>
        </w:rPr>
      </w:pPr>
      <w:r w:rsidRPr="00AF27BF">
        <w:rPr>
          <w:rFonts w:ascii="Times New Roman" w:hAnsi="Times New Roman" w:cs="Times New Roman"/>
          <w:b/>
          <w:u w:val="single"/>
        </w:rPr>
        <w:t>Extraterritorial Obligations</w:t>
      </w:r>
    </w:p>
    <w:p w:rsidR="00EE5584" w:rsidRPr="00AF27BF" w:rsidRDefault="00EE5584" w:rsidP="00EE5584">
      <w:pPr>
        <w:spacing w:after="0"/>
        <w:rPr>
          <w:rFonts w:ascii="Times New Roman" w:hAnsi="Times New Roman" w:cs="Times New Roman"/>
        </w:rPr>
      </w:pPr>
    </w:p>
    <w:p w:rsidR="00EE5584" w:rsidRDefault="00EE5584" w:rsidP="00EE5584">
      <w:pPr>
        <w:spacing w:after="0"/>
        <w:rPr>
          <w:rFonts w:ascii="Times New Roman" w:hAnsi="Times New Roman" w:cs="Times New Roman"/>
        </w:rPr>
      </w:pPr>
      <w:r w:rsidRPr="00AF27BF">
        <w:rPr>
          <w:rFonts w:ascii="Times New Roman" w:hAnsi="Times New Roman" w:cs="Times New Roman"/>
        </w:rPr>
        <w:t xml:space="preserve">The State obligation to protect </w:t>
      </w:r>
      <w:r>
        <w:rPr>
          <w:rFonts w:ascii="Times New Roman" w:hAnsi="Times New Roman" w:cs="Times New Roman"/>
        </w:rPr>
        <w:t xml:space="preserve">against </w:t>
      </w:r>
      <w:r w:rsidRPr="00AF27BF">
        <w:rPr>
          <w:rFonts w:ascii="Times New Roman" w:hAnsi="Times New Roman" w:cs="Times New Roman"/>
        </w:rPr>
        <w:t xml:space="preserve">human rights </w:t>
      </w:r>
      <w:r>
        <w:rPr>
          <w:rFonts w:ascii="Times New Roman" w:hAnsi="Times New Roman" w:cs="Times New Roman"/>
        </w:rPr>
        <w:t>abuses by non-State actors</w:t>
      </w:r>
      <w:r w:rsidRPr="00AF27BF">
        <w:rPr>
          <w:rFonts w:ascii="Times New Roman" w:hAnsi="Times New Roman" w:cs="Times New Roman"/>
        </w:rPr>
        <w:t xml:space="preserve">, including </w:t>
      </w:r>
      <w:r>
        <w:rPr>
          <w:rFonts w:ascii="Times New Roman" w:hAnsi="Times New Roman" w:cs="Times New Roman"/>
        </w:rPr>
        <w:t>TNC-OBE</w:t>
      </w:r>
      <w:r w:rsidRPr="00AF27BF">
        <w:rPr>
          <w:rFonts w:ascii="Times New Roman" w:hAnsi="Times New Roman" w:cs="Times New Roman"/>
        </w:rPr>
        <w:t xml:space="preserve">, is </w:t>
      </w:r>
      <w:r>
        <w:rPr>
          <w:rFonts w:ascii="Times New Roman" w:hAnsi="Times New Roman" w:cs="Times New Roman"/>
        </w:rPr>
        <w:t>a keystone of</w:t>
      </w:r>
      <w:r w:rsidRPr="00AF27BF">
        <w:rPr>
          <w:rFonts w:ascii="Times New Roman" w:hAnsi="Times New Roman" w:cs="Times New Roman"/>
        </w:rPr>
        <w:t xml:space="preserve"> </w:t>
      </w:r>
      <w:r>
        <w:rPr>
          <w:rFonts w:ascii="Times New Roman" w:hAnsi="Times New Roman" w:cs="Times New Roman"/>
        </w:rPr>
        <w:t xml:space="preserve">international human rights law and applies both within and outside State territory. </w:t>
      </w:r>
      <w:r w:rsidRPr="00AF27BF">
        <w:rPr>
          <w:rFonts w:ascii="Times New Roman" w:hAnsi="Times New Roman" w:cs="Times New Roman"/>
        </w:rPr>
        <w:t xml:space="preserve">States’ extraterritorial obligations (ETOs) – being the human rights obligations of a government toward people </w:t>
      </w:r>
      <w:r>
        <w:rPr>
          <w:rFonts w:ascii="Times New Roman" w:hAnsi="Times New Roman" w:cs="Times New Roman"/>
        </w:rPr>
        <w:t>situated</w:t>
      </w:r>
      <w:r w:rsidRPr="00AF27BF">
        <w:rPr>
          <w:rFonts w:ascii="Times New Roman" w:hAnsi="Times New Roman" w:cs="Times New Roman"/>
        </w:rPr>
        <w:t xml:space="preserve"> outside of its own territory – </w:t>
      </w:r>
      <w:r>
        <w:rPr>
          <w:rFonts w:ascii="Times New Roman" w:hAnsi="Times New Roman" w:cs="Times New Roman"/>
        </w:rPr>
        <w:t>are clarified, on the basis of existing international law, in</w:t>
      </w:r>
      <w:r w:rsidRPr="00AF27BF">
        <w:rPr>
          <w:rFonts w:ascii="Times New Roman" w:hAnsi="Times New Roman" w:cs="Times New Roman"/>
        </w:rPr>
        <w:t xml:space="preserve"> the </w:t>
      </w:r>
      <w:r w:rsidRPr="001B2EA9">
        <w:rPr>
          <w:rFonts w:ascii="Times New Roman" w:hAnsi="Times New Roman" w:cs="Times New Roman"/>
        </w:rPr>
        <w:t>Maastricht Principles on the Extraterritorial Obligations of States in the Area of Economic, Social and Cultural Rights</w:t>
      </w:r>
      <w:r>
        <w:rPr>
          <w:rFonts w:ascii="Times New Roman" w:hAnsi="Times New Roman" w:cs="Times New Roman"/>
        </w:rPr>
        <w:t xml:space="preserve"> (Maastricht Principles)</w:t>
      </w:r>
      <w:r w:rsidRPr="00AF27BF">
        <w:rPr>
          <w:rFonts w:ascii="Times New Roman" w:hAnsi="Times New Roman" w:cs="Times New Roman"/>
        </w:rPr>
        <w:t>.</w:t>
      </w:r>
      <w:r>
        <w:rPr>
          <w:rStyle w:val="FootnoteReference"/>
          <w:rFonts w:ascii="Times New Roman" w:hAnsi="Times New Roman" w:cs="Times New Roman"/>
        </w:rPr>
        <w:footnoteReference w:id="3"/>
      </w:r>
      <w:r w:rsidRPr="00AF27BF">
        <w:rPr>
          <w:rFonts w:ascii="Times New Roman" w:hAnsi="Times New Roman" w:cs="Times New Roman"/>
        </w:rPr>
        <w:t xml:space="preserve"> </w:t>
      </w:r>
    </w:p>
    <w:p w:rsidR="00EE5584" w:rsidRDefault="00EE5584" w:rsidP="00EE5584">
      <w:pPr>
        <w:spacing w:after="0"/>
        <w:rPr>
          <w:rFonts w:ascii="Times New Roman" w:hAnsi="Times New Roman" w:cs="Times New Roman"/>
        </w:rPr>
      </w:pPr>
    </w:p>
    <w:p w:rsidR="00EE5584" w:rsidRPr="00BA0830" w:rsidRDefault="00EE5584" w:rsidP="00EE5584">
      <w:pPr>
        <w:spacing w:after="0"/>
        <w:rPr>
          <w:rFonts w:ascii="Times New Roman" w:hAnsi="Times New Roman" w:cs="Times New Roman"/>
        </w:rPr>
      </w:pPr>
      <w:r>
        <w:rPr>
          <w:rFonts w:ascii="Times New Roman" w:hAnsi="Times New Roman" w:cs="Times New Roman"/>
        </w:rPr>
        <w:t>However, w</w:t>
      </w:r>
      <w:r w:rsidRPr="00BA0830">
        <w:rPr>
          <w:rFonts w:ascii="Times New Roman" w:hAnsi="Times New Roman" w:cs="Times New Roman"/>
        </w:rPr>
        <w:t xml:space="preserve">hile the application of ETOs to TNCs is supported by the opinions of international tribunals, treaty bodies, and UN Special Procedures, effective </w:t>
      </w:r>
      <w:r>
        <w:rPr>
          <w:rFonts w:ascii="Times New Roman" w:hAnsi="Times New Roman" w:cs="Times New Roman"/>
        </w:rPr>
        <w:t>compliance with</w:t>
      </w:r>
      <w:r w:rsidRPr="00BA0830">
        <w:rPr>
          <w:rFonts w:ascii="Times New Roman" w:hAnsi="Times New Roman" w:cs="Times New Roman"/>
        </w:rPr>
        <w:t xml:space="preserve"> ETOs is lacking in practice. States often do not take necessary measures to </w:t>
      </w:r>
      <w:r>
        <w:rPr>
          <w:rFonts w:ascii="Times New Roman" w:hAnsi="Times New Roman" w:cs="Times New Roman"/>
        </w:rPr>
        <w:t xml:space="preserve">respect human rights or </w:t>
      </w:r>
      <w:r w:rsidRPr="00BA0830">
        <w:rPr>
          <w:rFonts w:ascii="Times New Roman" w:hAnsi="Times New Roman" w:cs="Times New Roman"/>
        </w:rPr>
        <w:t xml:space="preserve">protect against human rights abuse by TNCs extraterritorially, nor ensure accountability where such human rights </w:t>
      </w:r>
      <w:r>
        <w:rPr>
          <w:rFonts w:ascii="Times New Roman" w:hAnsi="Times New Roman" w:cs="Times New Roman"/>
        </w:rPr>
        <w:t xml:space="preserve">violation or </w:t>
      </w:r>
      <w:r w:rsidRPr="00BA0830">
        <w:rPr>
          <w:rFonts w:ascii="Times New Roman" w:hAnsi="Times New Roman" w:cs="Times New Roman"/>
        </w:rPr>
        <w:t>impairment occurs. Often the biggest challenge faced by people and communities whose human rights are impaired by TNC activity comes when remedies are unavailable or inadequate where they are located, and they try to access the courts or other remedial mechanisms in the TNC’s ‘home’ State.</w:t>
      </w:r>
      <w:r w:rsidRPr="00BA0830">
        <w:rPr>
          <w:rStyle w:val="FootnoteReference"/>
          <w:rFonts w:ascii="Times New Roman" w:hAnsi="Times New Roman" w:cs="Times New Roman"/>
        </w:rPr>
        <w:footnoteReference w:id="4"/>
      </w:r>
      <w:r w:rsidRPr="00BA0830">
        <w:rPr>
          <w:rFonts w:ascii="Times New Roman" w:hAnsi="Times New Roman" w:cs="Times New Roman"/>
        </w:rPr>
        <w:t xml:space="preserve"> </w:t>
      </w:r>
      <w:r>
        <w:rPr>
          <w:rFonts w:ascii="Times New Roman" w:hAnsi="Times New Roman" w:cs="Times New Roman"/>
        </w:rPr>
        <w:t>In this regard, i</w:t>
      </w:r>
      <w:r w:rsidRPr="00BA0830">
        <w:rPr>
          <w:rFonts w:ascii="Times New Roman" w:hAnsi="Times New Roman" w:cs="Times New Roman"/>
        </w:rPr>
        <w:t xml:space="preserve">nconsistencies across jurisdictions exist because different countries have different rules about whether or how a person harmed by a TNC operating in a host State can seek remedy in the TNC’s home State. Further, the practical and legal difficulties in pursuing remedies (as referenced in Section </w:t>
      </w:r>
      <w:r w:rsidRPr="005C2B00">
        <w:rPr>
          <w:rFonts w:ascii="Times New Roman" w:hAnsi="Times New Roman" w:cs="Times New Roman"/>
        </w:rPr>
        <w:t xml:space="preserve">2.7 </w:t>
      </w:r>
      <w:r w:rsidR="00C058A7" w:rsidRPr="00C058A7">
        <w:rPr>
          <w:rFonts w:ascii="Times New Roman" w:hAnsi="Times New Roman" w:cs="Times New Roman"/>
        </w:rPr>
        <w:t>in our third submission</w:t>
      </w:r>
      <w:r w:rsidRPr="00BA0830">
        <w:rPr>
          <w:rFonts w:ascii="Times New Roman" w:hAnsi="Times New Roman" w:cs="Times New Roman"/>
        </w:rPr>
        <w:t xml:space="preserve">), are exacerbated when pursuing a remedy across borders. </w:t>
      </w:r>
    </w:p>
    <w:p w:rsidR="00EE5584" w:rsidRDefault="00EE5584" w:rsidP="00EE5584">
      <w:pPr>
        <w:spacing w:after="0"/>
        <w:rPr>
          <w:rFonts w:ascii="Times New Roman" w:hAnsi="Times New Roman" w:cs="Times New Roman"/>
        </w:rPr>
      </w:pPr>
    </w:p>
    <w:p w:rsidR="00EE5584" w:rsidRPr="00B82E53" w:rsidRDefault="00EE5584" w:rsidP="00EE5584">
      <w:pPr>
        <w:spacing w:after="0"/>
        <w:rPr>
          <w:rFonts w:ascii="Times New Roman" w:hAnsi="Times New Roman" w:cs="Times New Roman"/>
          <w:color w:val="000000"/>
          <w:sz w:val="21"/>
          <w:szCs w:val="21"/>
        </w:rPr>
      </w:pPr>
      <w:r w:rsidRPr="00BA0830">
        <w:rPr>
          <w:rFonts w:ascii="Times New Roman" w:hAnsi="Times New Roman" w:cs="Times New Roman"/>
        </w:rPr>
        <w:t>Closing these governance gaps requires two things. First, States must take necessary measures to ensure that TNCs which they are in a position to regulate do not nullify or impair the enjoyment of human rights in any other State.</w:t>
      </w:r>
      <w:r w:rsidRPr="00BA0830">
        <w:rPr>
          <w:rStyle w:val="FootnoteReference"/>
          <w:rFonts w:ascii="Times New Roman" w:hAnsi="Times New Roman" w:cs="Times New Roman"/>
        </w:rPr>
        <w:footnoteReference w:id="5"/>
      </w:r>
      <w:r w:rsidRPr="00BA0830">
        <w:rPr>
          <w:rFonts w:ascii="Times New Roman" w:hAnsi="Times New Roman" w:cs="Times New Roman"/>
        </w:rPr>
        <w:t xml:space="preserve"> </w:t>
      </w:r>
      <w:r>
        <w:rPr>
          <w:rFonts w:ascii="Times New Roman" w:hAnsi="Times New Roman" w:cs="Times New Roman"/>
        </w:rPr>
        <w:t xml:space="preserve"> </w:t>
      </w:r>
      <w:r w:rsidRPr="00BA0830">
        <w:rPr>
          <w:rFonts w:ascii="Times New Roman" w:hAnsi="Times New Roman" w:cs="Times New Roman"/>
        </w:rPr>
        <w:t xml:space="preserve">Second, States must </w:t>
      </w:r>
      <w:r w:rsidRPr="00B82E53">
        <w:rPr>
          <w:rFonts w:ascii="Times New Roman" w:hAnsi="Times New Roman" w:cs="Times New Roman"/>
          <w:color w:val="000000"/>
          <w:sz w:val="21"/>
          <w:szCs w:val="21"/>
        </w:rPr>
        <w:t>ensure the availability of effective mechanisms to provide for account</w:t>
      </w:r>
      <w:r w:rsidRPr="00B82E53">
        <w:rPr>
          <w:rFonts w:ascii="Times New Roman" w:hAnsi="Times New Roman" w:cs="Times New Roman"/>
          <w:color w:val="000000"/>
          <w:sz w:val="21"/>
          <w:szCs w:val="21"/>
        </w:rPr>
        <w:softHyphen/>
        <w:t xml:space="preserve">ability in the discharge of their ETOs, extending to the ability of persons whose human rights are impaired by a TNC in a host State to enjoy the right to a prompt, accessible and effective remedy in the TNC’s home State. </w:t>
      </w:r>
    </w:p>
    <w:p w:rsidR="00EE5584" w:rsidRDefault="00EE5584" w:rsidP="00EE5584">
      <w:pPr>
        <w:spacing w:after="0"/>
        <w:rPr>
          <w:rFonts w:ascii="Times New Roman" w:hAnsi="Times New Roman" w:cs="Times New Roman"/>
        </w:rPr>
      </w:pPr>
    </w:p>
    <w:p w:rsidR="00EE5584" w:rsidRDefault="00EE5584" w:rsidP="00EE5584">
      <w:pPr>
        <w:spacing w:after="0"/>
        <w:rPr>
          <w:rFonts w:ascii="Times New Roman" w:hAnsi="Times New Roman" w:cs="Times New Roman"/>
        </w:rPr>
      </w:pPr>
      <w:r>
        <w:rPr>
          <w:rFonts w:ascii="Times New Roman" w:hAnsi="Times New Roman" w:cs="Times New Roman"/>
        </w:rPr>
        <w:t>T</w:t>
      </w:r>
      <w:r w:rsidRPr="00AF27BF">
        <w:rPr>
          <w:rFonts w:ascii="Times New Roman" w:hAnsi="Times New Roman" w:cs="Times New Roman"/>
        </w:rPr>
        <w:t xml:space="preserve">he Treaty provides the opportunity to create a </w:t>
      </w:r>
      <w:r>
        <w:rPr>
          <w:rFonts w:ascii="Times New Roman" w:hAnsi="Times New Roman" w:cs="Times New Roman"/>
        </w:rPr>
        <w:t xml:space="preserve">uniform </w:t>
      </w:r>
      <w:r w:rsidRPr="00AF27BF">
        <w:rPr>
          <w:rFonts w:ascii="Times New Roman" w:hAnsi="Times New Roman" w:cs="Times New Roman"/>
        </w:rPr>
        <w:t xml:space="preserve">framework for States to address </w:t>
      </w:r>
      <w:r>
        <w:rPr>
          <w:rFonts w:ascii="Times New Roman" w:hAnsi="Times New Roman" w:cs="Times New Roman"/>
        </w:rPr>
        <w:t xml:space="preserve">these </w:t>
      </w:r>
      <w:r w:rsidRPr="00AF27BF">
        <w:rPr>
          <w:rFonts w:ascii="Times New Roman" w:hAnsi="Times New Roman" w:cs="Times New Roman"/>
        </w:rPr>
        <w:t>governance gap</w:t>
      </w:r>
      <w:r>
        <w:rPr>
          <w:rFonts w:ascii="Times New Roman" w:hAnsi="Times New Roman" w:cs="Times New Roman"/>
        </w:rPr>
        <w:t>s</w:t>
      </w:r>
      <w:r w:rsidRPr="00AF27BF">
        <w:rPr>
          <w:rFonts w:ascii="Times New Roman" w:hAnsi="Times New Roman" w:cs="Times New Roman"/>
        </w:rPr>
        <w:t xml:space="preserve"> and provide effective protection against human rights </w:t>
      </w:r>
      <w:r>
        <w:rPr>
          <w:rFonts w:ascii="Times New Roman" w:hAnsi="Times New Roman" w:cs="Times New Roman"/>
        </w:rPr>
        <w:t xml:space="preserve">abuses </w:t>
      </w:r>
      <w:r w:rsidRPr="00AF27BF">
        <w:rPr>
          <w:rFonts w:ascii="Times New Roman" w:hAnsi="Times New Roman" w:cs="Times New Roman"/>
        </w:rPr>
        <w:t xml:space="preserve">connected </w:t>
      </w:r>
      <w:r>
        <w:rPr>
          <w:rFonts w:ascii="Times New Roman" w:hAnsi="Times New Roman" w:cs="Times New Roman"/>
        </w:rPr>
        <w:t xml:space="preserve">to </w:t>
      </w:r>
      <w:r w:rsidRPr="00AF27BF">
        <w:rPr>
          <w:rFonts w:ascii="Times New Roman" w:hAnsi="Times New Roman" w:cs="Times New Roman"/>
        </w:rPr>
        <w:t>TNC</w:t>
      </w:r>
      <w:r>
        <w:rPr>
          <w:rFonts w:ascii="Times New Roman" w:hAnsi="Times New Roman" w:cs="Times New Roman"/>
        </w:rPr>
        <w:t xml:space="preserve"> activity extraterritorially</w:t>
      </w:r>
      <w:r w:rsidRPr="00AF27BF">
        <w:rPr>
          <w:rFonts w:ascii="Times New Roman" w:hAnsi="Times New Roman" w:cs="Times New Roman"/>
        </w:rPr>
        <w:t>.</w:t>
      </w:r>
    </w:p>
    <w:p w:rsidR="00C058A7" w:rsidRPr="00AF27BF" w:rsidRDefault="00C058A7" w:rsidP="00EE5584">
      <w:pPr>
        <w:spacing w:after="0"/>
        <w:rPr>
          <w:rFonts w:ascii="Times New Roman" w:hAnsi="Times New Roman" w:cs="Times New Roman"/>
        </w:rPr>
      </w:pPr>
    </w:p>
    <w:p w:rsidR="00EE5584" w:rsidRDefault="00EE5584" w:rsidP="00EE5584">
      <w:pPr>
        <w:shd w:val="clear" w:color="auto" w:fill="FFFFFF" w:themeFill="background1"/>
        <w:spacing w:after="0"/>
        <w:rPr>
          <w:rFonts w:ascii="Times New Roman" w:hAnsi="Times New Roman" w:cs="Times New Roman"/>
          <w:b/>
        </w:rPr>
      </w:pPr>
      <w:r w:rsidRPr="00596935">
        <w:rPr>
          <w:rFonts w:ascii="Times New Roman" w:hAnsi="Times New Roman" w:cs="Times New Roman"/>
          <w:b/>
          <w:u w:val="single"/>
        </w:rPr>
        <w:t>Key Recommendation</w:t>
      </w:r>
      <w:r w:rsidRPr="00596935">
        <w:rPr>
          <w:rFonts w:ascii="Times New Roman" w:hAnsi="Times New Roman" w:cs="Times New Roman"/>
          <w:b/>
        </w:rPr>
        <w:t xml:space="preserve">: The Treaty should set out a </w:t>
      </w:r>
      <w:r>
        <w:rPr>
          <w:rFonts w:ascii="Times New Roman" w:hAnsi="Times New Roman" w:cs="Times New Roman"/>
          <w:b/>
        </w:rPr>
        <w:t xml:space="preserve">general </w:t>
      </w:r>
      <w:r w:rsidRPr="00596935">
        <w:rPr>
          <w:rFonts w:ascii="Times New Roman" w:hAnsi="Times New Roman" w:cs="Times New Roman"/>
          <w:b/>
        </w:rPr>
        <w:t xml:space="preserve">framework for States </w:t>
      </w:r>
      <w:r>
        <w:rPr>
          <w:rFonts w:ascii="Times New Roman" w:hAnsi="Times New Roman" w:cs="Times New Roman"/>
          <w:b/>
        </w:rPr>
        <w:t xml:space="preserve">to ensure compliance with </w:t>
      </w:r>
      <w:r w:rsidRPr="00596935">
        <w:rPr>
          <w:rFonts w:ascii="Times New Roman" w:hAnsi="Times New Roman" w:cs="Times New Roman"/>
          <w:b/>
        </w:rPr>
        <w:t>ETOs in the context of TNC activity (including State-owned TNC</w:t>
      </w:r>
      <w:r>
        <w:rPr>
          <w:rFonts w:ascii="Times New Roman" w:hAnsi="Times New Roman" w:cs="Times New Roman"/>
          <w:b/>
        </w:rPr>
        <w:t>s</w:t>
      </w:r>
      <w:r w:rsidRPr="00596935">
        <w:rPr>
          <w:rFonts w:ascii="Times New Roman" w:hAnsi="Times New Roman" w:cs="Times New Roman"/>
          <w:b/>
        </w:rPr>
        <w:t>), includ</w:t>
      </w:r>
      <w:r>
        <w:rPr>
          <w:rFonts w:ascii="Times New Roman" w:hAnsi="Times New Roman" w:cs="Times New Roman"/>
          <w:b/>
        </w:rPr>
        <w:t>ing but not limited to</w:t>
      </w:r>
      <w:r w:rsidRPr="00596935">
        <w:rPr>
          <w:rFonts w:ascii="Times New Roman" w:hAnsi="Times New Roman" w:cs="Times New Roman"/>
          <w:b/>
        </w:rPr>
        <w:t>:</w:t>
      </w:r>
    </w:p>
    <w:p w:rsidR="00EE5584" w:rsidRPr="00596935" w:rsidRDefault="00EE5584" w:rsidP="00EE5584">
      <w:pPr>
        <w:shd w:val="clear" w:color="auto" w:fill="FFFFFF" w:themeFill="background1"/>
        <w:spacing w:after="0"/>
        <w:rPr>
          <w:rFonts w:ascii="Times New Roman" w:hAnsi="Times New Roman" w:cs="Times New Roman"/>
          <w:b/>
        </w:rPr>
      </w:pPr>
    </w:p>
    <w:p w:rsidR="00EE5584" w:rsidRPr="00596935" w:rsidRDefault="00EE5584" w:rsidP="00EE5584">
      <w:pPr>
        <w:pStyle w:val="ListParagraph"/>
        <w:numPr>
          <w:ilvl w:val="0"/>
          <w:numId w:val="2"/>
        </w:numPr>
        <w:shd w:val="clear" w:color="auto" w:fill="FFFFFF" w:themeFill="background1"/>
        <w:spacing w:after="0"/>
        <w:ind w:left="540" w:hanging="540"/>
        <w:rPr>
          <w:rFonts w:ascii="Times New Roman" w:hAnsi="Times New Roman" w:cs="Times New Roman"/>
          <w:b/>
        </w:rPr>
      </w:pPr>
      <w:r>
        <w:rPr>
          <w:rFonts w:ascii="Times New Roman" w:hAnsi="Times New Roman" w:cs="Times New Roman"/>
          <w:b/>
        </w:rPr>
        <w:t>The a</w:t>
      </w:r>
      <w:r w:rsidRPr="00596935">
        <w:rPr>
          <w:rFonts w:ascii="Times New Roman" w:hAnsi="Times New Roman" w:cs="Times New Roman"/>
          <w:b/>
        </w:rPr>
        <w:t>dopti</w:t>
      </w:r>
      <w:r>
        <w:rPr>
          <w:rFonts w:ascii="Times New Roman" w:hAnsi="Times New Roman" w:cs="Times New Roman"/>
          <w:b/>
        </w:rPr>
        <w:t>on</w:t>
      </w:r>
      <w:r w:rsidRPr="00596935">
        <w:rPr>
          <w:rFonts w:ascii="Times New Roman" w:hAnsi="Times New Roman" w:cs="Times New Roman"/>
          <w:b/>
        </w:rPr>
        <w:t xml:space="preserve"> and enforc</w:t>
      </w:r>
      <w:r>
        <w:rPr>
          <w:rFonts w:ascii="Times New Roman" w:hAnsi="Times New Roman" w:cs="Times New Roman"/>
          <w:b/>
        </w:rPr>
        <w:t>ement of</w:t>
      </w:r>
      <w:r w:rsidRPr="00596935">
        <w:rPr>
          <w:rFonts w:ascii="Times New Roman" w:hAnsi="Times New Roman" w:cs="Times New Roman"/>
          <w:b/>
        </w:rPr>
        <w:t xml:space="preserve"> all necessary administrative, legislative, investigative, adjudicatory and other measures to respect </w:t>
      </w:r>
      <w:r>
        <w:rPr>
          <w:rFonts w:ascii="Times New Roman" w:hAnsi="Times New Roman" w:cs="Times New Roman"/>
          <w:b/>
        </w:rPr>
        <w:t>and fulfill human rights extraterritorially;</w:t>
      </w:r>
    </w:p>
    <w:p w:rsidR="00EE5584" w:rsidRPr="00596935" w:rsidRDefault="00EE5584" w:rsidP="00EE5584">
      <w:pPr>
        <w:pStyle w:val="ListParagraph"/>
        <w:numPr>
          <w:ilvl w:val="0"/>
          <w:numId w:val="2"/>
        </w:numPr>
        <w:shd w:val="clear" w:color="auto" w:fill="FFFFFF" w:themeFill="background1"/>
        <w:spacing w:after="0"/>
        <w:ind w:left="540" w:hanging="540"/>
        <w:rPr>
          <w:rFonts w:ascii="Times New Roman" w:hAnsi="Times New Roman" w:cs="Times New Roman"/>
          <w:b/>
        </w:rPr>
      </w:pPr>
      <w:r>
        <w:rPr>
          <w:rFonts w:ascii="Times New Roman" w:hAnsi="Times New Roman" w:cs="Times New Roman"/>
          <w:b/>
        </w:rPr>
        <w:t xml:space="preserve">The undertaking of </w:t>
      </w:r>
      <w:r w:rsidRPr="00596935">
        <w:rPr>
          <w:rFonts w:ascii="Times New Roman" w:hAnsi="Times New Roman" w:cs="Times New Roman"/>
          <w:b/>
        </w:rPr>
        <w:t>all necessary measures aimed at pr</w:t>
      </w:r>
      <w:r>
        <w:rPr>
          <w:rFonts w:ascii="Times New Roman" w:hAnsi="Times New Roman" w:cs="Times New Roman"/>
          <w:b/>
        </w:rPr>
        <w:t>otecting against</w:t>
      </w:r>
      <w:r w:rsidRPr="00596935">
        <w:rPr>
          <w:rFonts w:ascii="Times New Roman" w:hAnsi="Times New Roman" w:cs="Times New Roman"/>
          <w:b/>
        </w:rPr>
        <w:t xml:space="preserve"> extraterritorial </w:t>
      </w:r>
      <w:r w:rsidRPr="00E1658C">
        <w:rPr>
          <w:rFonts w:ascii="Times New Roman" w:hAnsi="Times New Roman" w:cs="Times New Roman"/>
          <w:b/>
        </w:rPr>
        <w:t>human rights abuse</w:t>
      </w:r>
      <w:r w:rsidRPr="00596935">
        <w:rPr>
          <w:rFonts w:ascii="Times New Roman" w:hAnsi="Times New Roman" w:cs="Times New Roman"/>
          <w:b/>
        </w:rPr>
        <w:t xml:space="preserve"> by TNCs which they are in a position to regulate, including but not limited to:</w:t>
      </w:r>
    </w:p>
    <w:p w:rsidR="00EE5584" w:rsidRPr="00596935" w:rsidRDefault="00EE5584" w:rsidP="00EE5584">
      <w:pPr>
        <w:shd w:val="clear" w:color="auto" w:fill="FFFFFF" w:themeFill="background1"/>
        <w:spacing w:after="0"/>
        <w:ind w:left="1080" w:hanging="540"/>
        <w:rPr>
          <w:rFonts w:ascii="Times New Roman" w:hAnsi="Times New Roman" w:cs="Times New Roman"/>
          <w:b/>
        </w:rPr>
      </w:pPr>
      <w:r w:rsidRPr="00453AF3">
        <w:rPr>
          <w:rFonts w:ascii="Times New Roman" w:hAnsi="Times New Roman" w:cs="Times New Roman"/>
          <w:b/>
        </w:rPr>
        <w:t xml:space="preserve">i. </w:t>
      </w:r>
      <w:r w:rsidRPr="00453AF3">
        <w:rPr>
          <w:rFonts w:ascii="Times New Roman" w:hAnsi="Times New Roman" w:cs="Times New Roman"/>
          <w:b/>
        </w:rPr>
        <w:tab/>
      </w:r>
      <w:r>
        <w:rPr>
          <w:rFonts w:ascii="Times New Roman" w:hAnsi="Times New Roman" w:cs="Times New Roman"/>
          <w:b/>
        </w:rPr>
        <w:t>t</w:t>
      </w:r>
      <w:r w:rsidRPr="00453AF3">
        <w:rPr>
          <w:rFonts w:ascii="Times New Roman" w:hAnsi="Times New Roman" w:cs="Times New Roman"/>
          <w:b/>
        </w:rPr>
        <w:t>he e</w:t>
      </w:r>
      <w:r w:rsidRPr="00596935">
        <w:rPr>
          <w:rFonts w:ascii="Times New Roman" w:hAnsi="Times New Roman" w:cs="Times New Roman"/>
          <w:b/>
        </w:rPr>
        <w:t>stablish</w:t>
      </w:r>
      <w:r w:rsidRPr="00453AF3">
        <w:rPr>
          <w:rFonts w:ascii="Times New Roman" w:hAnsi="Times New Roman" w:cs="Times New Roman"/>
          <w:b/>
        </w:rPr>
        <w:t xml:space="preserve">ment of </w:t>
      </w:r>
      <w:r w:rsidRPr="00596935">
        <w:rPr>
          <w:rFonts w:ascii="Times New Roman" w:hAnsi="Times New Roman" w:cs="Times New Roman"/>
          <w:b/>
        </w:rPr>
        <w:t>national legislation</w:t>
      </w:r>
      <w:r w:rsidRPr="00453AF3">
        <w:rPr>
          <w:rFonts w:ascii="Times New Roman" w:hAnsi="Times New Roman" w:cs="Times New Roman"/>
          <w:b/>
        </w:rPr>
        <w:t xml:space="preserve"> requiring </w:t>
      </w:r>
      <w:r w:rsidRPr="00596935">
        <w:rPr>
          <w:rFonts w:ascii="Times New Roman" w:hAnsi="Times New Roman" w:cs="Times New Roman"/>
          <w:b/>
        </w:rPr>
        <w:t>mandatory human rights due diligence</w:t>
      </w:r>
      <w:r>
        <w:rPr>
          <w:rFonts w:ascii="Times New Roman" w:hAnsi="Times New Roman" w:cs="Times New Roman"/>
          <w:b/>
        </w:rPr>
        <w:t xml:space="preserve"> </w:t>
      </w:r>
      <w:r w:rsidRPr="00453AF3">
        <w:rPr>
          <w:rFonts w:ascii="Times New Roman" w:hAnsi="Times New Roman" w:cs="Times New Roman"/>
          <w:b/>
        </w:rPr>
        <w:t>by</w:t>
      </w:r>
      <w:r>
        <w:rPr>
          <w:rFonts w:ascii="Times New Roman" w:hAnsi="Times New Roman" w:cs="Times New Roman"/>
          <w:b/>
        </w:rPr>
        <w:t xml:space="preserve"> TNC-OBE</w:t>
      </w:r>
      <w:r w:rsidRPr="00596935">
        <w:rPr>
          <w:rFonts w:ascii="Times New Roman" w:hAnsi="Times New Roman" w:cs="Times New Roman"/>
          <w:b/>
        </w:rPr>
        <w:t xml:space="preserve">, </w:t>
      </w:r>
      <w:r>
        <w:rPr>
          <w:rFonts w:ascii="Times New Roman" w:hAnsi="Times New Roman" w:cs="Times New Roman"/>
          <w:b/>
        </w:rPr>
        <w:t>which, in addition to R</w:t>
      </w:r>
      <w:r w:rsidRPr="00596935">
        <w:rPr>
          <w:rFonts w:ascii="Times New Roman" w:hAnsi="Times New Roman" w:cs="Times New Roman"/>
          <w:b/>
        </w:rPr>
        <w:t xml:space="preserve">ecommendation </w:t>
      </w:r>
      <w:r w:rsidRPr="005C2B00">
        <w:rPr>
          <w:rFonts w:ascii="Times New Roman" w:hAnsi="Times New Roman" w:cs="Times New Roman"/>
          <w:b/>
        </w:rPr>
        <w:t xml:space="preserve">2.5(a) above, </w:t>
      </w:r>
      <w:r w:rsidRPr="00596935">
        <w:rPr>
          <w:rFonts w:ascii="Times New Roman" w:hAnsi="Times New Roman" w:cs="Times New Roman"/>
          <w:b/>
        </w:rPr>
        <w:t>has extraterritorial effect;</w:t>
      </w:r>
    </w:p>
    <w:p w:rsidR="00EE5584" w:rsidRPr="00596935" w:rsidRDefault="00EE5584" w:rsidP="00EE5584">
      <w:pPr>
        <w:pStyle w:val="ListParagraph"/>
        <w:shd w:val="clear" w:color="auto" w:fill="FFFFFF" w:themeFill="background1"/>
        <w:spacing w:after="0"/>
        <w:ind w:left="1080" w:hanging="540"/>
        <w:rPr>
          <w:rFonts w:ascii="Times New Roman" w:hAnsi="Times New Roman" w:cs="Times New Roman"/>
          <w:b/>
        </w:rPr>
      </w:pPr>
      <w:r>
        <w:rPr>
          <w:rFonts w:ascii="Times New Roman" w:hAnsi="Times New Roman" w:cs="Times New Roman"/>
          <w:b/>
        </w:rPr>
        <w:t xml:space="preserve">ii. </w:t>
      </w:r>
      <w:r>
        <w:rPr>
          <w:rFonts w:ascii="Times New Roman" w:hAnsi="Times New Roman" w:cs="Times New Roman"/>
          <w:b/>
        </w:rPr>
        <w:tab/>
        <w:t>r</w:t>
      </w:r>
      <w:r w:rsidRPr="00596935">
        <w:rPr>
          <w:rFonts w:ascii="Times New Roman" w:hAnsi="Times New Roman" w:cs="Times New Roman"/>
          <w:b/>
        </w:rPr>
        <w:t>estricting</w:t>
      </w:r>
      <w:r>
        <w:rPr>
          <w:rFonts w:ascii="Times New Roman" w:hAnsi="Times New Roman" w:cs="Times New Roman"/>
          <w:b/>
        </w:rPr>
        <w:t>,</w:t>
      </w:r>
      <w:r w:rsidRPr="00596935">
        <w:rPr>
          <w:rFonts w:ascii="Times New Roman" w:hAnsi="Times New Roman" w:cs="Times New Roman"/>
          <w:b/>
        </w:rPr>
        <w:t xml:space="preserve"> through national legislation</w:t>
      </w:r>
      <w:r>
        <w:rPr>
          <w:rFonts w:ascii="Times New Roman" w:hAnsi="Times New Roman" w:cs="Times New Roman"/>
          <w:b/>
        </w:rPr>
        <w:t>,</w:t>
      </w:r>
      <w:r w:rsidRPr="00596935">
        <w:rPr>
          <w:rFonts w:ascii="Times New Roman" w:hAnsi="Times New Roman" w:cs="Times New Roman"/>
          <w:b/>
        </w:rPr>
        <w:t xml:space="preserve"> access to public procurement contracts to </w:t>
      </w:r>
      <w:r>
        <w:rPr>
          <w:rFonts w:ascii="Times New Roman" w:hAnsi="Times New Roman" w:cs="Times New Roman"/>
          <w:b/>
        </w:rPr>
        <w:t xml:space="preserve">those </w:t>
      </w:r>
      <w:r w:rsidRPr="00596935">
        <w:rPr>
          <w:rFonts w:ascii="Times New Roman" w:hAnsi="Times New Roman" w:cs="Times New Roman"/>
          <w:b/>
        </w:rPr>
        <w:t>TNC</w:t>
      </w:r>
      <w:r>
        <w:rPr>
          <w:rFonts w:ascii="Times New Roman" w:hAnsi="Times New Roman" w:cs="Times New Roman"/>
          <w:b/>
        </w:rPr>
        <w:t>s</w:t>
      </w:r>
      <w:r w:rsidRPr="00596935">
        <w:rPr>
          <w:rFonts w:ascii="Times New Roman" w:hAnsi="Times New Roman" w:cs="Times New Roman"/>
          <w:b/>
        </w:rPr>
        <w:t xml:space="preserve"> that implement extraterritorial measures t</w:t>
      </w:r>
      <w:r>
        <w:rPr>
          <w:rFonts w:ascii="Times New Roman" w:hAnsi="Times New Roman" w:cs="Times New Roman"/>
          <w:b/>
        </w:rPr>
        <w:t>o</w:t>
      </w:r>
      <w:r w:rsidRPr="00596935">
        <w:rPr>
          <w:rFonts w:ascii="Times New Roman" w:hAnsi="Times New Roman" w:cs="Times New Roman"/>
          <w:b/>
        </w:rPr>
        <w:t xml:space="preserve"> respect human rights throughout their operations, supply chains and business relationships;</w:t>
      </w:r>
      <w:r>
        <w:rPr>
          <w:rFonts w:ascii="Times New Roman" w:hAnsi="Times New Roman" w:cs="Times New Roman"/>
          <w:b/>
        </w:rPr>
        <w:t xml:space="preserve"> and</w:t>
      </w:r>
      <w:r w:rsidRPr="00596935">
        <w:rPr>
          <w:rFonts w:ascii="Times New Roman" w:hAnsi="Times New Roman" w:cs="Times New Roman"/>
          <w:b/>
        </w:rPr>
        <w:t xml:space="preserve"> </w:t>
      </w:r>
    </w:p>
    <w:p w:rsidR="00EE5584" w:rsidRPr="00596935" w:rsidRDefault="00EE5584" w:rsidP="00EE5584">
      <w:pPr>
        <w:pStyle w:val="ListParagraph"/>
        <w:shd w:val="clear" w:color="auto" w:fill="FFFFFF" w:themeFill="background1"/>
        <w:spacing w:after="0"/>
        <w:ind w:left="1080" w:hanging="540"/>
        <w:rPr>
          <w:rFonts w:ascii="Times New Roman" w:hAnsi="Times New Roman" w:cs="Times New Roman"/>
          <w:b/>
        </w:rPr>
      </w:pPr>
      <w:r>
        <w:rPr>
          <w:rFonts w:ascii="Times New Roman" w:hAnsi="Times New Roman" w:cs="Times New Roman"/>
          <w:b/>
        </w:rPr>
        <w:t xml:space="preserve">iii. </w:t>
      </w:r>
      <w:r>
        <w:rPr>
          <w:rFonts w:ascii="Times New Roman" w:hAnsi="Times New Roman" w:cs="Times New Roman"/>
          <w:b/>
        </w:rPr>
        <w:tab/>
      </w:r>
      <w:r w:rsidRPr="00997FF1">
        <w:rPr>
          <w:rFonts w:ascii="Times New Roman" w:hAnsi="Times New Roman" w:cs="Times New Roman"/>
          <w:b/>
        </w:rPr>
        <w:t>e</w:t>
      </w:r>
      <w:r w:rsidRPr="00596935">
        <w:rPr>
          <w:rFonts w:ascii="Times New Roman" w:hAnsi="Times New Roman" w:cs="Times New Roman"/>
          <w:b/>
        </w:rPr>
        <w:t>xercising all available additional means of influence over TNC activity extraterritorially, including for example, withholding or withdrawing economic, financial, political, military or other forms of support</w:t>
      </w:r>
      <w:r>
        <w:rPr>
          <w:rFonts w:ascii="Times New Roman" w:hAnsi="Times New Roman" w:cs="Times New Roman"/>
          <w:b/>
        </w:rPr>
        <w:t>;</w:t>
      </w:r>
    </w:p>
    <w:p w:rsidR="00EE5584" w:rsidRPr="00596935" w:rsidRDefault="00EE5584" w:rsidP="00EE5584">
      <w:pPr>
        <w:pStyle w:val="ListParagraph"/>
        <w:numPr>
          <w:ilvl w:val="0"/>
          <w:numId w:val="2"/>
        </w:numPr>
        <w:shd w:val="clear" w:color="auto" w:fill="FFFFFF" w:themeFill="background1"/>
        <w:spacing w:after="0"/>
        <w:ind w:left="540" w:hanging="540"/>
        <w:rPr>
          <w:rFonts w:ascii="Times New Roman" w:hAnsi="Times New Roman" w:cs="Times New Roman"/>
          <w:b/>
        </w:rPr>
      </w:pPr>
      <w:r>
        <w:rPr>
          <w:rFonts w:ascii="Times New Roman" w:hAnsi="Times New Roman" w:cs="Times New Roman"/>
          <w:b/>
        </w:rPr>
        <w:t>The a</w:t>
      </w:r>
      <w:r w:rsidRPr="00596935">
        <w:rPr>
          <w:rFonts w:ascii="Times New Roman" w:hAnsi="Times New Roman" w:cs="Times New Roman"/>
          <w:b/>
        </w:rPr>
        <w:t>dopti</w:t>
      </w:r>
      <w:r>
        <w:rPr>
          <w:rFonts w:ascii="Times New Roman" w:hAnsi="Times New Roman" w:cs="Times New Roman"/>
          <w:b/>
        </w:rPr>
        <w:t xml:space="preserve">on </w:t>
      </w:r>
      <w:r w:rsidRPr="00596935">
        <w:rPr>
          <w:rFonts w:ascii="Times New Roman" w:hAnsi="Times New Roman" w:cs="Times New Roman"/>
          <w:b/>
        </w:rPr>
        <w:t>and enforc</w:t>
      </w:r>
      <w:r>
        <w:rPr>
          <w:rFonts w:ascii="Times New Roman" w:hAnsi="Times New Roman" w:cs="Times New Roman"/>
          <w:b/>
        </w:rPr>
        <w:t>ement of</w:t>
      </w:r>
      <w:r w:rsidRPr="00596935">
        <w:rPr>
          <w:rFonts w:ascii="Times New Roman" w:hAnsi="Times New Roman" w:cs="Times New Roman"/>
          <w:b/>
        </w:rPr>
        <w:t xml:space="preserve"> all necessary administrative, legislative, investigative, adjudicatory and other measures to guarantee the right to an effective remedy, in home States, for persons situated extraterritorially whose human rights are impaired by TNCs</w:t>
      </w:r>
      <w:r>
        <w:rPr>
          <w:rFonts w:ascii="Times New Roman" w:hAnsi="Times New Roman" w:cs="Times New Roman"/>
          <w:b/>
        </w:rPr>
        <w:t>,</w:t>
      </w:r>
      <w:r w:rsidRPr="00596935">
        <w:rPr>
          <w:rFonts w:ascii="Times New Roman" w:hAnsi="Times New Roman" w:cs="Times New Roman"/>
          <w:b/>
        </w:rPr>
        <w:t xml:space="preserve"> which the State is in a position to regulate, including, in addition to the measures detailed in </w:t>
      </w:r>
      <w:r w:rsidRPr="000F6869">
        <w:rPr>
          <w:rFonts w:ascii="Times New Roman" w:hAnsi="Times New Roman" w:cs="Times New Roman"/>
          <w:b/>
        </w:rPr>
        <w:t xml:space="preserve">Recommendation </w:t>
      </w:r>
      <w:r w:rsidRPr="005C2B00">
        <w:rPr>
          <w:rFonts w:ascii="Times New Roman" w:hAnsi="Times New Roman" w:cs="Times New Roman"/>
          <w:b/>
        </w:rPr>
        <w:t xml:space="preserve">2.7 </w:t>
      </w:r>
      <w:r w:rsidR="00C058A7">
        <w:rPr>
          <w:rFonts w:ascii="Times New Roman" w:hAnsi="Times New Roman" w:cs="Times New Roman"/>
          <w:b/>
        </w:rPr>
        <w:t>in our third submission</w:t>
      </w:r>
      <w:r>
        <w:rPr>
          <w:rFonts w:ascii="Times New Roman" w:hAnsi="Times New Roman" w:cs="Times New Roman"/>
          <w:b/>
        </w:rPr>
        <w:t>:</w:t>
      </w:r>
      <w:r w:rsidRPr="00596935">
        <w:rPr>
          <w:rFonts w:ascii="Times New Roman" w:hAnsi="Times New Roman" w:cs="Times New Roman"/>
          <w:b/>
        </w:rPr>
        <w:t xml:space="preserve"> </w:t>
      </w:r>
    </w:p>
    <w:p w:rsidR="00EE5584" w:rsidRPr="00596935" w:rsidRDefault="00EE5584" w:rsidP="00EE5584">
      <w:pPr>
        <w:pStyle w:val="ListParagraph"/>
        <w:shd w:val="clear" w:color="auto" w:fill="FFFFFF" w:themeFill="background1"/>
        <w:spacing w:after="0"/>
        <w:ind w:left="1080" w:hanging="540"/>
        <w:rPr>
          <w:rFonts w:ascii="Times New Roman" w:hAnsi="Times New Roman" w:cs="Times New Roman"/>
          <w:b/>
        </w:rPr>
      </w:pPr>
      <w:r>
        <w:rPr>
          <w:rFonts w:ascii="Times New Roman" w:hAnsi="Times New Roman" w:cs="Times New Roman"/>
          <w:b/>
        </w:rPr>
        <w:t xml:space="preserve">i. </w:t>
      </w:r>
      <w:r>
        <w:rPr>
          <w:rFonts w:ascii="Times New Roman" w:hAnsi="Times New Roman" w:cs="Times New Roman"/>
          <w:b/>
        </w:rPr>
        <w:tab/>
        <w:t>e</w:t>
      </w:r>
      <w:r w:rsidRPr="00596935">
        <w:rPr>
          <w:rFonts w:ascii="Times New Roman" w:hAnsi="Times New Roman" w:cs="Times New Roman"/>
          <w:b/>
        </w:rPr>
        <w:t xml:space="preserve">liminating </w:t>
      </w:r>
      <w:r w:rsidRPr="00B6736F">
        <w:rPr>
          <w:rFonts w:ascii="Times New Roman" w:hAnsi="Times New Roman" w:cs="Times New Roman"/>
          <w:b/>
          <w:i/>
        </w:rPr>
        <w:t xml:space="preserve">forum non </w:t>
      </w:r>
      <w:proofErr w:type="spellStart"/>
      <w:r w:rsidRPr="00B6736F">
        <w:rPr>
          <w:rFonts w:ascii="Times New Roman" w:hAnsi="Times New Roman" w:cs="Times New Roman"/>
          <w:b/>
          <w:i/>
        </w:rPr>
        <w:t>conveniens</w:t>
      </w:r>
      <w:proofErr w:type="spellEnd"/>
      <w:r w:rsidRPr="00596935">
        <w:rPr>
          <w:rFonts w:ascii="Times New Roman" w:hAnsi="Times New Roman" w:cs="Times New Roman"/>
          <w:b/>
        </w:rPr>
        <w:t xml:space="preserve"> as a bar to lawsuits involving TNC activity;</w:t>
      </w:r>
    </w:p>
    <w:p w:rsidR="00EE5584" w:rsidRPr="00596935" w:rsidRDefault="00EE5584" w:rsidP="00EE5584">
      <w:pPr>
        <w:pStyle w:val="ListParagraph"/>
        <w:shd w:val="clear" w:color="auto" w:fill="FFFFFF" w:themeFill="background1"/>
        <w:spacing w:after="0"/>
        <w:ind w:left="1080" w:hanging="540"/>
        <w:rPr>
          <w:rFonts w:ascii="Times New Roman" w:hAnsi="Times New Roman" w:cs="Times New Roman"/>
          <w:b/>
        </w:rPr>
      </w:pPr>
      <w:r>
        <w:rPr>
          <w:rFonts w:ascii="Times New Roman" w:hAnsi="Times New Roman" w:cs="Times New Roman"/>
          <w:b/>
        </w:rPr>
        <w:t xml:space="preserve">ii. </w:t>
      </w:r>
      <w:r>
        <w:rPr>
          <w:rFonts w:ascii="Times New Roman" w:hAnsi="Times New Roman" w:cs="Times New Roman"/>
          <w:b/>
        </w:rPr>
        <w:tab/>
      </w:r>
      <w:r w:rsidRPr="00E0080D">
        <w:rPr>
          <w:rFonts w:ascii="Times New Roman" w:hAnsi="Times New Roman" w:cs="Times New Roman"/>
          <w:b/>
        </w:rPr>
        <w:t>f</w:t>
      </w:r>
      <w:r w:rsidRPr="00596935">
        <w:rPr>
          <w:rFonts w:ascii="Times New Roman" w:hAnsi="Times New Roman" w:cs="Times New Roman"/>
          <w:b/>
        </w:rPr>
        <w:t>acilitating the ability of witnesses to provide testimony without being present in court, in a way that guarantees their personal safety; and</w:t>
      </w:r>
    </w:p>
    <w:p w:rsidR="00EE5584" w:rsidRDefault="00EE5584" w:rsidP="00EE5584">
      <w:pPr>
        <w:pStyle w:val="ListParagraph"/>
        <w:shd w:val="clear" w:color="auto" w:fill="FFFFFF" w:themeFill="background1"/>
        <w:spacing w:after="0"/>
        <w:ind w:left="1080" w:hanging="540"/>
        <w:rPr>
          <w:rFonts w:ascii="Times New Roman" w:hAnsi="Times New Roman" w:cs="Times New Roman"/>
          <w:b/>
        </w:rPr>
      </w:pPr>
      <w:r>
        <w:rPr>
          <w:rFonts w:ascii="Times New Roman" w:hAnsi="Times New Roman" w:cs="Times New Roman"/>
          <w:b/>
        </w:rPr>
        <w:t xml:space="preserve">iii. </w:t>
      </w:r>
      <w:r>
        <w:rPr>
          <w:rFonts w:ascii="Times New Roman" w:hAnsi="Times New Roman" w:cs="Times New Roman"/>
          <w:b/>
        </w:rPr>
        <w:tab/>
        <w:t>w</w:t>
      </w:r>
      <w:r w:rsidRPr="00596935">
        <w:rPr>
          <w:rFonts w:ascii="Times New Roman" w:hAnsi="Times New Roman" w:cs="Times New Roman"/>
          <w:b/>
        </w:rPr>
        <w:t>orking separately and together with other States</w:t>
      </w:r>
      <w:r>
        <w:rPr>
          <w:rFonts w:ascii="Times New Roman" w:hAnsi="Times New Roman" w:cs="Times New Roman"/>
          <w:b/>
        </w:rPr>
        <w:t xml:space="preserve"> through international cooperation and assistance</w:t>
      </w:r>
      <w:r w:rsidRPr="00596935">
        <w:rPr>
          <w:rFonts w:ascii="Times New Roman" w:hAnsi="Times New Roman" w:cs="Times New Roman"/>
          <w:b/>
        </w:rPr>
        <w:t>, providing for reciprocal enforcement of remedial decisions.</w:t>
      </w:r>
    </w:p>
    <w:p w:rsidR="00C058A7" w:rsidRPr="00D44A9C" w:rsidRDefault="00C058A7" w:rsidP="00EE5584">
      <w:pPr>
        <w:pStyle w:val="ListParagraph"/>
        <w:shd w:val="clear" w:color="auto" w:fill="FFFFFF" w:themeFill="background1"/>
        <w:spacing w:after="0"/>
        <w:ind w:left="1080" w:hanging="540"/>
      </w:pPr>
    </w:p>
    <w:p w:rsidR="00EE5584" w:rsidRDefault="00EE5584" w:rsidP="00EE5584">
      <w:pPr>
        <w:pStyle w:val="ListParagraph"/>
        <w:pBdr>
          <w:bottom w:val="single" w:sz="6" w:space="1" w:color="auto"/>
        </w:pBdr>
        <w:spacing w:after="0"/>
        <w:ind w:left="540"/>
        <w:rPr>
          <w:rFonts w:ascii="Times New Roman" w:hAnsi="Times New Roman" w:cs="Times New Roman"/>
          <w:b/>
          <w:u w:val="single"/>
        </w:rPr>
      </w:pPr>
    </w:p>
    <w:p w:rsidR="00C058A7" w:rsidRDefault="00C058A7" w:rsidP="00EE5584"/>
    <w:p w:rsidR="00EE5584" w:rsidRDefault="00EE5584" w:rsidP="00EE5584"/>
    <w:p w:rsidR="00EE5584" w:rsidRDefault="00C058A7" w:rsidP="00B9505A">
      <w:pPr>
        <w:jc w:val="center"/>
        <w:rPr>
          <w:b/>
          <w:sz w:val="28"/>
          <w:szCs w:val="28"/>
        </w:rPr>
      </w:pPr>
      <w:r>
        <w:rPr>
          <w:b/>
          <w:sz w:val="28"/>
          <w:szCs w:val="28"/>
        </w:rPr>
        <w:br w:type="page"/>
      </w:r>
      <w:r w:rsidR="00EE5584" w:rsidRPr="008B0CEF">
        <w:rPr>
          <w:b/>
          <w:sz w:val="28"/>
          <w:szCs w:val="28"/>
        </w:rPr>
        <w:lastRenderedPageBreak/>
        <w:t>Signatories from the ESCR-Net Corporate Accountabilit</w:t>
      </w:r>
      <w:bookmarkStart w:id="0" w:name="_GoBack"/>
      <w:bookmarkEnd w:id="0"/>
      <w:r w:rsidR="00EE5584" w:rsidRPr="008B0CEF">
        <w:rPr>
          <w:b/>
          <w:sz w:val="28"/>
          <w:szCs w:val="28"/>
        </w:rPr>
        <w:t>y Working Group</w:t>
      </w:r>
    </w:p>
    <w:p w:rsidR="00EE5584" w:rsidRDefault="00EE5584" w:rsidP="00EE5584">
      <w:pPr>
        <w:jc w:val="center"/>
        <w:rPr>
          <w:sz w:val="24"/>
          <w:szCs w:val="24"/>
        </w:rPr>
      </w:pPr>
      <w:r w:rsidRPr="008B0CEF">
        <w:rPr>
          <w:sz w:val="24"/>
          <w:szCs w:val="24"/>
        </w:rPr>
        <w:t>Above Ground</w:t>
      </w:r>
      <w:r>
        <w:rPr>
          <w:sz w:val="24"/>
          <w:szCs w:val="24"/>
        </w:rPr>
        <w:t xml:space="preserve"> (Canada)</w:t>
      </w:r>
    </w:p>
    <w:p w:rsidR="00EE5584" w:rsidRDefault="00EE5584" w:rsidP="00EE5584">
      <w:pPr>
        <w:jc w:val="center"/>
        <w:rPr>
          <w:sz w:val="24"/>
          <w:szCs w:val="24"/>
        </w:rPr>
      </w:pPr>
      <w:r>
        <w:rPr>
          <w:sz w:val="24"/>
          <w:szCs w:val="24"/>
        </w:rPr>
        <w:t xml:space="preserve">Accountability Counsel (USA)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6908"/>
      </w:tblGrid>
      <w:tr w:rsidR="00EE5584" w:rsidRPr="008B0CEF" w:rsidTr="009A0251">
        <w:trPr>
          <w:tblCellSpacing w:w="15" w:type="dxa"/>
        </w:trPr>
        <w:tc>
          <w:tcPr>
            <w:tcW w:w="0" w:type="auto"/>
            <w:vAlign w:val="center"/>
            <w:hideMark/>
          </w:tcPr>
          <w:p w:rsidR="00EE5584" w:rsidRPr="008B0CEF" w:rsidRDefault="00EE5584" w:rsidP="009A0251">
            <w:pPr>
              <w:jc w:val="center"/>
              <w:rPr>
                <w:sz w:val="24"/>
                <w:szCs w:val="24"/>
              </w:rPr>
            </w:pPr>
          </w:p>
        </w:tc>
        <w:tc>
          <w:tcPr>
            <w:tcW w:w="0" w:type="auto"/>
            <w:vAlign w:val="center"/>
            <w:hideMark/>
          </w:tcPr>
          <w:p w:rsidR="00EE5584" w:rsidRPr="008B0CEF" w:rsidRDefault="00EE5584" w:rsidP="009A0251">
            <w:pPr>
              <w:ind w:left="2055"/>
              <w:jc w:val="center"/>
              <w:rPr>
                <w:sz w:val="24"/>
                <w:szCs w:val="24"/>
              </w:rPr>
            </w:pPr>
            <w:r w:rsidRPr="008B0CEF">
              <w:rPr>
                <w:sz w:val="24"/>
                <w:szCs w:val="24"/>
              </w:rPr>
              <w:t xml:space="preserve">Action </w:t>
            </w:r>
            <w:proofErr w:type="spellStart"/>
            <w:r w:rsidRPr="008B0CEF">
              <w:rPr>
                <w:sz w:val="24"/>
                <w:szCs w:val="24"/>
              </w:rPr>
              <w:t>Contre</w:t>
            </w:r>
            <w:proofErr w:type="spellEnd"/>
            <w:r w:rsidRPr="008B0CEF">
              <w:rPr>
                <w:sz w:val="24"/>
                <w:szCs w:val="24"/>
              </w:rPr>
              <w:t xml:space="preserve"> </w:t>
            </w:r>
            <w:proofErr w:type="spellStart"/>
            <w:r w:rsidRPr="008B0CEF">
              <w:rPr>
                <w:sz w:val="24"/>
                <w:szCs w:val="24"/>
              </w:rPr>
              <w:t>Impunitie</w:t>
            </w:r>
            <w:proofErr w:type="spellEnd"/>
            <w:r w:rsidRPr="008B0CEF">
              <w:rPr>
                <w:sz w:val="24"/>
                <w:szCs w:val="24"/>
              </w:rPr>
              <w:t xml:space="preserve"> Pour Les Droits </w:t>
            </w:r>
            <w:proofErr w:type="spellStart"/>
            <w:r w:rsidRPr="008B0CEF">
              <w:rPr>
                <w:sz w:val="24"/>
                <w:szCs w:val="24"/>
              </w:rPr>
              <w:t>Humains</w:t>
            </w:r>
            <w:proofErr w:type="spellEnd"/>
          </w:p>
        </w:tc>
      </w:tr>
    </w:tbl>
    <w:p w:rsidR="00EE5584" w:rsidRPr="00F112AB" w:rsidRDefault="00EE5584" w:rsidP="00EE5584">
      <w:pPr>
        <w:jc w:val="center"/>
        <w:rPr>
          <w:sz w:val="24"/>
          <w:szCs w:val="24"/>
        </w:rPr>
      </w:pPr>
      <w:r w:rsidRPr="00F112AB">
        <w:rPr>
          <w:sz w:val="24"/>
          <w:szCs w:val="24"/>
        </w:rPr>
        <w:t>African Resources Watch (</w:t>
      </w:r>
      <w:proofErr w:type="spellStart"/>
      <w:proofErr w:type="gramStart"/>
      <w:r w:rsidRPr="00F112AB">
        <w:rPr>
          <w:sz w:val="24"/>
          <w:szCs w:val="24"/>
        </w:rPr>
        <w:t>AfreWatch</w:t>
      </w:r>
      <w:proofErr w:type="spellEnd"/>
      <w:r w:rsidRPr="00F112AB">
        <w:rPr>
          <w:sz w:val="24"/>
          <w:szCs w:val="24"/>
        </w:rPr>
        <w:t>)  (</w:t>
      </w:r>
      <w:proofErr w:type="gramEnd"/>
      <w:r w:rsidRPr="00F112AB">
        <w:rPr>
          <w:sz w:val="24"/>
          <w:szCs w:val="24"/>
        </w:rPr>
        <w:t>DRC)</w:t>
      </w:r>
    </w:p>
    <w:p w:rsidR="00EE5584" w:rsidRPr="00F112AB" w:rsidRDefault="00EE5584" w:rsidP="00EE5584">
      <w:pPr>
        <w:jc w:val="center"/>
        <w:rPr>
          <w:sz w:val="24"/>
          <w:szCs w:val="24"/>
        </w:rPr>
      </w:pPr>
      <w:r w:rsidRPr="00F112AB">
        <w:rPr>
          <w:sz w:val="24"/>
          <w:szCs w:val="24"/>
        </w:rPr>
        <w:t>Al-Haq (Palestine)</w:t>
      </w:r>
    </w:p>
    <w:p w:rsidR="00EE5584" w:rsidRPr="00F112AB" w:rsidRDefault="00EE5584" w:rsidP="00EE5584">
      <w:pPr>
        <w:jc w:val="center"/>
        <w:rPr>
          <w:sz w:val="24"/>
          <w:szCs w:val="24"/>
        </w:rPr>
      </w:pPr>
      <w:r w:rsidRPr="00F112AB">
        <w:rPr>
          <w:sz w:val="24"/>
          <w:szCs w:val="24"/>
        </w:rPr>
        <w:t>Alternative ASEAN Network on Burma</w:t>
      </w:r>
    </w:p>
    <w:p w:rsidR="00EE5584" w:rsidRPr="00F112AB" w:rsidRDefault="00EE5584" w:rsidP="00EE5584">
      <w:pPr>
        <w:jc w:val="center"/>
        <w:rPr>
          <w:sz w:val="24"/>
          <w:szCs w:val="24"/>
        </w:rPr>
      </w:pPr>
      <w:r w:rsidRPr="00F112AB">
        <w:rPr>
          <w:sz w:val="24"/>
          <w:szCs w:val="24"/>
        </w:rPr>
        <w:t>Arab NGO Network for Development (Lebanon)</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7746"/>
      </w:tblGrid>
      <w:tr w:rsidR="00EE5584" w:rsidRPr="008B0CEF" w:rsidTr="009A0251">
        <w:trPr>
          <w:tblCellSpacing w:w="15" w:type="dxa"/>
        </w:trPr>
        <w:tc>
          <w:tcPr>
            <w:tcW w:w="0" w:type="auto"/>
            <w:vAlign w:val="center"/>
            <w:hideMark/>
          </w:tcPr>
          <w:p w:rsidR="00EE5584" w:rsidRPr="008B0CEF" w:rsidRDefault="00EE5584" w:rsidP="009A0251">
            <w:pPr>
              <w:jc w:val="center"/>
              <w:rPr>
                <w:sz w:val="24"/>
                <w:szCs w:val="24"/>
              </w:rPr>
            </w:pPr>
          </w:p>
        </w:tc>
        <w:tc>
          <w:tcPr>
            <w:tcW w:w="0" w:type="auto"/>
            <w:vAlign w:val="center"/>
            <w:hideMark/>
          </w:tcPr>
          <w:p w:rsidR="00EE5584" w:rsidRPr="00F112AB" w:rsidRDefault="00EE5584" w:rsidP="009A0251">
            <w:pPr>
              <w:ind w:left="1695"/>
              <w:jc w:val="center"/>
              <w:rPr>
                <w:sz w:val="24"/>
                <w:szCs w:val="24"/>
              </w:rPr>
            </w:pPr>
            <w:hyperlink r:id="rId10" w:history="1">
              <w:r w:rsidRPr="00F112AB">
                <w:rPr>
                  <w:sz w:val="24"/>
                  <w:szCs w:val="24"/>
                </w:rPr>
                <w:t>Asian Forum for Human Rights and Development</w:t>
              </w:r>
            </w:hyperlink>
            <w:r w:rsidRPr="00F112AB">
              <w:rPr>
                <w:sz w:val="24"/>
                <w:szCs w:val="24"/>
              </w:rPr>
              <w:t xml:space="preserve"> (Thailand)</w:t>
            </w:r>
          </w:p>
          <w:p w:rsidR="00EE5584" w:rsidRPr="00F112AB" w:rsidRDefault="00EE5584" w:rsidP="009A0251">
            <w:pPr>
              <w:ind w:left="1785"/>
              <w:jc w:val="center"/>
              <w:rPr>
                <w:sz w:val="24"/>
                <w:szCs w:val="24"/>
              </w:rPr>
            </w:pPr>
            <w:r w:rsidRPr="00F112AB">
              <w:rPr>
                <w:sz w:val="24"/>
                <w:szCs w:val="24"/>
              </w:rPr>
              <w:t>Asian Indigenous Peoples' Pact (Thailand)</w:t>
            </w:r>
          </w:p>
          <w:p w:rsidR="00EE5584" w:rsidRPr="008B0CEF" w:rsidRDefault="00EE5584" w:rsidP="009A0251">
            <w:pPr>
              <w:ind w:left="1425"/>
              <w:jc w:val="center"/>
              <w:rPr>
                <w:sz w:val="24"/>
                <w:szCs w:val="24"/>
              </w:rPr>
            </w:pPr>
            <w:r w:rsidRPr="008B0CEF">
              <w:rPr>
                <w:sz w:val="24"/>
                <w:szCs w:val="24"/>
              </w:rPr>
              <w:t>Asia Pacific Forum on Women, Law and Development</w:t>
            </w:r>
            <w:r w:rsidRPr="00F112AB">
              <w:rPr>
                <w:sz w:val="24"/>
                <w:szCs w:val="24"/>
              </w:rPr>
              <w:t xml:space="preserve"> (Thailand)</w:t>
            </w:r>
          </w:p>
        </w:tc>
      </w:tr>
    </w:tbl>
    <w:p w:rsidR="00EE5584" w:rsidRPr="00F112AB" w:rsidRDefault="00EE5584" w:rsidP="00EE5584">
      <w:pPr>
        <w:jc w:val="center"/>
        <w:rPr>
          <w:sz w:val="24"/>
          <w:szCs w:val="24"/>
        </w:rPr>
      </w:pPr>
      <w:proofErr w:type="spellStart"/>
      <w:r w:rsidRPr="00F112AB">
        <w:rPr>
          <w:sz w:val="24"/>
          <w:szCs w:val="24"/>
        </w:rPr>
        <w:t>A</w:t>
      </w:r>
      <w:r>
        <w:rPr>
          <w:sz w:val="24"/>
          <w:szCs w:val="24"/>
        </w:rPr>
        <w:t>sociacion</w:t>
      </w:r>
      <w:proofErr w:type="spellEnd"/>
      <w:r>
        <w:rPr>
          <w:sz w:val="24"/>
          <w:szCs w:val="24"/>
        </w:rPr>
        <w:t xml:space="preserve"> Pro Derechos </w:t>
      </w:r>
      <w:proofErr w:type="spellStart"/>
      <w:r>
        <w:rPr>
          <w:sz w:val="24"/>
          <w:szCs w:val="24"/>
        </w:rPr>
        <w:t>Humanos</w:t>
      </w:r>
      <w:proofErr w:type="spellEnd"/>
      <w:r>
        <w:rPr>
          <w:sz w:val="24"/>
          <w:szCs w:val="24"/>
        </w:rPr>
        <w:t xml:space="preserve"> </w:t>
      </w:r>
      <w:r w:rsidRPr="00F112AB">
        <w:rPr>
          <w:sz w:val="24"/>
          <w:szCs w:val="24"/>
        </w:rPr>
        <w:t>(Peru)</w:t>
      </w:r>
    </w:p>
    <w:p w:rsidR="00EE5584" w:rsidRPr="00F112AB" w:rsidRDefault="00EE5584" w:rsidP="00EE5584">
      <w:pPr>
        <w:jc w:val="center"/>
        <w:rPr>
          <w:sz w:val="24"/>
          <w:szCs w:val="24"/>
        </w:rPr>
      </w:pPr>
      <w:r w:rsidRPr="00F112AB">
        <w:rPr>
          <w:sz w:val="24"/>
          <w:szCs w:val="24"/>
        </w:rPr>
        <w:t>Association for Women's Rights in Development</w:t>
      </w:r>
    </w:p>
    <w:p w:rsidR="00EE5584" w:rsidRPr="00F112AB" w:rsidRDefault="00EE5584" w:rsidP="00EE5584">
      <w:pPr>
        <w:jc w:val="center"/>
        <w:rPr>
          <w:sz w:val="24"/>
          <w:szCs w:val="24"/>
        </w:rPr>
      </w:pPr>
      <w:r w:rsidRPr="00F112AB">
        <w:rPr>
          <w:sz w:val="24"/>
          <w:szCs w:val="24"/>
        </w:rPr>
        <w:t>Association of Environmental Lawyers of Liberia - Green Advocates</w:t>
      </w:r>
    </w:p>
    <w:p w:rsidR="00EE5584" w:rsidRPr="00F112AB" w:rsidRDefault="00EE5584" w:rsidP="00EE5584">
      <w:pPr>
        <w:jc w:val="center"/>
        <w:rPr>
          <w:sz w:val="24"/>
          <w:szCs w:val="24"/>
        </w:rPr>
      </w:pPr>
      <w:r w:rsidRPr="00F112AB">
        <w:rPr>
          <w:sz w:val="24"/>
          <w:szCs w:val="24"/>
        </w:rPr>
        <w:t>Center for Constitutional Rights (USA)</w:t>
      </w:r>
    </w:p>
    <w:p w:rsidR="00EE5584" w:rsidRPr="00F112AB" w:rsidRDefault="00EE5584" w:rsidP="00EE5584">
      <w:pPr>
        <w:jc w:val="center"/>
        <w:rPr>
          <w:sz w:val="24"/>
          <w:szCs w:val="24"/>
        </w:rPr>
      </w:pPr>
      <w:r w:rsidRPr="00F112AB">
        <w:rPr>
          <w:sz w:val="24"/>
          <w:szCs w:val="24"/>
        </w:rPr>
        <w:t>Center for International Environmental Law (USA)</w:t>
      </w:r>
    </w:p>
    <w:p w:rsidR="00EE5584" w:rsidRPr="00F112AB" w:rsidRDefault="00EE5584" w:rsidP="00EE5584">
      <w:pPr>
        <w:jc w:val="center"/>
        <w:rPr>
          <w:sz w:val="24"/>
          <w:szCs w:val="24"/>
        </w:rPr>
      </w:pPr>
      <w:r w:rsidRPr="00F112AB">
        <w:rPr>
          <w:sz w:val="24"/>
          <w:szCs w:val="24"/>
        </w:rPr>
        <w:t xml:space="preserve">Centre for Applied Legal Studies (South Africa) </w:t>
      </w:r>
    </w:p>
    <w:p w:rsidR="00EE5584" w:rsidRPr="00F112AB" w:rsidRDefault="00EE5584" w:rsidP="00EE5584">
      <w:pPr>
        <w:jc w:val="center"/>
        <w:rPr>
          <w:sz w:val="24"/>
          <w:szCs w:val="24"/>
        </w:rPr>
      </w:pPr>
      <w:r w:rsidRPr="00F112AB">
        <w:rPr>
          <w:sz w:val="24"/>
          <w:szCs w:val="24"/>
        </w:rPr>
        <w:t>Centre for Human Rights and Development (Mongolia)</w:t>
      </w:r>
    </w:p>
    <w:p w:rsidR="00EE5584" w:rsidRPr="00F112AB" w:rsidRDefault="00EE5584" w:rsidP="00EE5584">
      <w:pPr>
        <w:jc w:val="center"/>
        <w:rPr>
          <w:sz w:val="24"/>
          <w:szCs w:val="24"/>
        </w:rPr>
      </w:pPr>
      <w:r w:rsidRPr="00F112AB">
        <w:rPr>
          <w:sz w:val="24"/>
          <w:szCs w:val="24"/>
        </w:rPr>
        <w:t xml:space="preserve">Centro de Derechos </w:t>
      </w:r>
      <w:proofErr w:type="spellStart"/>
      <w:r w:rsidRPr="00F112AB">
        <w:rPr>
          <w:sz w:val="24"/>
          <w:szCs w:val="24"/>
        </w:rPr>
        <w:t>Humanos</w:t>
      </w:r>
      <w:proofErr w:type="spellEnd"/>
      <w:r w:rsidRPr="00F112AB">
        <w:rPr>
          <w:sz w:val="24"/>
          <w:szCs w:val="24"/>
        </w:rPr>
        <w:t xml:space="preserve"> de la </w:t>
      </w:r>
      <w:proofErr w:type="spellStart"/>
      <w:r w:rsidRPr="00F112AB">
        <w:rPr>
          <w:sz w:val="24"/>
          <w:szCs w:val="24"/>
        </w:rPr>
        <w:t>Montaña</w:t>
      </w:r>
      <w:proofErr w:type="spellEnd"/>
      <w:r w:rsidRPr="00F112AB">
        <w:rPr>
          <w:sz w:val="24"/>
          <w:szCs w:val="24"/>
        </w:rPr>
        <w:t xml:space="preserve"> </w:t>
      </w:r>
      <w:proofErr w:type="spellStart"/>
      <w:r w:rsidRPr="00F112AB">
        <w:rPr>
          <w:sz w:val="24"/>
          <w:szCs w:val="24"/>
        </w:rPr>
        <w:t>Tlachinollan</w:t>
      </w:r>
      <w:proofErr w:type="spellEnd"/>
      <w:r w:rsidRPr="00F112AB">
        <w:rPr>
          <w:sz w:val="24"/>
          <w:szCs w:val="24"/>
        </w:rPr>
        <w:t xml:space="preserve"> (Mexico)</w:t>
      </w:r>
    </w:p>
    <w:p w:rsidR="00EE5584" w:rsidRPr="00F112AB" w:rsidRDefault="00EE5584" w:rsidP="00EE5584">
      <w:pPr>
        <w:jc w:val="center"/>
        <w:rPr>
          <w:sz w:val="24"/>
          <w:szCs w:val="24"/>
        </w:rPr>
      </w:pPr>
      <w:r w:rsidRPr="00F112AB">
        <w:rPr>
          <w:sz w:val="24"/>
          <w:szCs w:val="24"/>
        </w:rPr>
        <w:t xml:space="preserve">Centro de </w:t>
      </w:r>
      <w:proofErr w:type="spellStart"/>
      <w:r w:rsidRPr="00F112AB">
        <w:rPr>
          <w:sz w:val="24"/>
          <w:szCs w:val="24"/>
        </w:rPr>
        <w:t>Estudios</w:t>
      </w:r>
      <w:proofErr w:type="spellEnd"/>
      <w:r w:rsidRPr="00F112AB">
        <w:rPr>
          <w:sz w:val="24"/>
          <w:szCs w:val="24"/>
        </w:rPr>
        <w:t xml:space="preserve"> </w:t>
      </w:r>
      <w:proofErr w:type="spellStart"/>
      <w:r w:rsidRPr="00F112AB">
        <w:rPr>
          <w:sz w:val="24"/>
          <w:szCs w:val="24"/>
        </w:rPr>
        <w:t>Legales</w:t>
      </w:r>
      <w:proofErr w:type="spellEnd"/>
      <w:r w:rsidRPr="00F112AB">
        <w:rPr>
          <w:sz w:val="24"/>
          <w:szCs w:val="24"/>
        </w:rPr>
        <w:t xml:space="preserve"> y </w:t>
      </w:r>
      <w:proofErr w:type="spellStart"/>
      <w:r w:rsidRPr="00F112AB">
        <w:rPr>
          <w:sz w:val="24"/>
          <w:szCs w:val="24"/>
        </w:rPr>
        <w:t>Sociales</w:t>
      </w:r>
      <w:proofErr w:type="spellEnd"/>
      <w:r w:rsidRPr="00F112AB">
        <w:rPr>
          <w:sz w:val="24"/>
          <w:szCs w:val="24"/>
        </w:rPr>
        <w:t xml:space="preserve"> (Argentina)</w:t>
      </w:r>
    </w:p>
    <w:p w:rsidR="00EE5584" w:rsidRPr="00F112AB" w:rsidRDefault="00EE5584" w:rsidP="00EE5584">
      <w:pPr>
        <w:jc w:val="center"/>
        <w:rPr>
          <w:sz w:val="24"/>
          <w:szCs w:val="24"/>
        </w:rPr>
      </w:pPr>
      <w:r w:rsidRPr="00F112AB">
        <w:rPr>
          <w:sz w:val="24"/>
          <w:szCs w:val="24"/>
        </w:rPr>
        <w:t xml:space="preserve">Centro </w:t>
      </w:r>
      <w:proofErr w:type="spellStart"/>
      <w:r w:rsidRPr="00F112AB">
        <w:rPr>
          <w:sz w:val="24"/>
          <w:szCs w:val="24"/>
        </w:rPr>
        <w:t>Mexicano</w:t>
      </w:r>
      <w:proofErr w:type="spellEnd"/>
      <w:r w:rsidRPr="00F112AB">
        <w:rPr>
          <w:sz w:val="24"/>
          <w:szCs w:val="24"/>
        </w:rPr>
        <w:t xml:space="preserve"> de Derecho </w:t>
      </w:r>
      <w:proofErr w:type="spellStart"/>
      <w:r w:rsidRPr="00F112AB">
        <w:rPr>
          <w:sz w:val="24"/>
          <w:szCs w:val="24"/>
        </w:rPr>
        <w:t>Ambiental</w:t>
      </w:r>
      <w:proofErr w:type="spellEnd"/>
      <w:r w:rsidRPr="00F112AB">
        <w:rPr>
          <w:sz w:val="24"/>
          <w:szCs w:val="24"/>
        </w:rPr>
        <w:t xml:space="preserve"> A.C (Mexico)</w:t>
      </w:r>
    </w:p>
    <w:p w:rsidR="00EE5584" w:rsidRPr="00F112AB" w:rsidRDefault="00EE5584" w:rsidP="00EE5584">
      <w:pPr>
        <w:jc w:val="center"/>
        <w:rPr>
          <w:sz w:val="24"/>
          <w:szCs w:val="24"/>
        </w:rPr>
      </w:pPr>
      <w:proofErr w:type="spellStart"/>
      <w:r w:rsidRPr="00F112AB">
        <w:rPr>
          <w:sz w:val="24"/>
          <w:szCs w:val="24"/>
        </w:rPr>
        <w:t>Chiadzwa</w:t>
      </w:r>
      <w:proofErr w:type="spellEnd"/>
      <w:r w:rsidRPr="00F112AB">
        <w:rPr>
          <w:sz w:val="24"/>
          <w:szCs w:val="24"/>
        </w:rPr>
        <w:t xml:space="preserve"> Community Development Trust (Zimbabwe)</w:t>
      </w:r>
    </w:p>
    <w:p w:rsidR="00EE5584" w:rsidRPr="00F112AB" w:rsidRDefault="00EE5584" w:rsidP="00EE5584">
      <w:pPr>
        <w:jc w:val="center"/>
        <w:rPr>
          <w:sz w:val="24"/>
          <w:szCs w:val="24"/>
        </w:rPr>
      </w:pPr>
      <w:r w:rsidRPr="00F112AB">
        <w:rPr>
          <w:sz w:val="24"/>
          <w:szCs w:val="24"/>
        </w:rPr>
        <w:t>Citizen News Service (India)</w:t>
      </w:r>
    </w:p>
    <w:p w:rsidR="00EE5584" w:rsidRPr="00F112AB" w:rsidRDefault="00EE5584" w:rsidP="00EE5584">
      <w:pPr>
        <w:jc w:val="center"/>
        <w:rPr>
          <w:sz w:val="24"/>
          <w:szCs w:val="24"/>
        </w:rPr>
      </w:pPr>
      <w:r w:rsidRPr="00F112AB">
        <w:rPr>
          <w:sz w:val="24"/>
          <w:szCs w:val="24"/>
        </w:rPr>
        <w:t>Citizens for Justice (Malawi)</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7132"/>
        <w:gridCol w:w="45"/>
      </w:tblGrid>
      <w:tr w:rsidR="00EE5584" w:rsidRPr="008A7D25" w:rsidTr="009A0251">
        <w:trPr>
          <w:tblCellSpacing w:w="15" w:type="dxa"/>
        </w:trPr>
        <w:tc>
          <w:tcPr>
            <w:tcW w:w="0" w:type="auto"/>
            <w:vAlign w:val="center"/>
            <w:hideMark/>
          </w:tcPr>
          <w:p w:rsidR="00EE5584" w:rsidRPr="008A7D25" w:rsidRDefault="00EE5584" w:rsidP="009A0251">
            <w:pPr>
              <w:jc w:val="center"/>
              <w:rPr>
                <w:sz w:val="24"/>
                <w:szCs w:val="24"/>
              </w:rPr>
            </w:pPr>
          </w:p>
        </w:tc>
        <w:tc>
          <w:tcPr>
            <w:tcW w:w="0" w:type="auto"/>
            <w:gridSpan w:val="2"/>
            <w:vAlign w:val="center"/>
            <w:hideMark/>
          </w:tcPr>
          <w:p w:rsidR="00EE5584" w:rsidRPr="008A7D25" w:rsidRDefault="00EE5584" w:rsidP="009A0251">
            <w:pPr>
              <w:ind w:left="2055"/>
              <w:jc w:val="center"/>
              <w:rPr>
                <w:sz w:val="24"/>
                <w:szCs w:val="24"/>
              </w:rPr>
            </w:pPr>
            <w:proofErr w:type="spellStart"/>
            <w:r w:rsidRPr="008A7D25">
              <w:rPr>
                <w:sz w:val="24"/>
                <w:szCs w:val="24"/>
              </w:rPr>
              <w:t>Comite</w:t>
            </w:r>
            <w:proofErr w:type="spellEnd"/>
            <w:r w:rsidRPr="008A7D25">
              <w:rPr>
                <w:sz w:val="24"/>
                <w:szCs w:val="24"/>
              </w:rPr>
              <w:t xml:space="preserve"> </w:t>
            </w:r>
            <w:proofErr w:type="spellStart"/>
            <w:r w:rsidRPr="008A7D25">
              <w:rPr>
                <w:sz w:val="24"/>
                <w:szCs w:val="24"/>
              </w:rPr>
              <w:t>Ambiental</w:t>
            </w:r>
            <w:proofErr w:type="spellEnd"/>
            <w:r w:rsidRPr="008A7D25">
              <w:rPr>
                <w:sz w:val="24"/>
                <w:szCs w:val="24"/>
              </w:rPr>
              <w:t xml:space="preserve"> </w:t>
            </w:r>
            <w:proofErr w:type="spellStart"/>
            <w:r w:rsidRPr="008A7D25">
              <w:rPr>
                <w:sz w:val="24"/>
                <w:szCs w:val="24"/>
              </w:rPr>
              <w:t>en</w:t>
            </w:r>
            <w:proofErr w:type="spellEnd"/>
            <w:r w:rsidRPr="008A7D25">
              <w:rPr>
                <w:sz w:val="24"/>
                <w:szCs w:val="24"/>
              </w:rPr>
              <w:t xml:space="preserve"> </w:t>
            </w:r>
            <w:proofErr w:type="spellStart"/>
            <w:r w:rsidRPr="008A7D25">
              <w:rPr>
                <w:sz w:val="24"/>
                <w:szCs w:val="24"/>
              </w:rPr>
              <w:t>Defensa</w:t>
            </w:r>
            <w:proofErr w:type="spellEnd"/>
            <w:r w:rsidRPr="008A7D25">
              <w:rPr>
                <w:sz w:val="24"/>
                <w:szCs w:val="24"/>
              </w:rPr>
              <w:t xml:space="preserve"> de la Vida</w:t>
            </w:r>
            <w:r w:rsidRPr="00F112AB">
              <w:rPr>
                <w:sz w:val="24"/>
                <w:szCs w:val="24"/>
              </w:rPr>
              <w:t xml:space="preserve"> (Colombia)</w:t>
            </w:r>
          </w:p>
        </w:tc>
      </w:tr>
      <w:tr w:rsidR="00EE5584" w:rsidRPr="008A7D25" w:rsidTr="009A0251">
        <w:trPr>
          <w:tblCellSpacing w:w="15" w:type="dxa"/>
        </w:trPr>
        <w:tc>
          <w:tcPr>
            <w:tcW w:w="0" w:type="auto"/>
            <w:vAlign w:val="center"/>
            <w:hideMark/>
          </w:tcPr>
          <w:p w:rsidR="00EE5584" w:rsidRPr="008A7D25" w:rsidRDefault="00EE5584" w:rsidP="009A0251">
            <w:pPr>
              <w:jc w:val="center"/>
              <w:rPr>
                <w:sz w:val="24"/>
                <w:szCs w:val="24"/>
              </w:rPr>
            </w:pPr>
          </w:p>
        </w:tc>
        <w:tc>
          <w:tcPr>
            <w:tcW w:w="0" w:type="auto"/>
            <w:gridSpan w:val="2"/>
            <w:vAlign w:val="center"/>
            <w:hideMark/>
          </w:tcPr>
          <w:p w:rsidR="00EE5584" w:rsidRPr="008A7D25" w:rsidRDefault="00EE5584" w:rsidP="009A0251">
            <w:pPr>
              <w:ind w:left="1875"/>
              <w:jc w:val="center"/>
              <w:rPr>
                <w:sz w:val="24"/>
                <w:szCs w:val="24"/>
              </w:rPr>
            </w:pPr>
            <w:r>
              <w:rPr>
                <w:sz w:val="24"/>
                <w:szCs w:val="24"/>
              </w:rPr>
              <w:t xml:space="preserve">Conectas </w:t>
            </w:r>
            <w:proofErr w:type="spellStart"/>
            <w:r>
              <w:rPr>
                <w:sz w:val="24"/>
                <w:szCs w:val="24"/>
              </w:rPr>
              <w:t>Direitos</w:t>
            </w:r>
            <w:proofErr w:type="spellEnd"/>
            <w:r>
              <w:rPr>
                <w:sz w:val="24"/>
                <w:szCs w:val="24"/>
              </w:rPr>
              <w:t xml:space="preserve"> </w:t>
            </w:r>
            <w:proofErr w:type="spellStart"/>
            <w:r>
              <w:rPr>
                <w:sz w:val="24"/>
                <w:szCs w:val="24"/>
              </w:rPr>
              <w:t>Humanos</w:t>
            </w:r>
            <w:proofErr w:type="spellEnd"/>
            <w:r w:rsidRPr="008A7D25">
              <w:rPr>
                <w:sz w:val="24"/>
                <w:szCs w:val="24"/>
              </w:rPr>
              <w:t xml:space="preserve"> </w:t>
            </w:r>
            <w:r w:rsidRPr="00F112AB">
              <w:rPr>
                <w:sz w:val="24"/>
                <w:szCs w:val="24"/>
              </w:rPr>
              <w:t>(Brazil)</w:t>
            </w:r>
          </w:p>
        </w:tc>
      </w:tr>
      <w:tr w:rsidR="00EE5584" w:rsidRPr="008A7D25" w:rsidTr="009A0251">
        <w:trPr>
          <w:gridAfter w:val="1"/>
          <w:tblCellSpacing w:w="15" w:type="dxa"/>
        </w:trPr>
        <w:tc>
          <w:tcPr>
            <w:tcW w:w="0" w:type="auto"/>
            <w:vAlign w:val="center"/>
            <w:hideMark/>
          </w:tcPr>
          <w:p w:rsidR="00EE5584" w:rsidRPr="008A7D25" w:rsidRDefault="00EE5584" w:rsidP="009A0251">
            <w:pPr>
              <w:jc w:val="center"/>
              <w:rPr>
                <w:sz w:val="24"/>
                <w:szCs w:val="24"/>
              </w:rPr>
            </w:pPr>
          </w:p>
        </w:tc>
        <w:tc>
          <w:tcPr>
            <w:tcW w:w="0" w:type="auto"/>
            <w:vAlign w:val="center"/>
            <w:hideMark/>
          </w:tcPr>
          <w:p w:rsidR="00EE5584" w:rsidRPr="008A7D25" w:rsidRDefault="00EE5584" w:rsidP="009A0251">
            <w:pPr>
              <w:ind w:left="1785"/>
              <w:jc w:val="center"/>
              <w:rPr>
                <w:sz w:val="24"/>
                <w:szCs w:val="24"/>
              </w:rPr>
            </w:pPr>
            <w:proofErr w:type="spellStart"/>
            <w:r w:rsidRPr="008A7D25">
              <w:rPr>
                <w:sz w:val="24"/>
                <w:szCs w:val="24"/>
              </w:rPr>
              <w:t>Confederación</w:t>
            </w:r>
            <w:proofErr w:type="spellEnd"/>
            <w:r w:rsidRPr="008A7D25">
              <w:rPr>
                <w:sz w:val="24"/>
                <w:szCs w:val="24"/>
              </w:rPr>
              <w:t xml:space="preserve"> </w:t>
            </w:r>
            <w:proofErr w:type="spellStart"/>
            <w:r w:rsidRPr="008A7D25">
              <w:rPr>
                <w:sz w:val="24"/>
                <w:szCs w:val="24"/>
              </w:rPr>
              <w:t>Campesina</w:t>
            </w:r>
            <w:proofErr w:type="spellEnd"/>
            <w:r w:rsidRPr="008A7D25">
              <w:rPr>
                <w:sz w:val="24"/>
                <w:szCs w:val="24"/>
              </w:rPr>
              <w:t xml:space="preserve"> Del Peru</w:t>
            </w:r>
          </w:p>
        </w:tc>
      </w:tr>
    </w:tbl>
    <w:p w:rsidR="00EE5584" w:rsidRPr="00F112AB" w:rsidRDefault="00EE5584" w:rsidP="00EE5584">
      <w:pPr>
        <w:jc w:val="center"/>
        <w:rPr>
          <w:sz w:val="24"/>
          <w:szCs w:val="24"/>
        </w:rPr>
      </w:pPr>
      <w:proofErr w:type="spellStart"/>
      <w:r w:rsidRPr="00F112AB">
        <w:rPr>
          <w:sz w:val="24"/>
          <w:szCs w:val="24"/>
        </w:rPr>
        <w:t>Consejo</w:t>
      </w:r>
      <w:proofErr w:type="spellEnd"/>
      <w:r w:rsidRPr="00F112AB">
        <w:rPr>
          <w:sz w:val="24"/>
          <w:szCs w:val="24"/>
        </w:rPr>
        <w:t xml:space="preserve"> de Pueblos </w:t>
      </w:r>
      <w:proofErr w:type="spellStart"/>
      <w:r w:rsidRPr="00F112AB">
        <w:rPr>
          <w:sz w:val="24"/>
          <w:szCs w:val="24"/>
        </w:rPr>
        <w:t>Wuxhtaj</w:t>
      </w:r>
      <w:proofErr w:type="spellEnd"/>
      <w:r w:rsidRPr="00F112AB">
        <w:rPr>
          <w:sz w:val="24"/>
          <w:szCs w:val="24"/>
        </w:rPr>
        <w:t xml:space="preserve"> (Guatemala)</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7240"/>
      </w:tblGrid>
      <w:tr w:rsidR="00EE5584" w:rsidRPr="008A7D25" w:rsidTr="009A0251">
        <w:trPr>
          <w:tblCellSpacing w:w="15" w:type="dxa"/>
        </w:trPr>
        <w:tc>
          <w:tcPr>
            <w:tcW w:w="0" w:type="auto"/>
            <w:vAlign w:val="center"/>
            <w:hideMark/>
          </w:tcPr>
          <w:p w:rsidR="00EE5584" w:rsidRPr="008A7D25" w:rsidRDefault="00EE5584" w:rsidP="009A0251">
            <w:pPr>
              <w:jc w:val="center"/>
              <w:rPr>
                <w:sz w:val="24"/>
                <w:szCs w:val="24"/>
              </w:rPr>
            </w:pPr>
          </w:p>
        </w:tc>
        <w:tc>
          <w:tcPr>
            <w:tcW w:w="0" w:type="auto"/>
            <w:vAlign w:val="center"/>
            <w:hideMark/>
          </w:tcPr>
          <w:p w:rsidR="00EE5584" w:rsidRPr="008A7D25" w:rsidRDefault="00EE5584" w:rsidP="009A0251">
            <w:pPr>
              <w:ind w:left="1605"/>
              <w:jc w:val="center"/>
              <w:rPr>
                <w:sz w:val="24"/>
                <w:szCs w:val="24"/>
              </w:rPr>
            </w:pPr>
            <w:proofErr w:type="spellStart"/>
            <w:r w:rsidRPr="008A7D25">
              <w:rPr>
                <w:sz w:val="24"/>
                <w:szCs w:val="24"/>
              </w:rPr>
              <w:t>Coordinadora</w:t>
            </w:r>
            <w:proofErr w:type="spellEnd"/>
            <w:r w:rsidRPr="008A7D25">
              <w:rPr>
                <w:sz w:val="24"/>
                <w:szCs w:val="24"/>
              </w:rPr>
              <w:t xml:space="preserve"> </w:t>
            </w:r>
            <w:proofErr w:type="spellStart"/>
            <w:r w:rsidRPr="008A7D25">
              <w:rPr>
                <w:sz w:val="24"/>
                <w:szCs w:val="24"/>
              </w:rPr>
              <w:t>Andina</w:t>
            </w:r>
            <w:proofErr w:type="spellEnd"/>
            <w:r w:rsidRPr="008A7D25">
              <w:rPr>
                <w:sz w:val="24"/>
                <w:szCs w:val="24"/>
              </w:rPr>
              <w:t xml:space="preserve"> de </w:t>
            </w:r>
            <w:proofErr w:type="spellStart"/>
            <w:r w:rsidRPr="008A7D25">
              <w:rPr>
                <w:sz w:val="24"/>
                <w:szCs w:val="24"/>
              </w:rPr>
              <w:t>Organizaciones</w:t>
            </w:r>
            <w:proofErr w:type="spellEnd"/>
            <w:r w:rsidRPr="008A7D25">
              <w:rPr>
                <w:sz w:val="24"/>
                <w:szCs w:val="24"/>
              </w:rPr>
              <w:t xml:space="preserve"> </w:t>
            </w:r>
            <w:proofErr w:type="spellStart"/>
            <w:r w:rsidRPr="008A7D25">
              <w:rPr>
                <w:sz w:val="24"/>
                <w:szCs w:val="24"/>
              </w:rPr>
              <w:t>Indígenas</w:t>
            </w:r>
            <w:proofErr w:type="spellEnd"/>
            <w:r w:rsidRPr="00F112AB">
              <w:rPr>
                <w:sz w:val="24"/>
                <w:szCs w:val="24"/>
              </w:rPr>
              <w:t xml:space="preserve"> (Peru)</w:t>
            </w:r>
          </w:p>
        </w:tc>
      </w:tr>
    </w:tbl>
    <w:p w:rsidR="00EE5584" w:rsidRPr="00F112AB" w:rsidRDefault="00EE5584" w:rsidP="00EE5584">
      <w:pPr>
        <w:jc w:val="center"/>
        <w:rPr>
          <w:sz w:val="24"/>
          <w:szCs w:val="24"/>
        </w:rPr>
      </w:pPr>
      <w:r w:rsidRPr="00F112AB">
        <w:rPr>
          <w:sz w:val="24"/>
          <w:szCs w:val="24"/>
        </w:rPr>
        <w:t xml:space="preserve">Corporate Accountability </w:t>
      </w:r>
      <w:proofErr w:type="gramStart"/>
      <w:r w:rsidRPr="00F112AB">
        <w:rPr>
          <w:sz w:val="24"/>
          <w:szCs w:val="24"/>
        </w:rPr>
        <w:t>International  (</w:t>
      </w:r>
      <w:proofErr w:type="gramEnd"/>
      <w:r w:rsidRPr="00F112AB">
        <w:rPr>
          <w:sz w:val="24"/>
          <w:szCs w:val="24"/>
        </w:rPr>
        <w:t>USA)</w:t>
      </w:r>
    </w:p>
    <w:p w:rsidR="00EE5584" w:rsidRPr="00F112AB" w:rsidRDefault="00EE5584" w:rsidP="00EE5584">
      <w:pPr>
        <w:jc w:val="center"/>
        <w:rPr>
          <w:sz w:val="24"/>
          <w:szCs w:val="24"/>
        </w:rPr>
      </w:pPr>
      <w:r w:rsidRPr="00F112AB">
        <w:rPr>
          <w:sz w:val="24"/>
          <w:szCs w:val="24"/>
        </w:rPr>
        <w:t>Defend Job Philippines</w:t>
      </w:r>
    </w:p>
    <w:p w:rsidR="00EE5584" w:rsidRPr="00F112AB" w:rsidRDefault="00EE5584" w:rsidP="00EE5584">
      <w:pPr>
        <w:jc w:val="center"/>
        <w:rPr>
          <w:sz w:val="24"/>
          <w:szCs w:val="24"/>
        </w:rPr>
      </w:pPr>
      <w:r w:rsidRPr="00F112AB">
        <w:rPr>
          <w:sz w:val="24"/>
          <w:szCs w:val="24"/>
        </w:rPr>
        <w:t>The Democracy Center (Bolivia)</w:t>
      </w:r>
    </w:p>
    <w:p w:rsidR="00EE5584" w:rsidRPr="00F112AB" w:rsidRDefault="00EE5584" w:rsidP="00EE5584">
      <w:pPr>
        <w:ind w:left="540"/>
        <w:jc w:val="center"/>
        <w:rPr>
          <w:sz w:val="24"/>
          <w:szCs w:val="24"/>
        </w:rPr>
      </w:pPr>
      <w:proofErr w:type="spellStart"/>
      <w:r w:rsidRPr="00F112AB">
        <w:rPr>
          <w:sz w:val="24"/>
          <w:szCs w:val="24"/>
        </w:rPr>
        <w:t>Desarrollo</w:t>
      </w:r>
      <w:proofErr w:type="spellEnd"/>
      <w:r w:rsidRPr="00F112AB">
        <w:rPr>
          <w:sz w:val="24"/>
          <w:szCs w:val="24"/>
        </w:rPr>
        <w:t xml:space="preserve">, </w:t>
      </w:r>
      <w:proofErr w:type="spellStart"/>
      <w:r w:rsidRPr="00F112AB">
        <w:rPr>
          <w:sz w:val="24"/>
          <w:szCs w:val="24"/>
        </w:rPr>
        <w:t>Educación</w:t>
      </w:r>
      <w:proofErr w:type="spellEnd"/>
      <w:r w:rsidRPr="00F112AB">
        <w:rPr>
          <w:sz w:val="24"/>
          <w:szCs w:val="24"/>
        </w:rPr>
        <w:t xml:space="preserve"> Y </w:t>
      </w:r>
      <w:proofErr w:type="spellStart"/>
      <w:r w:rsidRPr="00F112AB">
        <w:rPr>
          <w:sz w:val="24"/>
          <w:szCs w:val="24"/>
        </w:rPr>
        <w:t>Cultura</w:t>
      </w:r>
      <w:proofErr w:type="spellEnd"/>
      <w:r w:rsidRPr="00F112AB">
        <w:rPr>
          <w:sz w:val="24"/>
          <w:szCs w:val="24"/>
        </w:rPr>
        <w:t xml:space="preserve"> </w:t>
      </w:r>
      <w:proofErr w:type="spellStart"/>
      <w:r w:rsidRPr="00F112AB">
        <w:rPr>
          <w:sz w:val="24"/>
          <w:szCs w:val="24"/>
        </w:rPr>
        <w:t>Autogestionarios</w:t>
      </w:r>
      <w:proofErr w:type="spellEnd"/>
      <w:r w:rsidRPr="00F112AB">
        <w:rPr>
          <w:sz w:val="24"/>
          <w:szCs w:val="24"/>
        </w:rPr>
        <w:t xml:space="preserve">, </w:t>
      </w:r>
      <w:proofErr w:type="spellStart"/>
      <w:r w:rsidRPr="00F112AB">
        <w:rPr>
          <w:sz w:val="24"/>
          <w:szCs w:val="24"/>
        </w:rPr>
        <w:t>Equipo</w:t>
      </w:r>
      <w:proofErr w:type="spellEnd"/>
      <w:r w:rsidRPr="00F112AB">
        <w:rPr>
          <w:sz w:val="24"/>
          <w:szCs w:val="24"/>
        </w:rPr>
        <w:t xml:space="preserve"> Pueblo A.C. (Mexico)</w:t>
      </w:r>
    </w:p>
    <w:p w:rsidR="00EE5584" w:rsidRPr="00F112AB" w:rsidRDefault="00EE5584" w:rsidP="00EE5584">
      <w:pPr>
        <w:jc w:val="center"/>
        <w:rPr>
          <w:sz w:val="24"/>
          <w:szCs w:val="24"/>
        </w:rPr>
      </w:pPr>
      <w:r w:rsidRPr="00F112AB">
        <w:rPr>
          <w:sz w:val="24"/>
          <w:szCs w:val="24"/>
        </w:rPr>
        <w:t>Due Process of Law Foundation (USA)</w:t>
      </w:r>
    </w:p>
    <w:p w:rsidR="00EE5584" w:rsidRPr="00F112AB" w:rsidRDefault="00EE5584" w:rsidP="00EE5584">
      <w:pPr>
        <w:jc w:val="center"/>
        <w:rPr>
          <w:sz w:val="24"/>
          <w:szCs w:val="24"/>
        </w:rPr>
      </w:pPr>
      <w:r w:rsidRPr="00F112AB">
        <w:rPr>
          <w:sz w:val="24"/>
          <w:szCs w:val="24"/>
        </w:rPr>
        <w:t>Equitable Cambodia</w:t>
      </w:r>
    </w:p>
    <w:p w:rsidR="00EE5584" w:rsidRPr="00F112AB" w:rsidRDefault="00EE5584" w:rsidP="00EE5584">
      <w:pPr>
        <w:jc w:val="center"/>
        <w:rPr>
          <w:sz w:val="24"/>
          <w:szCs w:val="24"/>
        </w:rPr>
      </w:pPr>
      <w:proofErr w:type="spellStart"/>
      <w:r w:rsidRPr="00F112AB">
        <w:rPr>
          <w:sz w:val="24"/>
          <w:szCs w:val="24"/>
        </w:rPr>
        <w:t>Fédération</w:t>
      </w:r>
      <w:proofErr w:type="spellEnd"/>
      <w:r w:rsidRPr="00F112AB">
        <w:rPr>
          <w:sz w:val="24"/>
          <w:szCs w:val="24"/>
        </w:rPr>
        <w:t xml:space="preserve"> </w:t>
      </w:r>
      <w:proofErr w:type="spellStart"/>
      <w:r w:rsidRPr="00F112AB">
        <w:rPr>
          <w:sz w:val="24"/>
          <w:szCs w:val="24"/>
        </w:rPr>
        <w:t>internationale</w:t>
      </w:r>
      <w:proofErr w:type="spellEnd"/>
      <w:r w:rsidRPr="00F112AB">
        <w:rPr>
          <w:sz w:val="24"/>
          <w:szCs w:val="24"/>
        </w:rPr>
        <w:t xml:space="preserve"> des droits de </w:t>
      </w:r>
      <w:proofErr w:type="spellStart"/>
      <w:r w:rsidRPr="00F112AB">
        <w:rPr>
          <w:sz w:val="24"/>
          <w:szCs w:val="24"/>
        </w:rPr>
        <w:t>l'Homme</w:t>
      </w:r>
      <w:proofErr w:type="spellEnd"/>
      <w:r w:rsidRPr="00F112AB">
        <w:rPr>
          <w:sz w:val="24"/>
          <w:szCs w:val="24"/>
        </w:rPr>
        <w:t xml:space="preserve"> (France)</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9013"/>
      </w:tblGrid>
      <w:tr w:rsidR="00EE5584" w:rsidRPr="008A7D25" w:rsidTr="009A0251">
        <w:trPr>
          <w:tblCellSpacing w:w="15" w:type="dxa"/>
        </w:trPr>
        <w:tc>
          <w:tcPr>
            <w:tcW w:w="0" w:type="auto"/>
            <w:vAlign w:val="center"/>
            <w:hideMark/>
          </w:tcPr>
          <w:p w:rsidR="00EE5584" w:rsidRPr="008A7D25" w:rsidRDefault="00EE5584" w:rsidP="009A0251">
            <w:pPr>
              <w:jc w:val="center"/>
              <w:rPr>
                <w:sz w:val="24"/>
                <w:szCs w:val="24"/>
              </w:rPr>
            </w:pPr>
          </w:p>
        </w:tc>
        <w:tc>
          <w:tcPr>
            <w:tcW w:w="0" w:type="auto"/>
            <w:vAlign w:val="center"/>
            <w:hideMark/>
          </w:tcPr>
          <w:p w:rsidR="00EE5584" w:rsidRPr="008A7D25" w:rsidRDefault="00EE5584" w:rsidP="009A0251">
            <w:pPr>
              <w:ind w:left="795"/>
              <w:jc w:val="center"/>
              <w:rPr>
                <w:sz w:val="24"/>
                <w:szCs w:val="24"/>
              </w:rPr>
            </w:pPr>
            <w:proofErr w:type="spellStart"/>
            <w:r w:rsidRPr="008A7D25">
              <w:rPr>
                <w:sz w:val="24"/>
                <w:szCs w:val="24"/>
              </w:rPr>
              <w:t>Foro</w:t>
            </w:r>
            <w:proofErr w:type="spellEnd"/>
            <w:r w:rsidRPr="008A7D25">
              <w:rPr>
                <w:sz w:val="24"/>
                <w:szCs w:val="24"/>
              </w:rPr>
              <w:t xml:space="preserve"> </w:t>
            </w:r>
            <w:proofErr w:type="spellStart"/>
            <w:r w:rsidRPr="008A7D25">
              <w:rPr>
                <w:sz w:val="24"/>
                <w:szCs w:val="24"/>
              </w:rPr>
              <w:t>Ciudadano</w:t>
            </w:r>
            <w:proofErr w:type="spellEnd"/>
            <w:r w:rsidRPr="008A7D25">
              <w:rPr>
                <w:sz w:val="24"/>
                <w:szCs w:val="24"/>
              </w:rPr>
              <w:t xml:space="preserve"> de </w:t>
            </w:r>
            <w:proofErr w:type="spellStart"/>
            <w:r w:rsidRPr="008A7D25">
              <w:rPr>
                <w:sz w:val="24"/>
                <w:szCs w:val="24"/>
              </w:rPr>
              <w:t>Participación</w:t>
            </w:r>
            <w:proofErr w:type="spellEnd"/>
            <w:r w:rsidRPr="008A7D25">
              <w:rPr>
                <w:sz w:val="24"/>
                <w:szCs w:val="24"/>
              </w:rPr>
              <w:t xml:space="preserve"> </w:t>
            </w:r>
            <w:proofErr w:type="spellStart"/>
            <w:r w:rsidRPr="008A7D25">
              <w:rPr>
                <w:sz w:val="24"/>
                <w:szCs w:val="24"/>
              </w:rPr>
              <w:t>por</w:t>
            </w:r>
            <w:proofErr w:type="spellEnd"/>
            <w:r w:rsidRPr="008A7D25">
              <w:rPr>
                <w:sz w:val="24"/>
                <w:szCs w:val="24"/>
              </w:rPr>
              <w:t xml:space="preserve"> la </w:t>
            </w:r>
            <w:proofErr w:type="spellStart"/>
            <w:r w:rsidRPr="008A7D25">
              <w:rPr>
                <w:sz w:val="24"/>
                <w:szCs w:val="24"/>
              </w:rPr>
              <w:t>Justicia</w:t>
            </w:r>
            <w:proofErr w:type="spellEnd"/>
            <w:r w:rsidRPr="008A7D25">
              <w:rPr>
                <w:sz w:val="24"/>
                <w:szCs w:val="24"/>
              </w:rPr>
              <w:t xml:space="preserve"> y </w:t>
            </w:r>
            <w:proofErr w:type="spellStart"/>
            <w:r w:rsidRPr="008A7D25">
              <w:rPr>
                <w:sz w:val="24"/>
                <w:szCs w:val="24"/>
              </w:rPr>
              <w:t>los</w:t>
            </w:r>
            <w:proofErr w:type="spellEnd"/>
            <w:r w:rsidRPr="008A7D25">
              <w:rPr>
                <w:sz w:val="24"/>
                <w:szCs w:val="24"/>
              </w:rPr>
              <w:t xml:space="preserve"> Derechos </w:t>
            </w:r>
            <w:proofErr w:type="spellStart"/>
            <w:r w:rsidRPr="008A7D25">
              <w:rPr>
                <w:sz w:val="24"/>
                <w:szCs w:val="24"/>
              </w:rPr>
              <w:t>Humanos</w:t>
            </w:r>
            <w:proofErr w:type="spellEnd"/>
            <w:r w:rsidRPr="00F112AB">
              <w:rPr>
                <w:sz w:val="24"/>
                <w:szCs w:val="24"/>
              </w:rPr>
              <w:t xml:space="preserve"> (Argentina)</w:t>
            </w:r>
          </w:p>
        </w:tc>
      </w:tr>
    </w:tbl>
    <w:p w:rsidR="00EE5584" w:rsidRPr="00F112AB" w:rsidRDefault="00EE5584" w:rsidP="00EE5584">
      <w:pPr>
        <w:jc w:val="center"/>
        <w:rPr>
          <w:sz w:val="24"/>
          <w:szCs w:val="24"/>
        </w:rPr>
      </w:pPr>
      <w:r w:rsidRPr="00F112AB">
        <w:rPr>
          <w:sz w:val="24"/>
          <w:szCs w:val="24"/>
        </w:rPr>
        <w:t>Global Initiative for Economic, Social and Cultural Rights (GI-ESCR)</w:t>
      </w:r>
    </w:p>
    <w:p w:rsidR="00EE5584" w:rsidRPr="00F112AB" w:rsidRDefault="00EE5584" w:rsidP="00EE5584">
      <w:pPr>
        <w:jc w:val="center"/>
        <w:rPr>
          <w:sz w:val="24"/>
          <w:szCs w:val="24"/>
        </w:rPr>
      </w:pPr>
      <w:r w:rsidRPr="00F112AB">
        <w:rPr>
          <w:sz w:val="24"/>
          <w:szCs w:val="24"/>
        </w:rPr>
        <w:t>Habi Center for Environmental Rights</w:t>
      </w:r>
      <w:r>
        <w:rPr>
          <w:sz w:val="24"/>
          <w:szCs w:val="24"/>
        </w:rPr>
        <w:t xml:space="preserve"> (Egypt)</w:t>
      </w:r>
    </w:p>
    <w:p w:rsidR="00EE5584" w:rsidRPr="00F112AB" w:rsidRDefault="00EE5584" w:rsidP="00EE5584">
      <w:pPr>
        <w:jc w:val="center"/>
        <w:rPr>
          <w:sz w:val="24"/>
          <w:szCs w:val="24"/>
        </w:rPr>
      </w:pPr>
      <w:r w:rsidRPr="00F112AB">
        <w:rPr>
          <w:sz w:val="24"/>
          <w:szCs w:val="24"/>
        </w:rPr>
        <w:t>Human Rights Law Network (India)</w:t>
      </w:r>
    </w:p>
    <w:p w:rsidR="00EE5584" w:rsidRPr="00F112AB" w:rsidRDefault="00EE5584" w:rsidP="00EE5584">
      <w:pPr>
        <w:jc w:val="center"/>
        <w:rPr>
          <w:sz w:val="24"/>
          <w:szCs w:val="24"/>
        </w:rPr>
      </w:pPr>
      <w:r w:rsidRPr="00F112AB">
        <w:rPr>
          <w:sz w:val="24"/>
          <w:szCs w:val="24"/>
        </w:rPr>
        <w:t>Human Rights Law Resource Centre (Australia)</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6727"/>
      </w:tblGrid>
      <w:tr w:rsidR="00EE5584" w:rsidRPr="008A7D25" w:rsidTr="009A0251">
        <w:trPr>
          <w:tblCellSpacing w:w="15" w:type="dxa"/>
        </w:trPr>
        <w:tc>
          <w:tcPr>
            <w:tcW w:w="0" w:type="auto"/>
            <w:vAlign w:val="center"/>
            <w:hideMark/>
          </w:tcPr>
          <w:p w:rsidR="00EE5584" w:rsidRPr="008A7D25" w:rsidRDefault="00EE5584" w:rsidP="009A0251">
            <w:pPr>
              <w:jc w:val="center"/>
              <w:rPr>
                <w:sz w:val="24"/>
                <w:szCs w:val="24"/>
              </w:rPr>
            </w:pPr>
          </w:p>
        </w:tc>
        <w:tc>
          <w:tcPr>
            <w:tcW w:w="0" w:type="auto"/>
            <w:vAlign w:val="center"/>
            <w:hideMark/>
          </w:tcPr>
          <w:p w:rsidR="00EE5584" w:rsidRPr="008A7D25" w:rsidRDefault="00EE5584" w:rsidP="009A0251">
            <w:pPr>
              <w:ind w:left="2505"/>
              <w:jc w:val="center"/>
              <w:rPr>
                <w:sz w:val="24"/>
                <w:szCs w:val="24"/>
              </w:rPr>
            </w:pPr>
            <w:r w:rsidRPr="008A7D25">
              <w:rPr>
                <w:sz w:val="24"/>
                <w:szCs w:val="24"/>
              </w:rPr>
              <w:t>Inclusive Development International</w:t>
            </w:r>
            <w:r w:rsidRPr="00F112AB">
              <w:rPr>
                <w:sz w:val="24"/>
                <w:szCs w:val="24"/>
              </w:rPr>
              <w:t xml:space="preserve"> (USA)</w:t>
            </w:r>
          </w:p>
        </w:tc>
      </w:tr>
    </w:tbl>
    <w:p w:rsidR="00EE5584" w:rsidRPr="00F112AB" w:rsidRDefault="00EE5584" w:rsidP="00EE5584">
      <w:pPr>
        <w:jc w:val="center"/>
        <w:rPr>
          <w:sz w:val="24"/>
          <w:szCs w:val="24"/>
        </w:rPr>
      </w:pPr>
      <w:r w:rsidRPr="00F112AB">
        <w:rPr>
          <w:sz w:val="24"/>
          <w:szCs w:val="24"/>
        </w:rPr>
        <w:t>International Accountability Project (USA)</w:t>
      </w:r>
    </w:p>
    <w:p w:rsidR="00EE5584" w:rsidRPr="00F112AB" w:rsidRDefault="00EE5584" w:rsidP="00EE5584">
      <w:pPr>
        <w:jc w:val="center"/>
        <w:rPr>
          <w:sz w:val="24"/>
          <w:szCs w:val="24"/>
        </w:rPr>
      </w:pPr>
      <w:r w:rsidRPr="00F112AB">
        <w:rPr>
          <w:sz w:val="24"/>
          <w:szCs w:val="24"/>
        </w:rPr>
        <w:t>International Commission of Jurists</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5636"/>
      </w:tblGrid>
      <w:tr w:rsidR="00EE5584" w:rsidRPr="008A7D25" w:rsidTr="009A0251">
        <w:trPr>
          <w:tblCellSpacing w:w="15" w:type="dxa"/>
        </w:trPr>
        <w:tc>
          <w:tcPr>
            <w:tcW w:w="0" w:type="auto"/>
            <w:vAlign w:val="center"/>
            <w:hideMark/>
          </w:tcPr>
          <w:p w:rsidR="00EE5584" w:rsidRPr="008A7D25" w:rsidRDefault="00EE5584" w:rsidP="009A0251">
            <w:pPr>
              <w:jc w:val="center"/>
              <w:rPr>
                <w:sz w:val="24"/>
                <w:szCs w:val="24"/>
              </w:rPr>
            </w:pPr>
          </w:p>
        </w:tc>
        <w:tc>
          <w:tcPr>
            <w:tcW w:w="0" w:type="auto"/>
            <w:vAlign w:val="center"/>
            <w:hideMark/>
          </w:tcPr>
          <w:p w:rsidR="00EE5584" w:rsidRPr="008A7D25" w:rsidRDefault="00EE5584" w:rsidP="009A0251">
            <w:pPr>
              <w:ind w:left="3495"/>
              <w:jc w:val="center"/>
              <w:rPr>
                <w:sz w:val="24"/>
                <w:szCs w:val="24"/>
              </w:rPr>
            </w:pPr>
            <w:proofErr w:type="spellStart"/>
            <w:r w:rsidRPr="008A7D25">
              <w:rPr>
                <w:sz w:val="24"/>
                <w:szCs w:val="24"/>
              </w:rPr>
              <w:t>Justiça</w:t>
            </w:r>
            <w:proofErr w:type="spellEnd"/>
            <w:r w:rsidRPr="008A7D25">
              <w:rPr>
                <w:sz w:val="24"/>
                <w:szCs w:val="24"/>
              </w:rPr>
              <w:t xml:space="preserve"> Global</w:t>
            </w:r>
            <w:r w:rsidRPr="00F112AB">
              <w:rPr>
                <w:sz w:val="24"/>
                <w:szCs w:val="24"/>
              </w:rPr>
              <w:t xml:space="preserve"> (Brazil)</w:t>
            </w:r>
          </w:p>
        </w:tc>
      </w:tr>
    </w:tbl>
    <w:p w:rsidR="00EE5584" w:rsidRPr="00F112AB" w:rsidRDefault="00EE5584" w:rsidP="00EE5584">
      <w:pPr>
        <w:jc w:val="center"/>
        <w:rPr>
          <w:sz w:val="24"/>
          <w:szCs w:val="24"/>
        </w:rPr>
      </w:pPr>
      <w:r w:rsidRPr="00F112AB">
        <w:rPr>
          <w:sz w:val="24"/>
          <w:szCs w:val="24"/>
        </w:rPr>
        <w:t>Kenya Human Rights Commission</w:t>
      </w:r>
    </w:p>
    <w:p w:rsidR="00EE5584" w:rsidRPr="00F112AB" w:rsidRDefault="00EE5584" w:rsidP="00EE5584">
      <w:pPr>
        <w:jc w:val="center"/>
        <w:rPr>
          <w:sz w:val="24"/>
          <w:szCs w:val="24"/>
        </w:rPr>
      </w:pPr>
      <w:r w:rsidRPr="00F112AB">
        <w:rPr>
          <w:sz w:val="24"/>
          <w:szCs w:val="24"/>
        </w:rPr>
        <w:t>Legal Resource Centre (South Africa)</w:t>
      </w:r>
    </w:p>
    <w:p w:rsidR="00EE5584" w:rsidRPr="00F112AB" w:rsidRDefault="00EE5584" w:rsidP="00EE5584">
      <w:pPr>
        <w:jc w:val="center"/>
        <w:rPr>
          <w:sz w:val="24"/>
          <w:szCs w:val="24"/>
        </w:rPr>
      </w:pPr>
      <w:proofErr w:type="spellStart"/>
      <w:r w:rsidRPr="00F112AB">
        <w:rPr>
          <w:sz w:val="24"/>
          <w:szCs w:val="24"/>
        </w:rPr>
        <w:t>MiningWatch</w:t>
      </w:r>
      <w:proofErr w:type="spellEnd"/>
      <w:r w:rsidRPr="00F112AB">
        <w:rPr>
          <w:sz w:val="24"/>
          <w:szCs w:val="24"/>
        </w:rPr>
        <w:t xml:space="preserve"> Canada</w:t>
      </w:r>
    </w:p>
    <w:p w:rsidR="00EE5584" w:rsidRPr="00F112AB" w:rsidRDefault="00EE5584" w:rsidP="00EE5584">
      <w:pPr>
        <w:jc w:val="center"/>
        <w:rPr>
          <w:sz w:val="24"/>
          <w:szCs w:val="24"/>
        </w:rPr>
      </w:pPr>
      <w:r w:rsidRPr="00F112AB">
        <w:rPr>
          <w:sz w:val="24"/>
          <w:szCs w:val="24"/>
        </w:rPr>
        <w:t>Movement for the Survival of the Ogoni People (Nigeria)</w:t>
      </w:r>
    </w:p>
    <w:p w:rsidR="00EE5584" w:rsidRPr="00F112AB" w:rsidRDefault="00EE5584" w:rsidP="00EE5584">
      <w:pPr>
        <w:jc w:val="center"/>
        <w:rPr>
          <w:sz w:val="24"/>
          <w:szCs w:val="24"/>
        </w:rPr>
      </w:pPr>
      <w:proofErr w:type="spellStart"/>
      <w:r w:rsidRPr="00F112AB">
        <w:rPr>
          <w:sz w:val="24"/>
          <w:szCs w:val="24"/>
        </w:rPr>
        <w:t>Narasha</w:t>
      </w:r>
      <w:proofErr w:type="spellEnd"/>
      <w:r w:rsidRPr="00F112AB">
        <w:rPr>
          <w:sz w:val="24"/>
          <w:szCs w:val="24"/>
        </w:rPr>
        <w:t xml:space="preserve"> Community Development Group (Kenya)</w:t>
      </w:r>
    </w:p>
    <w:p w:rsidR="00EE5584" w:rsidRPr="00F112AB" w:rsidRDefault="00EE5584" w:rsidP="00EE5584">
      <w:pPr>
        <w:jc w:val="center"/>
        <w:rPr>
          <w:sz w:val="24"/>
          <w:szCs w:val="24"/>
        </w:rPr>
      </w:pPr>
      <w:r w:rsidRPr="00F112AB">
        <w:rPr>
          <w:sz w:val="24"/>
          <w:szCs w:val="24"/>
        </w:rPr>
        <w:t>National Center for Advocacy Studies (India)</w:t>
      </w:r>
    </w:p>
    <w:p w:rsidR="00EE5584" w:rsidRPr="00F112AB" w:rsidRDefault="00EE5584" w:rsidP="00EE5584">
      <w:pPr>
        <w:jc w:val="center"/>
        <w:rPr>
          <w:sz w:val="24"/>
          <w:szCs w:val="24"/>
        </w:rPr>
      </w:pPr>
      <w:r w:rsidRPr="00F112AB">
        <w:rPr>
          <w:sz w:val="24"/>
          <w:szCs w:val="24"/>
        </w:rPr>
        <w:t>National Economic and Social Rights Initiative (USA)</w:t>
      </w:r>
    </w:p>
    <w:p w:rsidR="00EE5584" w:rsidRPr="00F112AB" w:rsidRDefault="00EE5584" w:rsidP="00EE5584">
      <w:pPr>
        <w:jc w:val="center"/>
        <w:rPr>
          <w:sz w:val="24"/>
          <w:szCs w:val="24"/>
        </w:rPr>
      </w:pPr>
      <w:r w:rsidRPr="00F112AB">
        <w:rPr>
          <w:sz w:val="24"/>
          <w:szCs w:val="24"/>
        </w:rPr>
        <w:lastRenderedPageBreak/>
        <w:t>National Fisheries Solidarity Organization (India)</w:t>
      </w:r>
    </w:p>
    <w:p w:rsidR="00EE5584" w:rsidRPr="00F112AB" w:rsidRDefault="00EE5584" w:rsidP="00EE5584">
      <w:pPr>
        <w:jc w:val="center"/>
        <w:rPr>
          <w:sz w:val="24"/>
          <w:szCs w:val="24"/>
        </w:rPr>
      </w:pPr>
      <w:r w:rsidRPr="00F112AB">
        <w:rPr>
          <w:sz w:val="24"/>
          <w:szCs w:val="24"/>
        </w:rPr>
        <w:t>Natural Resources Alliance of Kenya</w:t>
      </w:r>
    </w:p>
    <w:p w:rsidR="00EE5584" w:rsidRPr="00F112AB" w:rsidRDefault="00EE5584" w:rsidP="00EE5584">
      <w:pPr>
        <w:jc w:val="center"/>
        <w:rPr>
          <w:sz w:val="24"/>
          <w:szCs w:val="24"/>
        </w:rPr>
      </w:pPr>
      <w:r w:rsidRPr="00F112AB">
        <w:rPr>
          <w:sz w:val="24"/>
          <w:szCs w:val="24"/>
        </w:rPr>
        <w:t>Network Movement for Justice and Development (Sierra Leone)</w:t>
      </w:r>
    </w:p>
    <w:p w:rsidR="00EE5584" w:rsidRPr="00F112AB" w:rsidRDefault="00EE5584" w:rsidP="00EE5584">
      <w:pPr>
        <w:jc w:val="center"/>
        <w:rPr>
          <w:sz w:val="24"/>
          <w:szCs w:val="24"/>
        </w:rPr>
      </w:pPr>
      <w:proofErr w:type="spellStart"/>
      <w:r w:rsidRPr="00F112AB">
        <w:rPr>
          <w:sz w:val="24"/>
          <w:szCs w:val="24"/>
        </w:rPr>
        <w:t>Observatorio</w:t>
      </w:r>
      <w:proofErr w:type="spellEnd"/>
      <w:r w:rsidRPr="00F112AB">
        <w:rPr>
          <w:sz w:val="24"/>
          <w:szCs w:val="24"/>
        </w:rPr>
        <w:t xml:space="preserve"> </w:t>
      </w:r>
      <w:proofErr w:type="spellStart"/>
      <w:r w:rsidRPr="00F112AB">
        <w:rPr>
          <w:sz w:val="24"/>
          <w:szCs w:val="24"/>
        </w:rPr>
        <w:t>Ciudadano</w:t>
      </w:r>
      <w:proofErr w:type="spellEnd"/>
      <w:r w:rsidRPr="00F112AB">
        <w:rPr>
          <w:sz w:val="24"/>
          <w:szCs w:val="24"/>
        </w:rPr>
        <w:t xml:space="preserve"> (Chile)</w:t>
      </w:r>
    </w:p>
    <w:p w:rsidR="00EE5584" w:rsidRPr="00F112AB" w:rsidRDefault="00EE5584" w:rsidP="00EE5584">
      <w:pPr>
        <w:jc w:val="center"/>
        <w:rPr>
          <w:sz w:val="24"/>
          <w:szCs w:val="24"/>
        </w:rPr>
      </w:pPr>
      <w:proofErr w:type="spellStart"/>
      <w:r w:rsidRPr="00F112AB">
        <w:rPr>
          <w:sz w:val="24"/>
          <w:szCs w:val="24"/>
        </w:rPr>
        <w:t>Organización</w:t>
      </w:r>
      <w:proofErr w:type="spellEnd"/>
      <w:r w:rsidRPr="00F112AB">
        <w:rPr>
          <w:sz w:val="24"/>
          <w:szCs w:val="24"/>
        </w:rPr>
        <w:t xml:space="preserve"> Fraternal </w:t>
      </w:r>
      <w:proofErr w:type="spellStart"/>
      <w:r w:rsidRPr="00F112AB">
        <w:rPr>
          <w:sz w:val="24"/>
          <w:szCs w:val="24"/>
        </w:rPr>
        <w:t>Negra</w:t>
      </w:r>
      <w:proofErr w:type="spellEnd"/>
      <w:r w:rsidRPr="00F112AB">
        <w:rPr>
          <w:sz w:val="24"/>
          <w:szCs w:val="24"/>
        </w:rPr>
        <w:t xml:space="preserve"> </w:t>
      </w:r>
      <w:proofErr w:type="spellStart"/>
      <w:r w:rsidRPr="00F112AB">
        <w:rPr>
          <w:sz w:val="24"/>
          <w:szCs w:val="24"/>
        </w:rPr>
        <w:t>Hondureña</w:t>
      </w:r>
      <w:proofErr w:type="spellEnd"/>
      <w:r w:rsidRPr="00F112AB">
        <w:rPr>
          <w:sz w:val="24"/>
          <w:szCs w:val="24"/>
        </w:rPr>
        <w:t xml:space="preserve"> (Honduras)</w:t>
      </w:r>
    </w:p>
    <w:p w:rsidR="00EE5584" w:rsidRPr="00F112AB" w:rsidRDefault="00EE5584" w:rsidP="00EE5584">
      <w:pPr>
        <w:jc w:val="center"/>
        <w:rPr>
          <w:sz w:val="24"/>
          <w:szCs w:val="24"/>
        </w:rPr>
      </w:pPr>
      <w:proofErr w:type="spellStart"/>
      <w:r w:rsidRPr="00F112AB">
        <w:rPr>
          <w:sz w:val="24"/>
          <w:szCs w:val="24"/>
        </w:rPr>
        <w:t>Otros</w:t>
      </w:r>
      <w:proofErr w:type="spellEnd"/>
      <w:r w:rsidRPr="00F112AB">
        <w:rPr>
          <w:sz w:val="24"/>
          <w:szCs w:val="24"/>
        </w:rPr>
        <w:t xml:space="preserve"> </w:t>
      </w:r>
      <w:proofErr w:type="spellStart"/>
      <w:r w:rsidRPr="00F112AB">
        <w:rPr>
          <w:sz w:val="24"/>
          <w:szCs w:val="24"/>
        </w:rPr>
        <w:t>Mundos</w:t>
      </w:r>
      <w:proofErr w:type="spellEnd"/>
      <w:r w:rsidRPr="00F112AB">
        <w:rPr>
          <w:sz w:val="24"/>
          <w:szCs w:val="24"/>
        </w:rPr>
        <w:t xml:space="preserve"> Chiapas (Mexico)</w:t>
      </w:r>
    </w:p>
    <w:p w:rsidR="00EE5584" w:rsidRPr="00F112AB" w:rsidRDefault="00EE5584" w:rsidP="00EE5584">
      <w:pPr>
        <w:jc w:val="center"/>
        <w:rPr>
          <w:sz w:val="24"/>
          <w:szCs w:val="24"/>
        </w:rPr>
      </w:pPr>
      <w:proofErr w:type="spellStart"/>
      <w:r w:rsidRPr="00F112AB">
        <w:rPr>
          <w:sz w:val="24"/>
          <w:szCs w:val="24"/>
        </w:rPr>
        <w:t>Posco</w:t>
      </w:r>
      <w:proofErr w:type="spellEnd"/>
      <w:r w:rsidRPr="00F112AB">
        <w:rPr>
          <w:sz w:val="24"/>
          <w:szCs w:val="24"/>
        </w:rPr>
        <w:t xml:space="preserve"> </w:t>
      </w:r>
      <w:proofErr w:type="spellStart"/>
      <w:r w:rsidRPr="00F112AB">
        <w:rPr>
          <w:sz w:val="24"/>
          <w:szCs w:val="24"/>
        </w:rPr>
        <w:t>Pratirodh</w:t>
      </w:r>
      <w:proofErr w:type="spellEnd"/>
      <w:r w:rsidRPr="00F112AB">
        <w:rPr>
          <w:sz w:val="24"/>
          <w:szCs w:val="24"/>
        </w:rPr>
        <w:t xml:space="preserve"> </w:t>
      </w:r>
      <w:proofErr w:type="spellStart"/>
      <w:r w:rsidRPr="00F112AB">
        <w:rPr>
          <w:sz w:val="24"/>
          <w:szCs w:val="24"/>
        </w:rPr>
        <w:t>Sangram</w:t>
      </w:r>
      <w:proofErr w:type="spellEnd"/>
      <w:r w:rsidRPr="00F112AB">
        <w:rPr>
          <w:sz w:val="24"/>
          <w:szCs w:val="24"/>
        </w:rPr>
        <w:t xml:space="preserve"> </w:t>
      </w:r>
      <w:proofErr w:type="spellStart"/>
      <w:r w:rsidRPr="00F112AB">
        <w:rPr>
          <w:sz w:val="24"/>
          <w:szCs w:val="24"/>
        </w:rPr>
        <w:t>Samiti</w:t>
      </w:r>
      <w:proofErr w:type="spellEnd"/>
      <w:r w:rsidRPr="00F112AB">
        <w:rPr>
          <w:sz w:val="24"/>
          <w:szCs w:val="24"/>
        </w:rPr>
        <w:t xml:space="preserve"> (India)</w:t>
      </w:r>
    </w:p>
    <w:p w:rsidR="00EE5584" w:rsidRPr="00F112AB" w:rsidRDefault="00EE5584" w:rsidP="00EE5584">
      <w:pPr>
        <w:jc w:val="center"/>
        <w:rPr>
          <w:sz w:val="24"/>
          <w:szCs w:val="24"/>
        </w:rPr>
      </w:pPr>
      <w:r w:rsidRPr="00F112AB">
        <w:rPr>
          <w:sz w:val="24"/>
          <w:szCs w:val="24"/>
        </w:rPr>
        <w:t>Project on Organizing, Development, Education and Research (Mexico)</w:t>
      </w:r>
    </w:p>
    <w:p w:rsidR="00EE5584" w:rsidRPr="00F112AB" w:rsidRDefault="00EE5584" w:rsidP="00EE5584">
      <w:pPr>
        <w:jc w:val="center"/>
        <w:rPr>
          <w:sz w:val="24"/>
          <w:szCs w:val="24"/>
        </w:rPr>
      </w:pPr>
      <w:r w:rsidRPr="00F112AB">
        <w:rPr>
          <w:sz w:val="24"/>
          <w:szCs w:val="24"/>
        </w:rPr>
        <w:t xml:space="preserve">Proyecto de Derechos </w:t>
      </w:r>
      <w:proofErr w:type="spellStart"/>
      <w:r w:rsidRPr="00F112AB">
        <w:rPr>
          <w:sz w:val="24"/>
          <w:szCs w:val="24"/>
        </w:rPr>
        <w:t>Económicos</w:t>
      </w:r>
      <w:proofErr w:type="spellEnd"/>
      <w:r w:rsidRPr="00F112AB">
        <w:rPr>
          <w:sz w:val="24"/>
          <w:szCs w:val="24"/>
        </w:rPr>
        <w:t xml:space="preserve">, </w:t>
      </w:r>
      <w:proofErr w:type="spellStart"/>
      <w:r w:rsidRPr="00F112AB">
        <w:rPr>
          <w:sz w:val="24"/>
          <w:szCs w:val="24"/>
        </w:rPr>
        <w:t>Sociales</w:t>
      </w:r>
      <w:proofErr w:type="spellEnd"/>
      <w:r w:rsidRPr="00F112AB">
        <w:rPr>
          <w:sz w:val="24"/>
          <w:szCs w:val="24"/>
        </w:rPr>
        <w:t xml:space="preserve"> y </w:t>
      </w:r>
      <w:proofErr w:type="spellStart"/>
      <w:r w:rsidRPr="00F112AB">
        <w:rPr>
          <w:sz w:val="24"/>
          <w:szCs w:val="24"/>
        </w:rPr>
        <w:t>Culturales</w:t>
      </w:r>
      <w:proofErr w:type="spellEnd"/>
      <w:r w:rsidRPr="00F112AB">
        <w:rPr>
          <w:sz w:val="24"/>
          <w:szCs w:val="24"/>
        </w:rPr>
        <w:t xml:space="preserve"> (Mexico)</w:t>
      </w:r>
    </w:p>
    <w:p w:rsidR="00EE5584" w:rsidRPr="00F112AB" w:rsidRDefault="00EE5584" w:rsidP="00EE5584">
      <w:pPr>
        <w:jc w:val="center"/>
        <w:rPr>
          <w:sz w:val="24"/>
          <w:szCs w:val="24"/>
        </w:rPr>
      </w:pPr>
      <w:r w:rsidRPr="00F112AB">
        <w:rPr>
          <w:sz w:val="24"/>
          <w:szCs w:val="24"/>
        </w:rPr>
        <w:t xml:space="preserve">Red </w:t>
      </w:r>
      <w:proofErr w:type="spellStart"/>
      <w:r w:rsidRPr="00F112AB">
        <w:rPr>
          <w:sz w:val="24"/>
          <w:szCs w:val="24"/>
        </w:rPr>
        <w:t>Internacional</w:t>
      </w:r>
      <w:proofErr w:type="spellEnd"/>
      <w:r w:rsidRPr="00F112AB">
        <w:rPr>
          <w:sz w:val="24"/>
          <w:szCs w:val="24"/>
        </w:rPr>
        <w:t xml:space="preserve"> de Derechos </w:t>
      </w:r>
      <w:proofErr w:type="spellStart"/>
      <w:r w:rsidRPr="00F112AB">
        <w:rPr>
          <w:sz w:val="24"/>
          <w:szCs w:val="24"/>
        </w:rPr>
        <w:t>Humanos</w:t>
      </w:r>
      <w:proofErr w:type="spellEnd"/>
      <w:r w:rsidRPr="00F112AB">
        <w:rPr>
          <w:sz w:val="24"/>
          <w:szCs w:val="24"/>
        </w:rPr>
        <w:t xml:space="preserve"> (Switzerland)</w:t>
      </w:r>
    </w:p>
    <w:p w:rsidR="00EE5584" w:rsidRPr="00F112AB" w:rsidRDefault="00EE5584" w:rsidP="00EE5584">
      <w:pPr>
        <w:jc w:val="center"/>
        <w:rPr>
          <w:sz w:val="24"/>
          <w:szCs w:val="24"/>
        </w:rPr>
      </w:pPr>
      <w:r w:rsidRPr="00F112AB">
        <w:rPr>
          <w:sz w:val="24"/>
          <w:szCs w:val="24"/>
        </w:rPr>
        <w:t>Rights and Accountability in Development (UK)</w:t>
      </w:r>
    </w:p>
    <w:p w:rsidR="00EE5584" w:rsidRPr="00F112AB" w:rsidRDefault="00EE5584" w:rsidP="00EE5584">
      <w:pPr>
        <w:jc w:val="center"/>
        <w:rPr>
          <w:sz w:val="24"/>
          <w:szCs w:val="24"/>
        </w:rPr>
      </w:pPr>
      <w:proofErr w:type="spellStart"/>
      <w:r w:rsidRPr="00F112AB">
        <w:rPr>
          <w:sz w:val="24"/>
          <w:szCs w:val="24"/>
        </w:rPr>
        <w:t>Sahmakum</w:t>
      </w:r>
      <w:proofErr w:type="spellEnd"/>
      <w:r w:rsidRPr="00F112AB">
        <w:rPr>
          <w:sz w:val="24"/>
          <w:szCs w:val="24"/>
        </w:rPr>
        <w:t xml:space="preserve"> </w:t>
      </w:r>
      <w:proofErr w:type="spellStart"/>
      <w:r w:rsidRPr="00F112AB">
        <w:rPr>
          <w:sz w:val="24"/>
          <w:szCs w:val="24"/>
        </w:rPr>
        <w:t>Teang</w:t>
      </w:r>
      <w:proofErr w:type="spellEnd"/>
      <w:r w:rsidRPr="00F112AB">
        <w:rPr>
          <w:sz w:val="24"/>
          <w:szCs w:val="24"/>
        </w:rPr>
        <w:t xml:space="preserve"> </w:t>
      </w:r>
      <w:proofErr w:type="spellStart"/>
      <w:r w:rsidRPr="00F112AB">
        <w:rPr>
          <w:sz w:val="24"/>
          <w:szCs w:val="24"/>
        </w:rPr>
        <w:t>Tnaut</w:t>
      </w:r>
      <w:proofErr w:type="spellEnd"/>
      <w:r w:rsidRPr="00F112AB">
        <w:rPr>
          <w:sz w:val="24"/>
          <w:szCs w:val="24"/>
        </w:rPr>
        <w:t xml:space="preserve"> (Cambodia)</w:t>
      </w:r>
    </w:p>
    <w:p w:rsidR="00EE5584" w:rsidRPr="00F112AB" w:rsidRDefault="00EE5584" w:rsidP="00EE5584">
      <w:pPr>
        <w:jc w:val="center"/>
        <w:rPr>
          <w:sz w:val="24"/>
          <w:szCs w:val="24"/>
        </w:rPr>
      </w:pPr>
      <w:proofErr w:type="spellStart"/>
      <w:r w:rsidRPr="00F112AB">
        <w:rPr>
          <w:sz w:val="24"/>
          <w:szCs w:val="24"/>
        </w:rPr>
        <w:t>Tebtebba</w:t>
      </w:r>
      <w:proofErr w:type="spellEnd"/>
      <w:r w:rsidRPr="00F112AB">
        <w:rPr>
          <w:sz w:val="24"/>
          <w:szCs w:val="24"/>
        </w:rPr>
        <w:t xml:space="preserve"> Foundation (Philippines)</w:t>
      </w:r>
    </w:p>
    <w:p w:rsidR="00EE5584" w:rsidRPr="00F112AB" w:rsidRDefault="00EE5584" w:rsidP="00EE5584">
      <w:pPr>
        <w:jc w:val="center"/>
        <w:rPr>
          <w:sz w:val="24"/>
          <w:szCs w:val="24"/>
        </w:rPr>
      </w:pPr>
      <w:r w:rsidRPr="00F112AB">
        <w:rPr>
          <w:sz w:val="24"/>
          <w:szCs w:val="24"/>
        </w:rPr>
        <w:t xml:space="preserve">Terra de </w:t>
      </w:r>
      <w:proofErr w:type="spellStart"/>
      <w:r w:rsidRPr="00F112AB">
        <w:rPr>
          <w:sz w:val="24"/>
          <w:szCs w:val="24"/>
        </w:rPr>
        <w:t>Direitos</w:t>
      </w:r>
      <w:proofErr w:type="spellEnd"/>
      <w:r w:rsidRPr="00F112AB">
        <w:rPr>
          <w:sz w:val="24"/>
          <w:szCs w:val="24"/>
        </w:rPr>
        <w:t xml:space="preserve"> (Brazil)</w:t>
      </w:r>
    </w:p>
    <w:p w:rsidR="00EE5584" w:rsidRPr="00F112AB" w:rsidRDefault="00EE5584" w:rsidP="00EE5584">
      <w:pPr>
        <w:jc w:val="center"/>
        <w:rPr>
          <w:sz w:val="24"/>
          <w:szCs w:val="24"/>
        </w:rPr>
      </w:pPr>
      <w:r w:rsidRPr="00F112AB">
        <w:rPr>
          <w:sz w:val="24"/>
          <w:szCs w:val="24"/>
        </w:rPr>
        <w:t>Video Volunteers (India)</w:t>
      </w:r>
    </w:p>
    <w:p w:rsidR="00EE5584" w:rsidRDefault="00EE5584" w:rsidP="00EE5584">
      <w:pPr>
        <w:jc w:val="center"/>
      </w:pPr>
      <w:r w:rsidRPr="00F112AB">
        <w:rPr>
          <w:sz w:val="24"/>
          <w:szCs w:val="24"/>
        </w:rPr>
        <w:t>Zimbabwe Environmental</w:t>
      </w:r>
      <w:r>
        <w:t xml:space="preserve"> Law Association</w:t>
      </w:r>
    </w:p>
    <w:p w:rsidR="00EE5584" w:rsidRPr="00F112AB" w:rsidRDefault="00EE5584" w:rsidP="00EE5584">
      <w:pPr>
        <w:jc w:val="center"/>
      </w:pPr>
    </w:p>
    <w:p w:rsidR="00EE5584" w:rsidRDefault="00EE5584" w:rsidP="00EE5584"/>
    <w:p w:rsidR="00EE5584" w:rsidRDefault="00EE5584"/>
    <w:sectPr w:rsidR="00EE55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584" w:rsidRDefault="00EE5584" w:rsidP="00EE5584">
      <w:pPr>
        <w:spacing w:after="0" w:line="240" w:lineRule="auto"/>
      </w:pPr>
      <w:r>
        <w:separator/>
      </w:r>
    </w:p>
  </w:endnote>
  <w:endnote w:type="continuationSeparator" w:id="0">
    <w:p w:rsidR="00EE5584" w:rsidRDefault="00EE5584" w:rsidP="00EE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584" w:rsidRDefault="00EE5584" w:rsidP="00EE5584">
      <w:pPr>
        <w:spacing w:after="0" w:line="240" w:lineRule="auto"/>
      </w:pPr>
      <w:r>
        <w:separator/>
      </w:r>
    </w:p>
  </w:footnote>
  <w:footnote w:type="continuationSeparator" w:id="0">
    <w:p w:rsidR="00EE5584" w:rsidRDefault="00EE5584" w:rsidP="00EE5584">
      <w:pPr>
        <w:spacing w:after="0" w:line="240" w:lineRule="auto"/>
      </w:pPr>
      <w:r>
        <w:continuationSeparator/>
      </w:r>
    </w:p>
  </w:footnote>
  <w:footnote w:id="1">
    <w:p w:rsidR="00EE5584" w:rsidRPr="00C526AC" w:rsidRDefault="00EE5584" w:rsidP="00EE5584">
      <w:pPr>
        <w:pStyle w:val="FootnoteText"/>
        <w:rPr>
          <w:rFonts w:ascii="Times New Roman" w:hAnsi="Times New Roman" w:cs="Times New Roman"/>
          <w:lang w:val="en-GB"/>
        </w:rPr>
      </w:pPr>
      <w:r w:rsidRPr="00B82E53">
        <w:rPr>
          <w:rStyle w:val="FootnoteReference"/>
          <w:rFonts w:ascii="Times New Roman" w:hAnsi="Times New Roman" w:cs="Times New Roman"/>
        </w:rPr>
        <w:footnoteRef/>
      </w:r>
      <w:r w:rsidRPr="00B82E53">
        <w:rPr>
          <w:rFonts w:ascii="Times New Roman" w:hAnsi="Times New Roman" w:cs="Times New Roman"/>
        </w:rPr>
        <w:t xml:space="preserve"> </w:t>
      </w:r>
      <w:r w:rsidRPr="00C526AC">
        <w:rPr>
          <w:rFonts w:ascii="Times New Roman" w:hAnsi="Times New Roman" w:cs="Times New Roman"/>
        </w:rPr>
        <w:t xml:space="preserve">For more information, see </w:t>
      </w:r>
      <w:r w:rsidRPr="00C526AC">
        <w:rPr>
          <w:rFonts w:ascii="Times New Roman" w:eastAsia="Times New Roman" w:hAnsi="Times New Roman" w:cs="Times New Roman"/>
        </w:rPr>
        <w:t>ESCR-Net and FIDH Treaty Initiative:</w:t>
      </w:r>
      <w:r w:rsidRPr="00C526AC">
        <w:rPr>
          <w:rFonts w:ascii="Times New Roman" w:hAnsi="Times New Roman" w:cs="Times New Roman"/>
        </w:rPr>
        <w:t xml:space="preserve"> </w:t>
      </w:r>
      <w:hyperlink r:id="rId1">
        <w:r w:rsidRPr="00C526AC">
          <w:rPr>
            <w:rStyle w:val="InternetLink"/>
            <w:rFonts w:ascii="Times New Roman" w:hAnsi="Times New Roman" w:cs="Times New Roman"/>
          </w:rPr>
          <w:t>https://www.escr-net.org/corporate-accountability/treaty-initiative/materials</w:t>
        </w:r>
      </w:hyperlink>
      <w:r w:rsidRPr="00C526AC">
        <w:rPr>
          <w:rFonts w:ascii="Times New Roman" w:hAnsi="Times New Roman" w:cs="Times New Roman"/>
        </w:rPr>
        <w:t xml:space="preserve">.  </w:t>
      </w:r>
    </w:p>
  </w:footnote>
  <w:footnote w:id="2">
    <w:p w:rsidR="00EE5584" w:rsidRPr="00B82E53" w:rsidRDefault="00EE5584" w:rsidP="00EE5584">
      <w:pPr>
        <w:spacing w:after="0" w:line="240" w:lineRule="auto"/>
        <w:rPr>
          <w:rFonts w:ascii="Times New Roman" w:hAnsi="Times New Roman" w:cs="Times New Roman"/>
          <w:sz w:val="20"/>
          <w:szCs w:val="20"/>
        </w:rPr>
      </w:pPr>
      <w:r w:rsidRPr="00B82E53">
        <w:rPr>
          <w:rStyle w:val="FootnoteReference"/>
          <w:rFonts w:ascii="Times New Roman" w:hAnsi="Times New Roman" w:cs="Times New Roman"/>
          <w:sz w:val="20"/>
          <w:szCs w:val="20"/>
        </w:rPr>
        <w:footnoteRef/>
      </w:r>
      <w:r w:rsidRPr="00C526AC">
        <w:rPr>
          <w:rFonts w:ascii="Times New Roman" w:hAnsi="Times New Roman" w:cs="Times New Roman"/>
          <w:sz w:val="20"/>
          <w:szCs w:val="20"/>
        </w:rPr>
        <w:t xml:space="preserve"> Access </w:t>
      </w:r>
      <w:r w:rsidRPr="00C526AC">
        <w:rPr>
          <w:rFonts w:ascii="Times New Roman" w:eastAsia="Times New Roman" w:hAnsi="Times New Roman" w:cs="Times New Roman"/>
          <w:sz w:val="20"/>
          <w:szCs w:val="20"/>
        </w:rPr>
        <w:t xml:space="preserve">collective regional CSO statements from Asia-Pacific, Africa and Latin America Treaty Initiative consultations at: </w:t>
      </w:r>
      <w:hyperlink r:id="rId2">
        <w:r w:rsidRPr="00C526AC">
          <w:rPr>
            <w:rStyle w:val="InternetLink"/>
            <w:rFonts w:ascii="Times New Roman" w:eastAsia="Times New Roman" w:hAnsi="Times New Roman" w:cs="Times New Roman"/>
            <w:sz w:val="20"/>
            <w:szCs w:val="20"/>
          </w:rPr>
          <w:t>https://www.escr-net.org/corporateaccountability/treatyinitiative</w:t>
        </w:r>
      </w:hyperlink>
      <w:r w:rsidRPr="00C526AC">
        <w:rPr>
          <w:rFonts w:ascii="Times New Roman" w:eastAsia="Times New Roman" w:hAnsi="Times New Roman" w:cs="Times New Roman"/>
          <w:sz w:val="20"/>
          <w:szCs w:val="20"/>
        </w:rPr>
        <w:t>.</w:t>
      </w:r>
    </w:p>
  </w:footnote>
  <w:footnote w:id="3">
    <w:p w:rsidR="00EE5584" w:rsidRPr="00B82E53" w:rsidRDefault="00EE5584" w:rsidP="00EE5584">
      <w:pPr>
        <w:pStyle w:val="FootnoteText"/>
        <w:rPr>
          <w:rFonts w:ascii="Times New Roman" w:hAnsi="Times New Roman" w:cs="Times New Roman"/>
          <w:lang w:val="en-GB"/>
        </w:rPr>
      </w:pPr>
      <w:r w:rsidRPr="00B82E53">
        <w:rPr>
          <w:rStyle w:val="FootnoteReference"/>
          <w:rFonts w:ascii="Times New Roman" w:hAnsi="Times New Roman" w:cs="Times New Roman"/>
        </w:rPr>
        <w:footnoteRef/>
      </w:r>
      <w:r w:rsidRPr="00B82E53">
        <w:rPr>
          <w:rFonts w:ascii="Times New Roman" w:hAnsi="Times New Roman" w:cs="Times New Roman"/>
        </w:rPr>
        <w:t xml:space="preserve"> For more information about the Maastricht Principles, see http://www.etoconsortium.org/en/main-navigation/library/maastricht-principles/.</w:t>
      </w:r>
    </w:p>
  </w:footnote>
  <w:footnote w:id="4">
    <w:p w:rsidR="00EE5584" w:rsidRPr="00596935" w:rsidRDefault="00EE5584" w:rsidP="00EE5584">
      <w:pPr>
        <w:pStyle w:val="FootnoteText"/>
        <w:rPr>
          <w:rFonts w:ascii="Times New Roman" w:hAnsi="Times New Roman" w:cs="Times New Roman"/>
        </w:rPr>
      </w:pPr>
      <w:r w:rsidRPr="00596935">
        <w:rPr>
          <w:rStyle w:val="FootnoteReference"/>
          <w:rFonts w:ascii="Times New Roman" w:hAnsi="Times New Roman" w:cs="Times New Roman"/>
        </w:rPr>
        <w:footnoteRef/>
      </w:r>
      <w:r w:rsidRPr="00596935">
        <w:rPr>
          <w:rFonts w:ascii="Times New Roman" w:hAnsi="Times New Roman" w:cs="Times New Roman"/>
        </w:rPr>
        <w:t xml:space="preserve"> Reference to ‘home </w:t>
      </w:r>
      <w:r w:rsidRPr="00C526AC">
        <w:rPr>
          <w:rFonts w:ascii="Times New Roman" w:hAnsi="Times New Roman" w:cs="Times New Roman"/>
        </w:rPr>
        <w:t>S</w:t>
      </w:r>
      <w:r w:rsidRPr="00B82E53">
        <w:rPr>
          <w:rFonts w:ascii="Times New Roman" w:hAnsi="Times New Roman" w:cs="Times New Roman"/>
        </w:rPr>
        <w:t>tate’ in this document is in accordance with Principle 25(c) of the Maastricht Principles, “</w:t>
      </w:r>
      <w:r w:rsidRPr="00C526AC">
        <w:rPr>
          <w:rFonts w:ascii="Times New Roman" w:hAnsi="Times New Roman" w:cs="Times New Roman"/>
        </w:rPr>
        <w:t>…</w:t>
      </w:r>
      <w:r w:rsidRPr="00596935">
        <w:rPr>
          <w:rFonts w:ascii="Times New Roman" w:hAnsi="Times New Roman" w:cs="Times New Roman"/>
        </w:rPr>
        <w:t xml:space="preserve">where the corporation, or its parent or controlling company, has its centre of activity, is registered or domiciled, or has its main place of business or substantial business activities”. </w:t>
      </w:r>
    </w:p>
  </w:footnote>
  <w:footnote w:id="5">
    <w:p w:rsidR="00EE5584" w:rsidRPr="00596935" w:rsidRDefault="00EE5584" w:rsidP="00EE5584">
      <w:pPr>
        <w:pStyle w:val="FootnoteText"/>
        <w:rPr>
          <w:rFonts w:ascii="Times New Roman" w:hAnsi="Times New Roman" w:cs="Times New Roman"/>
          <w:lang w:val="en-GB"/>
        </w:rPr>
      </w:pPr>
      <w:r w:rsidRPr="00596935">
        <w:rPr>
          <w:rStyle w:val="FootnoteReference"/>
          <w:rFonts w:ascii="Times New Roman" w:hAnsi="Times New Roman" w:cs="Times New Roman"/>
        </w:rPr>
        <w:footnoteRef/>
      </w:r>
      <w:r w:rsidRPr="00596935">
        <w:rPr>
          <w:rFonts w:ascii="Times New Roman" w:hAnsi="Times New Roman" w:cs="Times New Roman"/>
        </w:rPr>
        <w:t xml:space="preserve"> For more information about the circumstances in which a State is in a position to regulate a TNC, s</w:t>
      </w:r>
      <w:proofErr w:type="spellStart"/>
      <w:r w:rsidRPr="00596935">
        <w:rPr>
          <w:rFonts w:ascii="Times New Roman" w:hAnsi="Times New Roman" w:cs="Times New Roman"/>
          <w:lang w:val="en-GB"/>
        </w:rPr>
        <w:t>ee</w:t>
      </w:r>
      <w:proofErr w:type="spellEnd"/>
      <w:r w:rsidRPr="00596935">
        <w:rPr>
          <w:rFonts w:ascii="Times New Roman" w:hAnsi="Times New Roman" w:cs="Times New Roman"/>
          <w:lang w:val="en-GB"/>
        </w:rPr>
        <w:t xml:space="preserve"> the bases for protection outlined in Principle 25 of the Maastricht Principles.</w:t>
      </w:r>
      <w:r w:rsidRPr="00C526AC">
        <w:rPr>
          <w:rFonts w:ascii="Times New Roman" w:hAnsi="Times New Roman" w:cs="Times New Roman"/>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761B"/>
    <w:multiLevelType w:val="multilevel"/>
    <w:tmpl w:val="5CF6C826"/>
    <w:lvl w:ilvl="0">
      <w:start w:val="2"/>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 w15:restartNumberingAfterBreak="0">
    <w:nsid w:val="149709C2"/>
    <w:multiLevelType w:val="hybridMultilevel"/>
    <w:tmpl w:val="B900D59A"/>
    <w:lvl w:ilvl="0" w:tplc="04090017">
      <w:start w:val="1"/>
      <w:numFmt w:val="lowerLetter"/>
      <w:lvlText w:val="%1)"/>
      <w:lvlJc w:val="left"/>
      <w:pPr>
        <w:ind w:left="5580" w:hanging="360"/>
      </w:pPr>
      <w:rPr>
        <w:rFonts w:hint="default"/>
      </w:rPr>
    </w:lvl>
    <w:lvl w:ilvl="1" w:tplc="04090019">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2" w15:restartNumberingAfterBreak="0">
    <w:nsid w:val="2CF31D83"/>
    <w:multiLevelType w:val="multilevel"/>
    <w:tmpl w:val="AC38730E"/>
    <w:lvl w:ilvl="0">
      <w:start w:val="1"/>
      <w:numFmt w:val="decimal"/>
      <w:lvlText w:val="%1."/>
      <w:lvlJc w:val="left"/>
      <w:pPr>
        <w:ind w:left="720" w:hanging="360"/>
      </w:p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9E1352"/>
    <w:multiLevelType w:val="hybridMultilevel"/>
    <w:tmpl w:val="2028E892"/>
    <w:lvl w:ilvl="0" w:tplc="C9D47602">
      <w:start w:val="1"/>
      <w:numFmt w:val="lowerLetter"/>
      <w:lvlText w:val="%1)"/>
      <w:lvlJc w:val="left"/>
      <w:pPr>
        <w:ind w:left="1080" w:hanging="360"/>
      </w:pPr>
      <w:rPr>
        <w:rFonts w:ascii="Times New Roman" w:eastAsiaTheme="minorHAnsi" w:hAnsi="Times New Roman" w:cs="Times New Roman"/>
        <w:b/>
        <w:i w:val="0"/>
      </w:rPr>
    </w:lvl>
    <w:lvl w:ilvl="1" w:tplc="A66C14B4">
      <w:start w:val="1"/>
      <w:numFmt w:val="lowerRoman"/>
      <w:lvlText w:val="%2."/>
      <w:lvlJc w:val="left"/>
      <w:pPr>
        <w:ind w:left="1800" w:hanging="360"/>
      </w:pPr>
      <w:rPr>
        <w:rFonts w:ascii="Times New Roman" w:eastAsiaTheme="minorHAnsi" w:hAnsi="Times New Roman" w:cs="Times New Roman"/>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7">
      <w:start w:val="1"/>
      <w:numFmt w:val="lowerLetter"/>
      <w:lvlText w:val="%6)"/>
      <w:lvlJc w:val="left"/>
      <w:pPr>
        <w:ind w:left="54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774117A"/>
    <w:multiLevelType w:val="hybridMultilevel"/>
    <w:tmpl w:val="5A76B84E"/>
    <w:lvl w:ilvl="0" w:tplc="04090017">
      <w:start w:val="1"/>
      <w:numFmt w:val="lowerLetter"/>
      <w:lvlText w:val="%1)"/>
      <w:lvlJc w:val="left"/>
      <w:pPr>
        <w:ind w:left="5580" w:hanging="360"/>
      </w:pPr>
      <w:rPr>
        <w:rFonts w:hint="default"/>
        <w:i w:val="0"/>
      </w:rPr>
    </w:lvl>
    <w:lvl w:ilvl="1" w:tplc="C1C41132">
      <w:start w:val="1"/>
      <w:numFmt w:val="lowerRoman"/>
      <w:lvlText w:val="%2."/>
      <w:lvlJc w:val="right"/>
      <w:pPr>
        <w:ind w:left="6300" w:hanging="360"/>
      </w:pPr>
      <w:rPr>
        <w:rFonts w:ascii="Times New Roman" w:hAnsi="Times New Roman" w:cs="Times New Roman" w:hint="default"/>
        <w:b/>
        <w:i w:val="0"/>
      </w:r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5" w15:restartNumberingAfterBreak="0">
    <w:nsid w:val="724B6A9B"/>
    <w:multiLevelType w:val="multilevel"/>
    <w:tmpl w:val="38243E0E"/>
    <w:lvl w:ilvl="0">
      <w:start w:val="2"/>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584"/>
    <w:rsid w:val="000B311B"/>
    <w:rsid w:val="008A1F04"/>
    <w:rsid w:val="00B9505A"/>
    <w:rsid w:val="00C058A7"/>
    <w:rsid w:val="00EE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EB4C"/>
  <w15:chartTrackingRefBased/>
  <w15:docId w15:val="{D711EF43-74B0-43CA-BC7A-7A743C67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E5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584"/>
    <w:rPr>
      <w:color w:val="0563C1" w:themeColor="hyperlink"/>
      <w:u w:val="single"/>
    </w:rPr>
  </w:style>
  <w:style w:type="paragraph" w:styleId="FootnoteText">
    <w:name w:val="footnote text"/>
    <w:aliases w:val="5_G,Footnote Text Char Char,Footnote Text Char Char Char Char Char,Footnote Text Char Char Char,Footnote Text Char Char Char Char Cha Char,Footnote Text Char1,Footnote Text Char1 Char Char,FOOTNOTES,fn,Car,single space,f"/>
    <w:basedOn w:val="Normal"/>
    <w:link w:val="FootnoteTextChar"/>
    <w:unhideWhenUsed/>
    <w:qFormat/>
    <w:rsid w:val="00EE5584"/>
    <w:pPr>
      <w:spacing w:after="0" w:line="240" w:lineRule="auto"/>
    </w:pPr>
    <w:rPr>
      <w:sz w:val="20"/>
      <w:szCs w:val="20"/>
    </w:rPr>
  </w:style>
  <w:style w:type="character" w:customStyle="1" w:styleId="FootnoteTextChar">
    <w:name w:val="Footnote Text Char"/>
    <w:aliases w:val="5_G Char,Footnote Text Char Char Char1,Footnote Text Char Char Char Char Char Char,Footnote Text Char Char Char Char,Footnote Text Char Char Char Char Cha Char Char,Footnote Text Char1 Char,Footnote Text Char1 Char Char Char,fn Char"/>
    <w:basedOn w:val="DefaultParagraphFont"/>
    <w:link w:val="FootnoteText"/>
    <w:rsid w:val="00EE5584"/>
    <w:rPr>
      <w:sz w:val="20"/>
      <w:szCs w:val="20"/>
    </w:rPr>
  </w:style>
  <w:style w:type="character" w:styleId="FootnoteReference">
    <w:name w:val="footnote reference"/>
    <w:aliases w:val="Footnote symbol Car Zchn Zchn Char,Footnote Car Zchn Zchn Char,Times 10 Point Car Zchn Zchn Char,Exposant 3 Point Car Zchn Zchn Char,Footnote Reference Superscript Car Zchn Zchn Char, Char Char Char Char Char Car Zchn Zchn Char,4_G Ch"/>
    <w:basedOn w:val="DefaultParagraphFont"/>
    <w:link w:val="FootnotesymbolCarZchnZchn"/>
    <w:uiPriority w:val="99"/>
    <w:unhideWhenUsed/>
    <w:qFormat/>
    <w:rsid w:val="00EE5584"/>
    <w:rPr>
      <w:vertAlign w:val="superscript"/>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4_G,ftref,Ref"/>
    <w:basedOn w:val="Normal"/>
    <w:link w:val="FootnoteReference"/>
    <w:uiPriority w:val="99"/>
    <w:qFormat/>
    <w:rsid w:val="00EE5584"/>
    <w:pPr>
      <w:suppressAutoHyphens/>
      <w:spacing w:line="240" w:lineRule="exact"/>
      <w:jc w:val="both"/>
    </w:pPr>
    <w:rPr>
      <w:vertAlign w:val="superscript"/>
    </w:rPr>
  </w:style>
  <w:style w:type="character" w:customStyle="1" w:styleId="InternetLink">
    <w:name w:val="Internet Link"/>
    <w:basedOn w:val="DefaultParagraphFont"/>
    <w:uiPriority w:val="99"/>
    <w:unhideWhenUsed/>
    <w:rsid w:val="00EE5584"/>
    <w:rPr>
      <w:color w:val="0563C1" w:themeColor="hyperlink"/>
      <w:u w:val="single"/>
    </w:rPr>
  </w:style>
  <w:style w:type="paragraph" w:styleId="ListParagraph">
    <w:name w:val="List Paragraph"/>
    <w:basedOn w:val="Normal"/>
    <w:uiPriority w:val="34"/>
    <w:qFormat/>
    <w:rsid w:val="00EE5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cr-net.org/corporateaccountability/treatyinitiativ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www.forum-asia.org/wp" TargetMode="External"/><Relationship Id="rId4" Type="http://schemas.openxmlformats.org/officeDocument/2006/relationships/webSettings" Target="webSettings.xml"/><Relationship Id="rId9" Type="http://schemas.openxmlformats.org/officeDocument/2006/relationships/hyperlink" Target="http://www.treatymovement.com/"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escr-net.org/corporateaccountability/treatyinitiative" TargetMode="External"/><Relationship Id="rId1" Type="http://schemas.openxmlformats.org/officeDocument/2006/relationships/hyperlink" Target="https://www.escr-net.org/corporate-accountability/treaty-initiative/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42FBC-63A4-420B-9C73-E83FBF56B238}"/>
</file>

<file path=customXml/itemProps2.xml><?xml version="1.0" encoding="utf-8"?>
<ds:datastoreItem xmlns:ds="http://schemas.openxmlformats.org/officeDocument/2006/customXml" ds:itemID="{48942779-614B-497F-A4E0-B8B1EC2D26A3}"/>
</file>

<file path=customXml/itemProps3.xml><?xml version="1.0" encoding="utf-8"?>
<ds:datastoreItem xmlns:ds="http://schemas.openxmlformats.org/officeDocument/2006/customXml" ds:itemID="{86C8F2BF-2DBF-41D2-BA03-1840E2429271}"/>
</file>

<file path=docProps/app.xml><?xml version="1.0" encoding="utf-8"?>
<Properties xmlns="http://schemas.openxmlformats.org/officeDocument/2006/extended-properties" xmlns:vt="http://schemas.openxmlformats.org/officeDocument/2006/docPropsVTypes">
  <Template>Normal.dotm</Template>
  <TotalTime>11</TotalTime>
  <Pages>8</Pages>
  <Words>2657</Words>
  <Characters>16155</Characters>
  <Application>Microsoft Office Word</Application>
  <DocSecurity>0</DocSecurity>
  <Lines>310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ESCR-Net.</dc:creator>
  <cp:keywords/>
  <dc:description/>
  <cp:lastModifiedBy>ESCR-Net.</cp:lastModifiedBy>
  <cp:revision>3</cp:revision>
  <dcterms:created xsi:type="dcterms:W3CDTF">2016-10-04T23:06:00Z</dcterms:created>
  <dcterms:modified xsi:type="dcterms:W3CDTF">2016-10-05T00:02:00Z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3789500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