
<file path=[Content_Types].xml><?xml version="1.0" encoding="utf-8"?>
<Types xmlns="http://schemas.openxmlformats.org/package/2006/content-types">
  <Override PartName="/word/footnotes.xml" ContentType="application/vnd.openxmlformats-officedocument.wordprocessingml.footnotes+xml"/>
  <Override PartName="/customXml/itemProps2.xml" ContentType="application/vnd.openxmlformats-officedocument.customXmlProperties+xml"/>
  <Override PartName="/customXml/itemProps3.xml" ContentType="application/vnd.openxmlformats-officedocument.customXmlProperti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Default Extension="jpg" ContentType="image/jpeg"/>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A1F04" w:rsidRDefault="008A1F04"/>
    <w:p w:rsidR="00DB32DB" w:rsidRDefault="00DB32DB" w:rsidP="00DB32DB">
      <w:pPr>
        <w:spacing w:after="0"/>
        <w:jc w:val="center"/>
      </w:pPr>
      <w:r w:rsidRPr="007D49F3">
        <w:rPr>
          <w:noProof/>
        </w:rPr>
        <w:drawing>
          <wp:inline distT="0" distB="0" distL="0" distR="0" wp14:anchorId="403C5987" wp14:editId="6643745F">
            <wp:extent cx="4499321" cy="999369"/>
            <wp:effectExtent l="0" t="0" r="0" b="0"/>
            <wp:docPr id="3" name="image01.jpg"/>
            <wp:cNvGraphicFramePr/>
            <a:graphic xmlns:a="http://schemas.openxmlformats.org/drawingml/2006/main">
              <a:graphicData uri="http://schemas.openxmlformats.org/drawingml/2006/picture">
                <pic:pic xmlns:pic="http://schemas.openxmlformats.org/drawingml/2006/picture">
                  <pic:nvPicPr>
                    <pic:cNvPr id="0" name="image01.jpg"/>
                    <pic:cNvPicPr preferRelativeResize="0"/>
                  </pic:nvPicPr>
                  <pic:blipFill>
                    <a:blip r:embed="rId7"/>
                    <a:srcRect/>
                    <a:stretch>
                      <a:fillRect/>
                    </a:stretch>
                  </pic:blipFill>
                  <pic:spPr>
                    <a:xfrm>
                      <a:off x="0" y="0"/>
                      <a:ext cx="4499321" cy="999369"/>
                    </a:xfrm>
                    <a:prstGeom prst="rect">
                      <a:avLst/>
                    </a:prstGeom>
                    <a:ln/>
                  </pic:spPr>
                </pic:pic>
              </a:graphicData>
            </a:graphic>
          </wp:inline>
        </w:drawing>
      </w:r>
    </w:p>
    <w:p w:rsidR="00DB32DB" w:rsidRDefault="00DB32DB" w:rsidP="00DB32DB">
      <w:pPr>
        <w:spacing w:after="0"/>
        <w:jc w:val="center"/>
        <w:rPr>
          <w:rFonts w:ascii="Times New Roman" w:eastAsia="Times New Roman" w:hAnsi="Times New Roman" w:cs="Times New Roman"/>
        </w:rPr>
      </w:pPr>
    </w:p>
    <w:p w:rsidR="00DB32DB" w:rsidRPr="00AF27BF" w:rsidRDefault="00DB32DB" w:rsidP="00DB32DB">
      <w:pPr>
        <w:spacing w:after="0"/>
        <w:jc w:val="center"/>
        <w:rPr>
          <w:rFonts w:ascii="Times New Roman" w:eastAsia="Times New Roman" w:hAnsi="Times New Roman" w:cs="Times New Roman"/>
        </w:rPr>
      </w:pPr>
    </w:p>
    <w:p w:rsidR="00DB32DB" w:rsidRPr="00B82E53" w:rsidRDefault="00DB32DB" w:rsidP="00DB32DB">
      <w:pPr>
        <w:spacing w:after="0"/>
        <w:jc w:val="center"/>
        <w:rPr>
          <w:rFonts w:ascii="Times New Roman" w:eastAsia="Times New Roman" w:hAnsi="Times New Roman" w:cs="Times New Roman"/>
          <w:b/>
        </w:rPr>
      </w:pPr>
      <w:r w:rsidRPr="00B82E53">
        <w:rPr>
          <w:rFonts w:ascii="Times New Roman" w:eastAsia="Times New Roman" w:hAnsi="Times New Roman" w:cs="Times New Roman"/>
          <w:b/>
        </w:rPr>
        <w:t>Corporate Accountability Working Group (CAWG) of the International Network for Economic, Social and Cultural Rights (ESCR-Net)</w:t>
      </w:r>
    </w:p>
    <w:p w:rsidR="00DB32DB" w:rsidRDefault="00DB32DB" w:rsidP="00DB32DB">
      <w:pPr>
        <w:spacing w:after="0"/>
        <w:jc w:val="center"/>
        <w:rPr>
          <w:rFonts w:ascii="Times New Roman" w:eastAsia="Times New Roman" w:hAnsi="Times New Roman" w:cs="Times New Roman"/>
          <w:b/>
          <w:i/>
        </w:rPr>
      </w:pPr>
    </w:p>
    <w:p w:rsidR="00DB32DB" w:rsidRDefault="00DB32DB" w:rsidP="00DB32DB">
      <w:pPr>
        <w:spacing w:after="0"/>
        <w:jc w:val="center"/>
        <w:rPr>
          <w:rFonts w:ascii="Times New Roman" w:eastAsia="Times New Roman" w:hAnsi="Times New Roman" w:cs="Times New Roman"/>
          <w:b/>
          <w:sz w:val="32"/>
          <w:szCs w:val="32"/>
        </w:rPr>
      </w:pPr>
      <w:r w:rsidRPr="00B82E53">
        <w:rPr>
          <w:rFonts w:ascii="Times New Roman" w:eastAsia="Times New Roman" w:hAnsi="Times New Roman" w:cs="Times New Roman"/>
          <w:b/>
          <w:sz w:val="32"/>
          <w:szCs w:val="32"/>
        </w:rPr>
        <w:t xml:space="preserve">Submission to the United Nations’ Open-ended Intergovernmental Working Group on Transnational Corporations and Other Business Enterprises with Respect to Human Rights (IGWG) </w:t>
      </w:r>
    </w:p>
    <w:p w:rsidR="00DB32DB" w:rsidRDefault="00DB32DB" w:rsidP="00DB32DB">
      <w:pPr>
        <w:spacing w:after="0"/>
        <w:jc w:val="center"/>
        <w:rPr>
          <w:rFonts w:ascii="Times New Roman" w:eastAsia="Times New Roman" w:hAnsi="Times New Roman" w:cs="Times New Roman"/>
          <w:b/>
        </w:rPr>
      </w:pPr>
    </w:p>
    <w:p w:rsidR="00DB32DB" w:rsidRPr="00B82E53" w:rsidRDefault="00DB32DB" w:rsidP="00DB32DB">
      <w:pPr>
        <w:spacing w:after="0"/>
        <w:jc w:val="center"/>
        <w:rPr>
          <w:rFonts w:ascii="Times New Roman" w:eastAsia="Times New Roman" w:hAnsi="Times New Roman" w:cs="Times New Roman"/>
          <w:b/>
        </w:rPr>
      </w:pPr>
      <w:r>
        <w:rPr>
          <w:rFonts w:ascii="Times New Roman" w:eastAsia="Times New Roman" w:hAnsi="Times New Roman" w:cs="Times New Roman"/>
          <w:b/>
        </w:rPr>
        <w:t>S</w:t>
      </w:r>
      <w:r w:rsidRPr="00B82E53">
        <w:rPr>
          <w:rFonts w:ascii="Times New Roman" w:eastAsia="Times New Roman" w:hAnsi="Times New Roman" w:cs="Times New Roman"/>
          <w:b/>
        </w:rPr>
        <w:t>econd meeting of the IGWG at the Human Rights Council, October 24-28, 2016</w:t>
      </w:r>
    </w:p>
    <w:p w:rsidR="00DB32DB" w:rsidRDefault="00DB32DB" w:rsidP="00DB32DB">
      <w:pPr>
        <w:spacing w:after="0"/>
        <w:rPr>
          <w:rFonts w:ascii="Times New Roman" w:eastAsia="Times New Roman" w:hAnsi="Times New Roman" w:cs="Times New Roman"/>
          <w:b/>
          <w:i/>
        </w:rPr>
      </w:pPr>
    </w:p>
    <w:p w:rsidR="00DB32DB" w:rsidRPr="00AF27BF" w:rsidRDefault="00DB32DB" w:rsidP="00DB32DB">
      <w:pPr>
        <w:spacing w:after="0"/>
        <w:rPr>
          <w:rFonts w:ascii="Times New Roman" w:eastAsia="Times New Roman" w:hAnsi="Times New Roman" w:cs="Times New Roman"/>
        </w:rPr>
      </w:pPr>
      <w:r w:rsidRPr="00AF27BF">
        <w:rPr>
          <w:rFonts w:ascii="Times New Roman" w:eastAsia="Times New Roman" w:hAnsi="Times New Roman" w:cs="Times New Roman"/>
        </w:rPr>
        <w:t>We,</w:t>
      </w:r>
      <w:r w:rsidRPr="00AF27BF">
        <w:rPr>
          <w:rFonts w:ascii="Times New Roman" w:eastAsia="Times New Roman" w:hAnsi="Times New Roman" w:cs="Times New Roman"/>
          <w:i/>
        </w:rPr>
        <w:t xml:space="preserve"> </w:t>
      </w:r>
      <w:r w:rsidRPr="00AF27BF">
        <w:rPr>
          <w:rFonts w:ascii="Times New Roman" w:eastAsia="Times New Roman" w:hAnsi="Times New Roman" w:cs="Times New Roman"/>
        </w:rPr>
        <w:t xml:space="preserve">the undersigned members of the Corporate Accountability Working Group (CAWG) of the International Network for Economic, Social and Cultural Rights (ESCR-Net), jointly call upon the United Nations’ </w:t>
      </w:r>
      <w:r w:rsidRPr="00AF27BF">
        <w:rPr>
          <w:rFonts w:ascii="Times New Roman" w:eastAsia="Times New Roman" w:hAnsi="Times New Roman" w:cs="Times New Roman"/>
          <w:i/>
        </w:rPr>
        <w:t>Open-ended Intergovernmental Working Group on Transnational Corporations and Other Business Enterprises with Respect to Human Rights</w:t>
      </w:r>
      <w:r w:rsidRPr="00AF27BF">
        <w:rPr>
          <w:rFonts w:ascii="Times New Roman" w:eastAsia="Times New Roman" w:hAnsi="Times New Roman" w:cs="Times New Roman"/>
        </w:rPr>
        <w:t xml:space="preserve"> (IGWG) to include the elements outlined in this statement within any draft materials the IGWG develops to outline the content of the forthcoming binding international instrument (Treaty). We also reaffirm our continuing commitment to support the important activities of the IGWG in the process towards developing and seeking adoption for the Treaty.  </w:t>
      </w:r>
    </w:p>
    <w:p w:rsidR="00DB32DB" w:rsidRPr="00AF27BF" w:rsidRDefault="00DB32DB" w:rsidP="00DB32DB">
      <w:pPr>
        <w:spacing w:after="0"/>
        <w:rPr>
          <w:rFonts w:ascii="Times New Roman" w:eastAsia="Times New Roman" w:hAnsi="Times New Roman" w:cs="Times New Roman"/>
        </w:rPr>
      </w:pPr>
    </w:p>
    <w:p w:rsidR="00DB32DB" w:rsidRDefault="00DB32DB" w:rsidP="00DB32DB">
      <w:pPr>
        <w:spacing w:after="0"/>
        <w:rPr>
          <w:rFonts w:ascii="Times New Roman" w:eastAsia="Times New Roman" w:hAnsi="Times New Roman" w:cs="Times New Roman"/>
        </w:rPr>
      </w:pPr>
      <w:r w:rsidRPr="00AF27BF">
        <w:rPr>
          <w:rFonts w:ascii="Times New Roman" w:eastAsia="Times New Roman" w:hAnsi="Times New Roman" w:cs="Times New Roman"/>
        </w:rPr>
        <w:t xml:space="preserve">Over the course of the past two years CAWG has led a </w:t>
      </w:r>
      <w:hyperlink r:id="rId8">
        <w:r>
          <w:rPr>
            <w:rStyle w:val="InternetLink"/>
            <w:rFonts w:ascii="Times New Roman" w:eastAsia="Times New Roman" w:hAnsi="Times New Roman" w:cs="Times New Roman"/>
          </w:rPr>
          <w:t>worldwide consultation</w:t>
        </w:r>
      </w:hyperlink>
      <w:r>
        <w:rPr>
          <w:rFonts w:ascii="Times New Roman" w:eastAsia="Times New Roman" w:hAnsi="Times New Roman" w:cs="Times New Roman"/>
        </w:rPr>
        <w:t xml:space="preserve"> with over 150 civil society </w:t>
      </w:r>
      <w:r w:rsidRPr="00AF27BF">
        <w:rPr>
          <w:rFonts w:ascii="Times New Roman" w:eastAsia="Times New Roman" w:hAnsi="Times New Roman" w:cs="Times New Roman"/>
        </w:rPr>
        <w:t>organisations (CSOs), including in-person consultations with our members and partners in Asia-Pacific, Africa and Latin America, and online consultations with civil society organisations (CSOs) from all regions.</w:t>
      </w:r>
      <w:r w:rsidRPr="00AF27BF">
        <w:rPr>
          <w:rStyle w:val="FootnoteReference"/>
          <w:rFonts w:ascii="Times New Roman" w:eastAsia="Times New Roman" w:hAnsi="Times New Roman" w:cs="Times New Roman"/>
        </w:rPr>
        <w:footnoteReference w:id="1"/>
      </w:r>
      <w:r w:rsidRPr="00AF27BF">
        <w:rPr>
          <w:rFonts w:ascii="Times New Roman" w:eastAsia="Times New Roman" w:hAnsi="Times New Roman" w:cs="Times New Roman"/>
        </w:rPr>
        <w:t xml:space="preserve"> This s</w:t>
      </w:r>
      <w:r>
        <w:rPr>
          <w:rFonts w:ascii="Times New Roman" w:eastAsia="Times New Roman" w:hAnsi="Times New Roman" w:cs="Times New Roman"/>
        </w:rPr>
        <w:t>ubmission</w:t>
      </w:r>
      <w:r w:rsidRPr="00AF27BF">
        <w:rPr>
          <w:rFonts w:ascii="Times New Roman" w:eastAsia="Times New Roman" w:hAnsi="Times New Roman" w:cs="Times New Roman"/>
        </w:rPr>
        <w:t xml:space="preserve"> is a reflection of the priorities that emerged out of these consultations.</w:t>
      </w:r>
      <w:r w:rsidRPr="00AF27BF">
        <w:rPr>
          <w:rStyle w:val="FootnoteReference"/>
          <w:rFonts w:ascii="Times New Roman" w:eastAsia="Times New Roman" w:hAnsi="Times New Roman" w:cs="Times New Roman"/>
        </w:rPr>
        <w:footnoteReference w:id="2"/>
      </w:r>
      <w:r w:rsidRPr="00AF27BF">
        <w:rPr>
          <w:rFonts w:ascii="Times New Roman" w:eastAsia="Times New Roman" w:hAnsi="Times New Roman" w:cs="Times New Roman"/>
        </w:rPr>
        <w:t xml:space="preserve"> ESCR-Net is also actively engaged in the global </w:t>
      </w:r>
      <w:hyperlink r:id="rId9" w:history="1">
        <w:r w:rsidRPr="001128E9">
          <w:rPr>
            <w:rStyle w:val="Hyperlink"/>
            <w:rFonts w:ascii="Times New Roman" w:eastAsia="Times New Roman" w:hAnsi="Times New Roman" w:cs="Times New Roman"/>
          </w:rPr>
          <w:t>Treaty Alliance</w:t>
        </w:r>
      </w:hyperlink>
      <w:r w:rsidRPr="00AF27BF">
        <w:rPr>
          <w:rFonts w:ascii="Times New Roman" w:eastAsia="Times New Roman" w:hAnsi="Times New Roman" w:cs="Times New Roman"/>
        </w:rPr>
        <w:t xml:space="preserve">, and supports the collective Alliance statements. </w:t>
      </w:r>
    </w:p>
    <w:p w:rsidR="00DB32DB" w:rsidRDefault="00DB32DB" w:rsidP="00DB32DB">
      <w:pPr>
        <w:spacing w:after="0"/>
        <w:rPr>
          <w:rFonts w:ascii="Times New Roman" w:eastAsia="Times New Roman" w:hAnsi="Times New Roman" w:cs="Times New Roman"/>
        </w:rPr>
      </w:pPr>
    </w:p>
    <w:p w:rsidR="002075FB" w:rsidRDefault="002075FB" w:rsidP="002075FB">
      <w:pPr>
        <w:spacing w:after="0"/>
        <w:ind w:firstLine="540"/>
        <w:rPr>
          <w:rFonts w:ascii="Times New Roman" w:hAnsi="Times New Roman" w:cs="Times New Roman"/>
        </w:rPr>
      </w:pPr>
      <w:r>
        <w:rPr>
          <w:rFonts w:ascii="Times New Roman" w:hAnsi="Times New Roman" w:cs="Times New Roman"/>
        </w:rPr>
        <w:t xml:space="preserve">In our first submission of 2016 to the IGWG, we recommend the Treaty </w:t>
      </w:r>
      <w:r w:rsidRPr="00AF27BF">
        <w:rPr>
          <w:rFonts w:ascii="Times New Roman" w:hAnsi="Times New Roman" w:cs="Times New Roman"/>
        </w:rPr>
        <w:t xml:space="preserve">reflect the realities of current </w:t>
      </w:r>
      <w:r>
        <w:rPr>
          <w:rFonts w:ascii="Times New Roman" w:hAnsi="Times New Roman" w:cs="Times New Roman"/>
        </w:rPr>
        <w:t>TNC-OBE</w:t>
      </w:r>
      <w:r w:rsidRPr="00AF27BF">
        <w:rPr>
          <w:rFonts w:ascii="Times New Roman" w:hAnsi="Times New Roman" w:cs="Times New Roman"/>
        </w:rPr>
        <w:t xml:space="preserve"> operations and their impact</w:t>
      </w:r>
      <w:r>
        <w:rPr>
          <w:rFonts w:ascii="Times New Roman" w:hAnsi="Times New Roman" w:cs="Times New Roman"/>
        </w:rPr>
        <w:t xml:space="preserve"> globally</w:t>
      </w:r>
      <w:r w:rsidRPr="00AF27BF">
        <w:rPr>
          <w:rFonts w:ascii="Times New Roman" w:hAnsi="Times New Roman" w:cs="Times New Roman"/>
        </w:rPr>
        <w:t xml:space="preserve">, the Treaty should </w:t>
      </w:r>
      <w:r w:rsidRPr="00AF27BF">
        <w:rPr>
          <w:rFonts w:ascii="Times New Roman" w:hAnsi="Times New Roman" w:cs="Times New Roman"/>
          <w:b/>
        </w:rPr>
        <w:t>reaffirm the primacy of human rights</w:t>
      </w:r>
      <w:r>
        <w:rPr>
          <w:rFonts w:ascii="Times New Roman" w:hAnsi="Times New Roman" w:cs="Times New Roman"/>
          <w:b/>
        </w:rPr>
        <w:t xml:space="preserve"> obligations</w:t>
      </w:r>
      <w:r w:rsidRPr="00AF27BF">
        <w:rPr>
          <w:rFonts w:ascii="Times New Roman" w:hAnsi="Times New Roman" w:cs="Times New Roman"/>
          <w:b/>
        </w:rPr>
        <w:t xml:space="preserve"> </w:t>
      </w:r>
      <w:r w:rsidRPr="00AF27BF">
        <w:rPr>
          <w:rFonts w:ascii="Times New Roman" w:hAnsi="Times New Roman" w:cs="Times New Roman"/>
        </w:rPr>
        <w:t xml:space="preserve">(Section 2.1), </w:t>
      </w:r>
      <w:r w:rsidRPr="00B82E53">
        <w:rPr>
          <w:rFonts w:ascii="Times New Roman" w:hAnsi="Times New Roman" w:cs="Times New Roman"/>
          <w:b/>
        </w:rPr>
        <w:t>cover</w:t>
      </w:r>
      <w:r w:rsidRPr="00AF27BF">
        <w:rPr>
          <w:rFonts w:ascii="Times New Roman" w:hAnsi="Times New Roman" w:cs="Times New Roman"/>
        </w:rPr>
        <w:t xml:space="preserve"> </w:t>
      </w:r>
      <w:r w:rsidRPr="00AF27BF">
        <w:rPr>
          <w:rFonts w:ascii="Times New Roman" w:hAnsi="Times New Roman" w:cs="Times New Roman"/>
          <w:b/>
        </w:rPr>
        <w:t xml:space="preserve">all human rights </w:t>
      </w:r>
      <w:r w:rsidRPr="00AF27BF">
        <w:rPr>
          <w:rFonts w:ascii="Times New Roman" w:hAnsi="Times New Roman" w:cs="Times New Roman"/>
        </w:rPr>
        <w:t>(Section 2.2)</w:t>
      </w:r>
      <w:r w:rsidRPr="00AF27BF">
        <w:rPr>
          <w:rFonts w:ascii="Times New Roman" w:hAnsi="Times New Roman" w:cs="Times New Roman"/>
          <w:b/>
        </w:rPr>
        <w:t xml:space="preserve"> </w:t>
      </w:r>
      <w:r w:rsidRPr="00AF27BF">
        <w:rPr>
          <w:rFonts w:ascii="Times New Roman" w:hAnsi="Times New Roman" w:cs="Times New Roman"/>
        </w:rPr>
        <w:t xml:space="preserve">and be </w:t>
      </w:r>
      <w:r w:rsidRPr="00AF27BF">
        <w:rPr>
          <w:rFonts w:ascii="Times New Roman" w:hAnsi="Times New Roman" w:cs="Times New Roman"/>
          <w:b/>
        </w:rPr>
        <w:t xml:space="preserve">applicable to all </w:t>
      </w:r>
      <w:r>
        <w:rPr>
          <w:rFonts w:ascii="Times New Roman" w:hAnsi="Times New Roman" w:cs="Times New Roman"/>
          <w:b/>
        </w:rPr>
        <w:t>TNC-OBE</w:t>
      </w:r>
      <w:r w:rsidRPr="00AF27BF">
        <w:rPr>
          <w:rFonts w:ascii="Times New Roman" w:hAnsi="Times New Roman" w:cs="Times New Roman"/>
          <w:b/>
        </w:rPr>
        <w:t xml:space="preserve">, </w:t>
      </w:r>
      <w:r>
        <w:rPr>
          <w:rFonts w:ascii="Times New Roman" w:hAnsi="Times New Roman" w:cs="Times New Roman"/>
          <w:b/>
        </w:rPr>
        <w:t>but primarily address</w:t>
      </w:r>
      <w:r w:rsidRPr="00AF27BF">
        <w:rPr>
          <w:rFonts w:ascii="Times New Roman" w:hAnsi="Times New Roman" w:cs="Times New Roman"/>
          <w:b/>
        </w:rPr>
        <w:t xml:space="preserve"> </w:t>
      </w:r>
      <w:r>
        <w:rPr>
          <w:rFonts w:ascii="Times New Roman" w:hAnsi="Times New Roman" w:cs="Times New Roman"/>
          <w:b/>
        </w:rPr>
        <w:t xml:space="preserve">the activities of </w:t>
      </w:r>
      <w:r w:rsidRPr="00AF27BF">
        <w:rPr>
          <w:rFonts w:ascii="Times New Roman" w:hAnsi="Times New Roman" w:cs="Times New Roman"/>
          <w:b/>
        </w:rPr>
        <w:t xml:space="preserve">TNCs </w:t>
      </w:r>
      <w:r w:rsidRPr="00AF27BF">
        <w:rPr>
          <w:rFonts w:ascii="Times New Roman" w:hAnsi="Times New Roman" w:cs="Times New Roman"/>
        </w:rPr>
        <w:t>(Section 2.3).</w:t>
      </w:r>
    </w:p>
    <w:p w:rsidR="002075FB" w:rsidRPr="006F3CC4" w:rsidRDefault="002075FB" w:rsidP="002075FB">
      <w:pPr>
        <w:spacing w:after="0"/>
        <w:rPr>
          <w:rFonts w:ascii="Times New Roman" w:hAnsi="Times New Roman" w:cs="Times New Roman"/>
          <w:sz w:val="4"/>
          <w:szCs w:val="4"/>
        </w:rPr>
      </w:pPr>
    </w:p>
    <w:p w:rsidR="002075FB" w:rsidRPr="007462E9" w:rsidRDefault="002075FB" w:rsidP="002075FB">
      <w:pPr>
        <w:spacing w:after="0"/>
        <w:ind w:firstLine="540"/>
        <w:rPr>
          <w:rFonts w:ascii="Times New Roman" w:hAnsi="Times New Roman" w:cs="Times New Roman"/>
          <w:sz w:val="4"/>
          <w:szCs w:val="4"/>
        </w:rPr>
      </w:pPr>
      <w:r>
        <w:rPr>
          <w:rFonts w:ascii="Times New Roman" w:hAnsi="Times New Roman" w:cs="Times New Roman"/>
        </w:rPr>
        <w:t>Contained in the second submission to the IGWG, we recommend the need t</w:t>
      </w:r>
      <w:r w:rsidRPr="00AF27BF">
        <w:rPr>
          <w:rFonts w:ascii="Times New Roman" w:hAnsi="Times New Roman" w:cs="Times New Roman"/>
        </w:rPr>
        <w:t xml:space="preserve">o ensure an enabling environment for the enjoyment of human rights in practice, the Treaty should outline the framework requirements for </w:t>
      </w:r>
      <w:r>
        <w:rPr>
          <w:rFonts w:ascii="Times New Roman" w:hAnsi="Times New Roman" w:cs="Times New Roman"/>
          <w:b/>
        </w:rPr>
        <w:t>operationalizing the legal responsibilities of TNC-OBE to respect human rights</w:t>
      </w:r>
      <w:r>
        <w:rPr>
          <w:rFonts w:ascii="Times New Roman" w:hAnsi="Times New Roman" w:cs="Times New Roman"/>
        </w:rPr>
        <w:t xml:space="preserve"> (Section 2.4) and for ensuring</w:t>
      </w:r>
      <w:r w:rsidRPr="00AF27BF">
        <w:rPr>
          <w:rFonts w:ascii="Times New Roman" w:hAnsi="Times New Roman" w:cs="Times New Roman"/>
          <w:b/>
        </w:rPr>
        <w:t xml:space="preserve"> access to information </w:t>
      </w:r>
      <w:r>
        <w:rPr>
          <w:rFonts w:ascii="Times New Roman" w:hAnsi="Times New Roman" w:cs="Times New Roman"/>
          <w:b/>
        </w:rPr>
        <w:t xml:space="preserve">and participation </w:t>
      </w:r>
      <w:r w:rsidRPr="00AF27BF">
        <w:rPr>
          <w:rFonts w:ascii="Times New Roman" w:hAnsi="Times New Roman" w:cs="Times New Roman"/>
        </w:rPr>
        <w:t>(Section 2.</w:t>
      </w:r>
      <w:r>
        <w:rPr>
          <w:rFonts w:ascii="Times New Roman" w:hAnsi="Times New Roman" w:cs="Times New Roman"/>
        </w:rPr>
        <w:t>5</w:t>
      </w:r>
      <w:r w:rsidRPr="00AF27BF">
        <w:rPr>
          <w:rFonts w:ascii="Times New Roman" w:hAnsi="Times New Roman" w:cs="Times New Roman"/>
        </w:rPr>
        <w:t xml:space="preserve">), </w:t>
      </w:r>
      <w:r>
        <w:rPr>
          <w:rFonts w:ascii="Times New Roman" w:hAnsi="Times New Roman" w:cs="Times New Roman"/>
        </w:rPr>
        <w:t xml:space="preserve">and should </w:t>
      </w:r>
      <w:r w:rsidRPr="00AF27BF">
        <w:rPr>
          <w:rFonts w:ascii="Times New Roman" w:hAnsi="Times New Roman" w:cs="Times New Roman"/>
        </w:rPr>
        <w:t xml:space="preserve">affirm </w:t>
      </w:r>
      <w:r w:rsidRPr="00AF27BF">
        <w:rPr>
          <w:rFonts w:ascii="Times New Roman" w:hAnsi="Times New Roman" w:cs="Times New Roman"/>
        </w:rPr>
        <w:lastRenderedPageBreak/>
        <w:t xml:space="preserve">States’ </w:t>
      </w:r>
      <w:r w:rsidRPr="00AF27BF">
        <w:rPr>
          <w:rFonts w:ascii="Times New Roman" w:hAnsi="Times New Roman" w:cs="Times New Roman"/>
          <w:b/>
        </w:rPr>
        <w:t>extraterritorial obligations</w:t>
      </w:r>
      <w:r w:rsidRPr="00AF27BF">
        <w:rPr>
          <w:rFonts w:ascii="Times New Roman" w:hAnsi="Times New Roman" w:cs="Times New Roman"/>
        </w:rPr>
        <w:t xml:space="preserve"> (Section 2.6). </w:t>
      </w:r>
      <w:r>
        <w:rPr>
          <w:rFonts w:ascii="Times New Roman" w:hAnsi="Times New Roman" w:cs="Times New Roman"/>
        </w:rPr>
        <w:br/>
      </w:r>
    </w:p>
    <w:p w:rsidR="002075FB" w:rsidRDefault="002075FB" w:rsidP="002075FB">
      <w:pPr>
        <w:spacing w:after="0"/>
        <w:ind w:firstLine="540"/>
        <w:rPr>
          <w:rFonts w:ascii="Times New Roman" w:hAnsi="Times New Roman" w:cs="Times New Roman"/>
        </w:rPr>
      </w:pPr>
      <w:r>
        <w:rPr>
          <w:rFonts w:ascii="Times New Roman" w:hAnsi="Times New Roman" w:cs="Times New Roman"/>
        </w:rPr>
        <w:t>In our third submission to the IGWG</w:t>
      </w:r>
      <w:r w:rsidRPr="00AF27BF">
        <w:rPr>
          <w:rFonts w:ascii="Times New Roman" w:hAnsi="Times New Roman" w:cs="Times New Roman"/>
        </w:rPr>
        <w:t xml:space="preserve"> </w:t>
      </w:r>
      <w:r>
        <w:rPr>
          <w:rFonts w:ascii="Times New Roman" w:hAnsi="Times New Roman" w:cs="Times New Roman"/>
        </w:rPr>
        <w:t>we recommend that, in order t</w:t>
      </w:r>
      <w:r w:rsidRPr="00AF27BF">
        <w:rPr>
          <w:rFonts w:ascii="Times New Roman" w:hAnsi="Times New Roman" w:cs="Times New Roman"/>
        </w:rPr>
        <w:t xml:space="preserve">o facilitate access to justice for persons </w:t>
      </w:r>
      <w:r>
        <w:rPr>
          <w:rFonts w:ascii="Times New Roman" w:hAnsi="Times New Roman" w:cs="Times New Roman"/>
        </w:rPr>
        <w:t>whose human rights enjoyment is impaired by</w:t>
      </w:r>
      <w:r w:rsidRPr="00AF27BF">
        <w:rPr>
          <w:rFonts w:ascii="Times New Roman" w:hAnsi="Times New Roman" w:cs="Times New Roman"/>
        </w:rPr>
        <w:t xml:space="preserve"> </w:t>
      </w:r>
      <w:r>
        <w:rPr>
          <w:rFonts w:ascii="Times New Roman" w:hAnsi="Times New Roman" w:cs="Times New Roman"/>
        </w:rPr>
        <w:t>TNC-OBE</w:t>
      </w:r>
      <w:r w:rsidRPr="00AF27BF">
        <w:rPr>
          <w:rFonts w:ascii="Times New Roman" w:hAnsi="Times New Roman" w:cs="Times New Roman"/>
        </w:rPr>
        <w:t xml:space="preserve"> activities, the Treaty should address legal and practical obstacles to redress through framework requirements regarding</w:t>
      </w:r>
      <w:r w:rsidRPr="00AF27BF">
        <w:rPr>
          <w:rFonts w:ascii="Times New Roman" w:hAnsi="Times New Roman" w:cs="Times New Roman"/>
          <w:b/>
        </w:rPr>
        <w:t xml:space="preserve"> access to justice</w:t>
      </w:r>
      <w:r w:rsidRPr="00AF27BF">
        <w:rPr>
          <w:rFonts w:ascii="Times New Roman" w:hAnsi="Times New Roman" w:cs="Times New Roman"/>
        </w:rPr>
        <w:t xml:space="preserve"> (Section 2.</w:t>
      </w:r>
      <w:r>
        <w:rPr>
          <w:rFonts w:ascii="Times New Roman" w:hAnsi="Times New Roman" w:cs="Times New Roman"/>
        </w:rPr>
        <w:t>7</w:t>
      </w:r>
      <w:r w:rsidRPr="00AF27BF">
        <w:rPr>
          <w:rFonts w:ascii="Times New Roman" w:hAnsi="Times New Roman" w:cs="Times New Roman"/>
        </w:rPr>
        <w:t xml:space="preserve">) and protection of </w:t>
      </w:r>
      <w:r w:rsidRPr="00AF27BF">
        <w:rPr>
          <w:rFonts w:ascii="Times New Roman" w:hAnsi="Times New Roman" w:cs="Times New Roman"/>
          <w:b/>
        </w:rPr>
        <w:t>human rights defenders</w:t>
      </w:r>
      <w:r w:rsidRPr="00AF27BF">
        <w:rPr>
          <w:rFonts w:ascii="Times New Roman" w:hAnsi="Times New Roman" w:cs="Times New Roman"/>
        </w:rPr>
        <w:t xml:space="preserve"> (Section </w:t>
      </w:r>
      <w:r>
        <w:rPr>
          <w:rFonts w:ascii="Times New Roman" w:hAnsi="Times New Roman" w:cs="Times New Roman"/>
        </w:rPr>
        <w:t>2.8</w:t>
      </w:r>
      <w:r w:rsidRPr="00AF27BF">
        <w:rPr>
          <w:rFonts w:ascii="Times New Roman" w:hAnsi="Times New Roman" w:cs="Times New Roman"/>
        </w:rPr>
        <w:t xml:space="preserve">). </w:t>
      </w:r>
      <w:r>
        <w:rPr>
          <w:rFonts w:ascii="Times New Roman" w:hAnsi="Times New Roman" w:cs="Times New Roman"/>
        </w:rPr>
        <w:t xml:space="preserve"> </w:t>
      </w:r>
    </w:p>
    <w:p w:rsidR="002075FB" w:rsidRPr="00FA17CD" w:rsidRDefault="002075FB" w:rsidP="002075FB">
      <w:pPr>
        <w:spacing w:after="0"/>
        <w:ind w:firstLine="540"/>
        <w:rPr>
          <w:rFonts w:ascii="Times New Roman" w:hAnsi="Times New Roman" w:cs="Times New Roman"/>
          <w:sz w:val="4"/>
          <w:szCs w:val="4"/>
        </w:rPr>
      </w:pPr>
    </w:p>
    <w:p w:rsidR="002075FB" w:rsidRDefault="002075FB" w:rsidP="002075FB">
      <w:pPr>
        <w:spacing w:after="0"/>
        <w:ind w:firstLine="540"/>
      </w:pPr>
      <w:r>
        <w:rPr>
          <w:rFonts w:ascii="Times New Roman" w:hAnsi="Times New Roman" w:cs="Times New Roman"/>
        </w:rPr>
        <w:t xml:space="preserve">In </w:t>
      </w:r>
      <w:r>
        <w:rPr>
          <w:rFonts w:ascii="Times New Roman" w:hAnsi="Times New Roman" w:cs="Times New Roman"/>
        </w:rPr>
        <w:t xml:space="preserve">this </w:t>
      </w:r>
      <w:r>
        <w:rPr>
          <w:rFonts w:ascii="Times New Roman" w:hAnsi="Times New Roman" w:cs="Times New Roman"/>
        </w:rPr>
        <w:t xml:space="preserve">our fourth </w:t>
      </w:r>
      <w:r>
        <w:rPr>
          <w:rFonts w:ascii="Times New Roman" w:hAnsi="Times New Roman" w:cs="Times New Roman"/>
        </w:rPr>
        <w:t xml:space="preserve">and final </w:t>
      </w:r>
      <w:r>
        <w:rPr>
          <w:rFonts w:ascii="Times New Roman" w:hAnsi="Times New Roman" w:cs="Times New Roman"/>
        </w:rPr>
        <w:t xml:space="preserve">submission </w:t>
      </w:r>
      <w:r>
        <w:rPr>
          <w:rFonts w:ascii="Times New Roman" w:hAnsi="Times New Roman" w:cs="Times New Roman"/>
        </w:rPr>
        <w:t xml:space="preserve">of 2016 </w:t>
      </w:r>
      <w:r>
        <w:rPr>
          <w:rFonts w:ascii="Times New Roman" w:hAnsi="Times New Roman" w:cs="Times New Roman"/>
        </w:rPr>
        <w:t>to the IGWG</w:t>
      </w:r>
      <w:r w:rsidRPr="00AF27BF">
        <w:rPr>
          <w:rFonts w:ascii="Times New Roman" w:hAnsi="Times New Roman" w:cs="Times New Roman"/>
        </w:rPr>
        <w:t xml:space="preserve"> </w:t>
      </w:r>
      <w:r>
        <w:rPr>
          <w:rFonts w:ascii="Times New Roman" w:hAnsi="Times New Roman" w:cs="Times New Roman"/>
        </w:rPr>
        <w:t>we recommend that s</w:t>
      </w:r>
      <w:r w:rsidRPr="00AF27BF">
        <w:rPr>
          <w:rFonts w:ascii="Times New Roman" w:hAnsi="Times New Roman" w:cs="Times New Roman"/>
        </w:rPr>
        <w:t xml:space="preserve">pecific consideration </w:t>
      </w:r>
      <w:r>
        <w:rPr>
          <w:rFonts w:ascii="Times New Roman" w:hAnsi="Times New Roman" w:cs="Times New Roman"/>
        </w:rPr>
        <w:t xml:space="preserve">be </w:t>
      </w:r>
      <w:r w:rsidRPr="00AF27BF">
        <w:rPr>
          <w:rFonts w:ascii="Times New Roman" w:hAnsi="Times New Roman" w:cs="Times New Roman"/>
        </w:rPr>
        <w:t xml:space="preserve">given to the </w:t>
      </w:r>
      <w:r>
        <w:rPr>
          <w:rFonts w:ascii="Times New Roman" w:hAnsi="Times New Roman" w:cs="Times New Roman"/>
        </w:rPr>
        <w:t xml:space="preserve">need for the Treaty to consider addressing the </w:t>
      </w:r>
      <w:r w:rsidRPr="00AF27BF">
        <w:rPr>
          <w:rFonts w:ascii="Times New Roman" w:hAnsi="Times New Roman" w:cs="Times New Roman"/>
        </w:rPr>
        <w:t xml:space="preserve">disproportionate influence of corporations on policy making by addressing </w:t>
      </w:r>
      <w:r>
        <w:rPr>
          <w:rFonts w:ascii="Times New Roman" w:hAnsi="Times New Roman" w:cs="Times New Roman"/>
        </w:rPr>
        <w:t xml:space="preserve">the </w:t>
      </w:r>
      <w:r w:rsidRPr="001B2EA9">
        <w:rPr>
          <w:rFonts w:ascii="Times New Roman" w:hAnsi="Times New Roman" w:cs="Times New Roman"/>
          <w:b/>
        </w:rPr>
        <w:t>prevalence of</w:t>
      </w:r>
      <w:r>
        <w:rPr>
          <w:rFonts w:ascii="Times New Roman" w:hAnsi="Times New Roman" w:cs="Times New Roman"/>
        </w:rPr>
        <w:t xml:space="preserve"> ‘</w:t>
      </w:r>
      <w:r>
        <w:rPr>
          <w:rFonts w:ascii="Times New Roman" w:hAnsi="Times New Roman" w:cs="Times New Roman"/>
          <w:b/>
        </w:rPr>
        <w:t>c</w:t>
      </w:r>
      <w:r w:rsidRPr="00AF27BF">
        <w:rPr>
          <w:rFonts w:ascii="Times New Roman" w:hAnsi="Times New Roman" w:cs="Times New Roman"/>
          <w:b/>
        </w:rPr>
        <w:t>orporate capture</w:t>
      </w:r>
      <w:r>
        <w:rPr>
          <w:rFonts w:ascii="Times New Roman" w:hAnsi="Times New Roman" w:cs="Times New Roman"/>
          <w:b/>
        </w:rPr>
        <w:t>’</w:t>
      </w:r>
      <w:r w:rsidRPr="00AF27BF">
        <w:rPr>
          <w:rFonts w:ascii="Times New Roman" w:hAnsi="Times New Roman" w:cs="Times New Roman"/>
          <w:b/>
        </w:rPr>
        <w:t xml:space="preserve"> </w:t>
      </w:r>
      <w:r w:rsidRPr="00AF27BF">
        <w:rPr>
          <w:rFonts w:ascii="Times New Roman" w:hAnsi="Times New Roman" w:cs="Times New Roman"/>
        </w:rPr>
        <w:t>(Section 2.</w:t>
      </w:r>
      <w:r>
        <w:rPr>
          <w:rFonts w:ascii="Times New Roman" w:hAnsi="Times New Roman" w:cs="Times New Roman"/>
        </w:rPr>
        <w:t>9</w:t>
      </w:r>
      <w:r w:rsidRPr="00AF27BF">
        <w:rPr>
          <w:rFonts w:ascii="Times New Roman" w:hAnsi="Times New Roman" w:cs="Times New Roman"/>
        </w:rPr>
        <w:t>)</w:t>
      </w:r>
      <w:r>
        <w:rPr>
          <w:rFonts w:ascii="Times New Roman" w:hAnsi="Times New Roman" w:cs="Times New Roman"/>
        </w:rPr>
        <w:t xml:space="preserve">, address </w:t>
      </w:r>
      <w:r w:rsidRPr="00AF27BF">
        <w:rPr>
          <w:rFonts w:ascii="Times New Roman" w:hAnsi="Times New Roman" w:cs="Times New Roman"/>
        </w:rPr>
        <w:t xml:space="preserve">the impacts of </w:t>
      </w:r>
      <w:r>
        <w:rPr>
          <w:rFonts w:ascii="Times New Roman" w:hAnsi="Times New Roman" w:cs="Times New Roman"/>
        </w:rPr>
        <w:t>TNC-OBE</w:t>
      </w:r>
      <w:r w:rsidRPr="00AF27BF">
        <w:rPr>
          <w:rFonts w:ascii="Times New Roman" w:hAnsi="Times New Roman" w:cs="Times New Roman"/>
        </w:rPr>
        <w:t xml:space="preserve"> activity</w:t>
      </w:r>
      <w:r>
        <w:rPr>
          <w:rFonts w:ascii="Times New Roman" w:hAnsi="Times New Roman" w:cs="Times New Roman"/>
        </w:rPr>
        <w:t xml:space="preserve"> from a </w:t>
      </w:r>
      <w:r>
        <w:rPr>
          <w:rFonts w:ascii="Times New Roman" w:hAnsi="Times New Roman" w:cs="Times New Roman"/>
          <w:b/>
        </w:rPr>
        <w:t xml:space="preserve">gender </w:t>
      </w:r>
      <w:r>
        <w:rPr>
          <w:rFonts w:ascii="Times New Roman" w:hAnsi="Times New Roman" w:cs="Times New Roman"/>
        </w:rPr>
        <w:t>perspective</w:t>
      </w:r>
      <w:r w:rsidRPr="00AF27BF">
        <w:rPr>
          <w:rFonts w:ascii="Times New Roman" w:hAnsi="Times New Roman" w:cs="Times New Roman"/>
        </w:rPr>
        <w:t xml:space="preserve"> (Section 2.10) </w:t>
      </w:r>
      <w:r>
        <w:rPr>
          <w:rFonts w:ascii="Times New Roman" w:hAnsi="Times New Roman" w:cs="Times New Roman"/>
        </w:rPr>
        <w:t xml:space="preserve">and consider the rights of </w:t>
      </w:r>
      <w:r w:rsidRPr="00AF27BF">
        <w:rPr>
          <w:rFonts w:ascii="Times New Roman" w:hAnsi="Times New Roman" w:cs="Times New Roman"/>
          <w:b/>
        </w:rPr>
        <w:t>indigenous people</w:t>
      </w:r>
      <w:r>
        <w:rPr>
          <w:rFonts w:ascii="Times New Roman" w:hAnsi="Times New Roman" w:cs="Times New Roman"/>
          <w:b/>
        </w:rPr>
        <w:t>s</w:t>
      </w:r>
      <w:r w:rsidRPr="00AF27BF">
        <w:rPr>
          <w:rFonts w:ascii="Times New Roman" w:hAnsi="Times New Roman" w:cs="Times New Roman"/>
        </w:rPr>
        <w:t xml:space="preserve"> (Section 2.</w:t>
      </w:r>
      <w:r>
        <w:rPr>
          <w:rFonts w:ascii="Times New Roman" w:hAnsi="Times New Roman" w:cs="Times New Roman"/>
        </w:rPr>
        <w:t>11</w:t>
      </w:r>
      <w:r w:rsidRPr="00AF27BF">
        <w:rPr>
          <w:rFonts w:ascii="Times New Roman" w:hAnsi="Times New Roman" w:cs="Times New Roman"/>
        </w:rPr>
        <w:t xml:space="preserve">), </w:t>
      </w:r>
      <w:r>
        <w:rPr>
          <w:rFonts w:ascii="Times New Roman" w:hAnsi="Times New Roman" w:cs="Times New Roman"/>
        </w:rPr>
        <w:t>as well as strengthen</w:t>
      </w:r>
      <w:r w:rsidRPr="00AF27BF">
        <w:rPr>
          <w:rFonts w:ascii="Times New Roman" w:hAnsi="Times New Roman" w:cs="Times New Roman"/>
        </w:rPr>
        <w:t xml:space="preserve"> effective oversight of </w:t>
      </w:r>
      <w:r>
        <w:rPr>
          <w:rFonts w:ascii="Times New Roman" w:hAnsi="Times New Roman" w:cs="Times New Roman"/>
        </w:rPr>
        <w:t>TNC-OBE</w:t>
      </w:r>
      <w:r w:rsidRPr="00AF27BF">
        <w:rPr>
          <w:rFonts w:ascii="Times New Roman" w:hAnsi="Times New Roman" w:cs="Times New Roman"/>
        </w:rPr>
        <w:t xml:space="preserve"> activities in </w:t>
      </w:r>
      <w:r w:rsidRPr="00AF27BF">
        <w:rPr>
          <w:rFonts w:ascii="Times New Roman" w:hAnsi="Times New Roman" w:cs="Times New Roman"/>
          <w:b/>
        </w:rPr>
        <w:t xml:space="preserve">conflict and post-conflict situations </w:t>
      </w:r>
      <w:r w:rsidRPr="00AF27BF">
        <w:rPr>
          <w:rFonts w:ascii="Times New Roman" w:hAnsi="Times New Roman" w:cs="Times New Roman"/>
        </w:rPr>
        <w:t>(Section 2.12).</w:t>
      </w:r>
    </w:p>
    <w:p w:rsidR="002075FB" w:rsidRDefault="002075FB" w:rsidP="00DB32DB">
      <w:pPr>
        <w:spacing w:after="0"/>
        <w:rPr>
          <w:rFonts w:ascii="Times New Roman" w:eastAsia="Times New Roman" w:hAnsi="Times New Roman" w:cs="Times New Roman"/>
        </w:rPr>
      </w:pPr>
    </w:p>
    <w:p w:rsidR="002075FB" w:rsidRPr="00AF27BF" w:rsidRDefault="002075FB" w:rsidP="002075FB">
      <w:pPr>
        <w:spacing w:after="0"/>
        <w:rPr>
          <w:rFonts w:ascii="Times New Roman" w:hAnsi="Times New Roman" w:cs="Times New Roman"/>
        </w:rPr>
      </w:pPr>
    </w:p>
    <w:p w:rsidR="002075FB" w:rsidRPr="00AF27BF" w:rsidRDefault="002075FB" w:rsidP="002075FB">
      <w:pPr>
        <w:pStyle w:val="ListParagraph"/>
        <w:numPr>
          <w:ilvl w:val="1"/>
          <w:numId w:val="7"/>
        </w:numPr>
        <w:spacing w:after="0"/>
        <w:ind w:left="720" w:hanging="720"/>
        <w:rPr>
          <w:rFonts w:ascii="Times New Roman" w:hAnsi="Times New Roman" w:cs="Times New Roman"/>
          <w:b/>
          <w:u w:val="single"/>
        </w:rPr>
      </w:pPr>
      <w:r>
        <w:rPr>
          <w:rFonts w:ascii="Times New Roman" w:hAnsi="Times New Roman" w:cs="Times New Roman"/>
          <w:b/>
          <w:u w:val="single"/>
        </w:rPr>
        <w:t xml:space="preserve">Addressing the Prevalence of </w:t>
      </w:r>
      <w:r w:rsidRPr="00AF27BF">
        <w:rPr>
          <w:rFonts w:ascii="Times New Roman" w:hAnsi="Times New Roman" w:cs="Times New Roman"/>
          <w:b/>
          <w:u w:val="single"/>
        </w:rPr>
        <w:t>Corporate Capture</w:t>
      </w:r>
    </w:p>
    <w:p w:rsidR="002075FB" w:rsidRPr="00AF27BF" w:rsidRDefault="002075FB" w:rsidP="002075FB">
      <w:pPr>
        <w:spacing w:after="0"/>
        <w:rPr>
          <w:rFonts w:ascii="Times New Roman" w:hAnsi="Times New Roman" w:cs="Times New Roman"/>
          <w:i/>
        </w:rPr>
      </w:pPr>
    </w:p>
    <w:p w:rsidR="002075FB" w:rsidRPr="00AF27BF" w:rsidRDefault="002075FB" w:rsidP="002075FB">
      <w:pPr>
        <w:spacing w:after="0"/>
        <w:rPr>
          <w:rFonts w:ascii="Times New Roman" w:hAnsi="Times New Roman" w:cs="Times New Roman"/>
        </w:rPr>
      </w:pPr>
      <w:r w:rsidRPr="00AF27BF">
        <w:rPr>
          <w:rFonts w:ascii="Times New Roman" w:hAnsi="Times New Roman" w:cs="Times New Roman"/>
        </w:rPr>
        <w:t xml:space="preserve">CSOs are becoming increasingly more aware of the means by which </w:t>
      </w:r>
      <w:r>
        <w:rPr>
          <w:rFonts w:ascii="Times New Roman" w:hAnsi="Times New Roman" w:cs="Times New Roman"/>
        </w:rPr>
        <w:t>TNC-OBE</w:t>
      </w:r>
      <w:r w:rsidRPr="00AF27BF">
        <w:rPr>
          <w:rFonts w:ascii="Times New Roman" w:hAnsi="Times New Roman" w:cs="Times New Roman"/>
        </w:rPr>
        <w:t xml:space="preserve"> undermine the realization of human rights and the environment by exerting undue influence over domestic and international decision-makers and public institutions,</w:t>
      </w:r>
      <w:r w:rsidRPr="00AF27BF">
        <w:rPr>
          <w:rStyle w:val="FootnoteReference"/>
          <w:rFonts w:ascii="Times New Roman" w:hAnsi="Times New Roman" w:cs="Times New Roman"/>
        </w:rPr>
        <w:footnoteReference w:id="3"/>
      </w:r>
      <w:r w:rsidRPr="00AF27BF">
        <w:rPr>
          <w:rFonts w:ascii="Times New Roman" w:hAnsi="Times New Roman" w:cs="Times New Roman"/>
        </w:rPr>
        <w:t xml:space="preserve"> including by using their influence to soften (or inhibit implementation of) regulation, weaken the exercise of powers by regulatory authorities, bank-roll elections, privatize the conduct of State security services for use against communities, exercise revolving-door employment strategies, and many other practices. As such, the ever deepening corporate-government relationship is weakening the institutions and processes that are responsible for ensuring</w:t>
      </w:r>
      <w:r>
        <w:rPr>
          <w:rFonts w:ascii="Times New Roman" w:hAnsi="Times New Roman" w:cs="Times New Roman"/>
        </w:rPr>
        <w:t xml:space="preserve"> that</w:t>
      </w:r>
      <w:r w:rsidRPr="00AF27BF">
        <w:rPr>
          <w:rFonts w:ascii="Times New Roman" w:hAnsi="Times New Roman" w:cs="Times New Roman"/>
        </w:rPr>
        <w:t xml:space="preserve"> States respect, protect and fulfill human rights. In this sense, </w:t>
      </w:r>
      <w:r>
        <w:rPr>
          <w:rFonts w:ascii="Times New Roman" w:hAnsi="Times New Roman" w:cs="Times New Roman"/>
        </w:rPr>
        <w:t>‘</w:t>
      </w:r>
      <w:r w:rsidRPr="00AF27BF">
        <w:rPr>
          <w:rFonts w:ascii="Times New Roman" w:hAnsi="Times New Roman" w:cs="Times New Roman"/>
        </w:rPr>
        <w:t>corporate capture</w:t>
      </w:r>
      <w:r>
        <w:rPr>
          <w:rFonts w:ascii="Times New Roman" w:hAnsi="Times New Roman" w:cs="Times New Roman"/>
        </w:rPr>
        <w:t>’</w:t>
      </w:r>
      <w:r w:rsidRPr="00AF27BF">
        <w:rPr>
          <w:rFonts w:ascii="Times New Roman" w:hAnsi="Times New Roman" w:cs="Times New Roman"/>
        </w:rPr>
        <w:t xml:space="preserve"> is defined primarily by the undue influence that corporations exert over national and international public institutions, manipulating them to act according to their priorities at the expense of the public interest and the integrity of the systems required to safeguard human rights</w:t>
      </w:r>
      <w:r>
        <w:rPr>
          <w:rFonts w:ascii="Times New Roman" w:hAnsi="Times New Roman" w:cs="Times New Roman"/>
        </w:rPr>
        <w:t xml:space="preserve"> and the environment</w:t>
      </w:r>
      <w:r w:rsidRPr="00AF27BF">
        <w:rPr>
          <w:rFonts w:ascii="Times New Roman" w:hAnsi="Times New Roman" w:cs="Times New Roman"/>
        </w:rPr>
        <w:t xml:space="preserve">. The Universal Declaration of Human Rights has proclaimed that “the will of the people shall be the basis of the authority of government.” Corporate capture severely undermines this </w:t>
      </w:r>
      <w:r>
        <w:rPr>
          <w:rFonts w:ascii="Times New Roman" w:hAnsi="Times New Roman" w:cs="Times New Roman"/>
        </w:rPr>
        <w:t>foundation</w:t>
      </w:r>
      <w:r w:rsidRPr="00AF27BF">
        <w:rPr>
          <w:rFonts w:ascii="Times New Roman" w:hAnsi="Times New Roman" w:cs="Times New Roman"/>
        </w:rPr>
        <w:t xml:space="preserve"> and</w:t>
      </w:r>
      <w:r>
        <w:rPr>
          <w:rFonts w:ascii="Times New Roman" w:hAnsi="Times New Roman" w:cs="Times New Roman"/>
        </w:rPr>
        <w:t>,</w:t>
      </w:r>
      <w:r w:rsidRPr="00AF27BF">
        <w:rPr>
          <w:rFonts w:ascii="Times New Roman" w:hAnsi="Times New Roman" w:cs="Times New Roman"/>
        </w:rPr>
        <w:t xml:space="preserve"> as a result</w:t>
      </w:r>
      <w:r>
        <w:rPr>
          <w:rFonts w:ascii="Times New Roman" w:hAnsi="Times New Roman" w:cs="Times New Roman"/>
        </w:rPr>
        <w:t>,</w:t>
      </w:r>
      <w:r w:rsidRPr="00AF27BF">
        <w:rPr>
          <w:rFonts w:ascii="Times New Roman" w:hAnsi="Times New Roman" w:cs="Times New Roman"/>
        </w:rPr>
        <w:t xml:space="preserve"> is a root </w:t>
      </w:r>
      <w:r>
        <w:rPr>
          <w:rFonts w:ascii="Times New Roman" w:hAnsi="Times New Roman" w:cs="Times New Roman"/>
        </w:rPr>
        <w:t xml:space="preserve">cause </w:t>
      </w:r>
      <w:r w:rsidRPr="00AF27BF">
        <w:rPr>
          <w:rFonts w:ascii="Times New Roman" w:hAnsi="Times New Roman" w:cs="Times New Roman"/>
        </w:rPr>
        <w:t>of many human rights</w:t>
      </w:r>
      <w:r>
        <w:rPr>
          <w:rFonts w:ascii="Times New Roman" w:hAnsi="Times New Roman" w:cs="Times New Roman"/>
        </w:rPr>
        <w:t xml:space="preserve"> abuses </w:t>
      </w:r>
      <w:r w:rsidRPr="00AF27BF">
        <w:rPr>
          <w:rFonts w:ascii="Times New Roman" w:hAnsi="Times New Roman" w:cs="Times New Roman"/>
        </w:rPr>
        <w:t xml:space="preserve">involving </w:t>
      </w:r>
      <w:r>
        <w:rPr>
          <w:rFonts w:ascii="Times New Roman" w:hAnsi="Times New Roman" w:cs="Times New Roman"/>
        </w:rPr>
        <w:t>TNC-OBE</w:t>
      </w:r>
      <w:r w:rsidRPr="00AF27BF">
        <w:rPr>
          <w:rFonts w:ascii="Times New Roman" w:hAnsi="Times New Roman" w:cs="Times New Roman"/>
        </w:rPr>
        <w:t xml:space="preserve">.  </w:t>
      </w:r>
    </w:p>
    <w:p w:rsidR="002075FB" w:rsidRPr="00AF27BF" w:rsidRDefault="002075FB" w:rsidP="002075FB">
      <w:pPr>
        <w:spacing w:after="0"/>
        <w:rPr>
          <w:rFonts w:ascii="Times New Roman" w:hAnsi="Times New Roman" w:cs="Times New Roman"/>
        </w:rPr>
      </w:pPr>
    </w:p>
    <w:p w:rsidR="002075FB" w:rsidRPr="00AF27BF" w:rsidRDefault="002075FB" w:rsidP="002075FB">
      <w:pPr>
        <w:spacing w:after="0"/>
        <w:rPr>
          <w:rFonts w:ascii="Times New Roman" w:hAnsi="Times New Roman" w:cs="Times New Roman"/>
        </w:rPr>
      </w:pPr>
      <w:r w:rsidRPr="00AF27BF">
        <w:rPr>
          <w:rFonts w:ascii="Times New Roman" w:hAnsi="Times New Roman" w:cs="Times New Roman"/>
        </w:rPr>
        <w:t xml:space="preserve">In some specific industries the abilities of </w:t>
      </w:r>
      <w:r>
        <w:rPr>
          <w:rFonts w:ascii="Times New Roman" w:hAnsi="Times New Roman" w:cs="Times New Roman"/>
        </w:rPr>
        <w:t>TNC-OBE</w:t>
      </w:r>
      <w:r w:rsidRPr="00AF27BF">
        <w:rPr>
          <w:rFonts w:ascii="Times New Roman" w:hAnsi="Times New Roman" w:cs="Times New Roman"/>
        </w:rPr>
        <w:t xml:space="preserve"> to influence policy and regulation setting are curtailed. A pertinent example is the World Health Organisation’s Framework Convention on Tobacco Control (FCTC). Under the FCTC</w:t>
      </w:r>
      <w:r>
        <w:rPr>
          <w:rFonts w:ascii="Times New Roman" w:hAnsi="Times New Roman" w:cs="Times New Roman"/>
        </w:rPr>
        <w:t>,</w:t>
      </w:r>
      <w:r w:rsidRPr="00AF27BF">
        <w:rPr>
          <w:rFonts w:ascii="Times New Roman" w:hAnsi="Times New Roman" w:cs="Times New Roman"/>
        </w:rPr>
        <w:t xml:space="preserve"> States must act to protect against interference from commercial and other vested interests of the tobacco industry in the establishment and implementation of national health policies. The FCTC also requires States to be accountable and transparent in all dealings with the tobacco industry, and those working to further their interests, including by ensuring all interactions are documented and disclosed to the public as well as avoiding conflicts of interest for government officials and employees. In the United States the ‘Revolving Door Ban’ prohibits for two years any employee of any federal executive agency working on any matter that involves their former employer(s), and vice versa for those leaving an executive agency to join the private sector. Accepting gifts from lobbyists is also prohibited under this law. These and other examples provide useful direction for how the Treaty can </w:t>
      </w:r>
      <w:r w:rsidRPr="00AF27BF">
        <w:rPr>
          <w:rFonts w:ascii="Times New Roman" w:hAnsi="Times New Roman" w:cs="Times New Roman"/>
        </w:rPr>
        <w:lastRenderedPageBreak/>
        <w:t xml:space="preserve">establish an effective binding standard for enforcing appropriate separation between corporation and State. </w:t>
      </w:r>
    </w:p>
    <w:p w:rsidR="002075FB" w:rsidRPr="00AF27BF" w:rsidRDefault="002075FB" w:rsidP="002075FB">
      <w:pPr>
        <w:spacing w:after="0"/>
        <w:rPr>
          <w:rFonts w:ascii="Times New Roman" w:hAnsi="Times New Roman" w:cs="Times New Roman"/>
          <w:b/>
          <w:i/>
        </w:rPr>
      </w:pPr>
    </w:p>
    <w:p w:rsidR="002075FB" w:rsidRPr="00AF282E" w:rsidRDefault="002075FB" w:rsidP="002075FB">
      <w:pPr>
        <w:pStyle w:val="CommentText"/>
        <w:spacing w:after="0" w:line="259" w:lineRule="auto"/>
        <w:rPr>
          <w:rFonts w:ascii="Times New Roman" w:hAnsi="Times New Roman" w:cs="Times New Roman"/>
          <w:sz w:val="22"/>
          <w:szCs w:val="22"/>
        </w:rPr>
      </w:pPr>
      <w:r w:rsidRPr="00AF282E">
        <w:rPr>
          <w:rFonts w:ascii="Times New Roman" w:hAnsi="Times New Roman" w:cs="Times New Roman"/>
          <w:sz w:val="22"/>
          <w:szCs w:val="22"/>
        </w:rPr>
        <w:t>When setting policies to rein in the abuses of profit-driven corporations, it is absolutely critical to acknowledge the inherent conflict of interest that exist</w:t>
      </w:r>
      <w:r>
        <w:rPr>
          <w:rFonts w:ascii="Times New Roman" w:hAnsi="Times New Roman" w:cs="Times New Roman"/>
          <w:sz w:val="22"/>
          <w:szCs w:val="22"/>
        </w:rPr>
        <w:t>s</w:t>
      </w:r>
      <w:r w:rsidRPr="00AF282E">
        <w:rPr>
          <w:rFonts w:ascii="Times New Roman" w:hAnsi="Times New Roman" w:cs="Times New Roman"/>
          <w:sz w:val="22"/>
          <w:szCs w:val="22"/>
        </w:rPr>
        <w:t xml:space="preserve"> between the corporations that will be regulated and the goals of that regulation. As such, it is fundamental to protect the </w:t>
      </w:r>
      <w:r>
        <w:rPr>
          <w:rFonts w:ascii="Times New Roman" w:hAnsi="Times New Roman" w:cs="Times New Roman"/>
          <w:sz w:val="22"/>
          <w:szCs w:val="22"/>
        </w:rPr>
        <w:t xml:space="preserve">legislative and </w:t>
      </w:r>
      <w:r w:rsidRPr="00AF282E">
        <w:rPr>
          <w:rFonts w:ascii="Times New Roman" w:hAnsi="Times New Roman" w:cs="Times New Roman"/>
          <w:sz w:val="22"/>
          <w:szCs w:val="22"/>
        </w:rPr>
        <w:t>policymaking space from the interests of these corporations by</w:t>
      </w:r>
      <w:r>
        <w:rPr>
          <w:rFonts w:ascii="Times New Roman" w:hAnsi="Times New Roman" w:cs="Times New Roman"/>
          <w:sz w:val="22"/>
          <w:szCs w:val="22"/>
        </w:rPr>
        <w:t xml:space="preserve"> </w:t>
      </w:r>
      <w:r w:rsidRPr="00AF282E">
        <w:rPr>
          <w:rFonts w:ascii="Times New Roman" w:hAnsi="Times New Roman" w:cs="Times New Roman"/>
          <w:sz w:val="22"/>
          <w:szCs w:val="22"/>
        </w:rPr>
        <w:t xml:space="preserve">developing a </w:t>
      </w:r>
      <w:r>
        <w:rPr>
          <w:rFonts w:ascii="Times New Roman" w:hAnsi="Times New Roman" w:cs="Times New Roman"/>
          <w:sz w:val="22"/>
          <w:szCs w:val="22"/>
        </w:rPr>
        <w:t>‘</w:t>
      </w:r>
      <w:r w:rsidRPr="00AF282E">
        <w:rPr>
          <w:rFonts w:ascii="Times New Roman" w:hAnsi="Times New Roman" w:cs="Times New Roman"/>
          <w:sz w:val="22"/>
          <w:szCs w:val="22"/>
        </w:rPr>
        <w:t>good governance</w:t>
      </w:r>
      <w:r>
        <w:rPr>
          <w:rFonts w:ascii="Times New Roman" w:hAnsi="Times New Roman" w:cs="Times New Roman"/>
          <w:sz w:val="22"/>
          <w:szCs w:val="22"/>
        </w:rPr>
        <w:t>’</w:t>
      </w:r>
      <w:r w:rsidRPr="00AF282E">
        <w:rPr>
          <w:rFonts w:ascii="Times New Roman" w:hAnsi="Times New Roman" w:cs="Times New Roman"/>
          <w:sz w:val="22"/>
          <w:szCs w:val="22"/>
        </w:rPr>
        <w:t xml:space="preserve"> article of the </w:t>
      </w:r>
      <w:r>
        <w:rPr>
          <w:rFonts w:ascii="Times New Roman" w:hAnsi="Times New Roman" w:cs="Times New Roman"/>
          <w:sz w:val="22"/>
          <w:szCs w:val="22"/>
        </w:rPr>
        <w:t>T</w:t>
      </w:r>
      <w:r w:rsidRPr="00AF282E">
        <w:rPr>
          <w:rFonts w:ascii="Times New Roman" w:hAnsi="Times New Roman" w:cs="Times New Roman"/>
          <w:sz w:val="22"/>
          <w:szCs w:val="22"/>
        </w:rPr>
        <w:t xml:space="preserve">reaty that establishes adequate safeguards against corporate </w:t>
      </w:r>
      <w:r>
        <w:rPr>
          <w:rFonts w:ascii="Times New Roman" w:hAnsi="Times New Roman" w:cs="Times New Roman"/>
          <w:sz w:val="22"/>
          <w:szCs w:val="22"/>
        </w:rPr>
        <w:t xml:space="preserve">legislative and policy </w:t>
      </w:r>
      <w:r w:rsidRPr="00AF282E">
        <w:rPr>
          <w:rFonts w:ascii="Times New Roman" w:hAnsi="Times New Roman" w:cs="Times New Roman"/>
          <w:sz w:val="22"/>
          <w:szCs w:val="22"/>
        </w:rPr>
        <w:t xml:space="preserve">interference at the national, </w:t>
      </w:r>
      <w:r>
        <w:rPr>
          <w:rFonts w:ascii="Times New Roman" w:hAnsi="Times New Roman" w:cs="Times New Roman"/>
          <w:sz w:val="22"/>
          <w:szCs w:val="22"/>
        </w:rPr>
        <w:t>regional</w:t>
      </w:r>
      <w:r w:rsidRPr="00AF282E">
        <w:rPr>
          <w:rFonts w:ascii="Times New Roman" w:hAnsi="Times New Roman" w:cs="Times New Roman"/>
          <w:sz w:val="22"/>
          <w:szCs w:val="22"/>
        </w:rPr>
        <w:t xml:space="preserve"> and intergovernmental levels. The negotiations and</w:t>
      </w:r>
      <w:r>
        <w:rPr>
          <w:rFonts w:ascii="Times New Roman" w:hAnsi="Times New Roman" w:cs="Times New Roman"/>
          <w:sz w:val="22"/>
          <w:szCs w:val="22"/>
        </w:rPr>
        <w:t xml:space="preserve"> policymaking toward the T</w:t>
      </w:r>
      <w:r w:rsidRPr="00AF282E">
        <w:rPr>
          <w:rFonts w:ascii="Times New Roman" w:hAnsi="Times New Roman" w:cs="Times New Roman"/>
          <w:sz w:val="22"/>
          <w:szCs w:val="22"/>
        </w:rPr>
        <w:t xml:space="preserve">reaty </w:t>
      </w:r>
      <w:r>
        <w:rPr>
          <w:rFonts w:ascii="Times New Roman" w:hAnsi="Times New Roman" w:cs="Times New Roman"/>
          <w:sz w:val="22"/>
          <w:szCs w:val="22"/>
        </w:rPr>
        <w:t>itself</w:t>
      </w:r>
      <w:r w:rsidRPr="00AF282E">
        <w:rPr>
          <w:rFonts w:ascii="Times New Roman" w:hAnsi="Times New Roman" w:cs="Times New Roman"/>
          <w:sz w:val="22"/>
          <w:szCs w:val="22"/>
        </w:rPr>
        <w:t xml:space="preserve"> must </w:t>
      </w:r>
      <w:r>
        <w:rPr>
          <w:rFonts w:ascii="Times New Roman" w:hAnsi="Times New Roman" w:cs="Times New Roman"/>
          <w:sz w:val="22"/>
          <w:szCs w:val="22"/>
        </w:rPr>
        <w:t xml:space="preserve">also </w:t>
      </w:r>
      <w:r w:rsidRPr="00AF282E">
        <w:rPr>
          <w:rFonts w:ascii="Times New Roman" w:hAnsi="Times New Roman" w:cs="Times New Roman"/>
          <w:sz w:val="22"/>
          <w:szCs w:val="22"/>
        </w:rPr>
        <w:t xml:space="preserve">be protected from </w:t>
      </w:r>
      <w:r>
        <w:rPr>
          <w:rFonts w:ascii="Times New Roman" w:hAnsi="Times New Roman" w:cs="Times New Roman"/>
          <w:sz w:val="22"/>
          <w:szCs w:val="22"/>
        </w:rPr>
        <w:t>any undue influence from TNC-OBE</w:t>
      </w:r>
      <w:r w:rsidRPr="00AF282E">
        <w:rPr>
          <w:rFonts w:ascii="Times New Roman" w:hAnsi="Times New Roman" w:cs="Times New Roman"/>
          <w:sz w:val="22"/>
          <w:szCs w:val="22"/>
        </w:rPr>
        <w:t xml:space="preserve"> </w:t>
      </w:r>
      <w:r>
        <w:rPr>
          <w:rFonts w:ascii="Times New Roman" w:hAnsi="Times New Roman" w:cs="Times New Roman"/>
          <w:sz w:val="22"/>
          <w:szCs w:val="22"/>
        </w:rPr>
        <w:t xml:space="preserve">on the process </w:t>
      </w:r>
      <w:r w:rsidRPr="00AF282E">
        <w:rPr>
          <w:rFonts w:ascii="Times New Roman" w:hAnsi="Times New Roman" w:cs="Times New Roman"/>
          <w:sz w:val="22"/>
          <w:szCs w:val="22"/>
        </w:rPr>
        <w:t>by virtue of their inherent conflict of interest.</w:t>
      </w:r>
    </w:p>
    <w:p w:rsidR="002075FB" w:rsidRPr="00AF27BF" w:rsidRDefault="002075FB" w:rsidP="002075FB">
      <w:pPr>
        <w:spacing w:after="0"/>
        <w:rPr>
          <w:rFonts w:ascii="Times New Roman" w:hAnsi="Times New Roman" w:cs="Times New Roman"/>
          <w:b/>
          <w:i/>
        </w:rPr>
      </w:pPr>
    </w:p>
    <w:p w:rsidR="002075FB" w:rsidRDefault="002075FB" w:rsidP="002075FB">
      <w:pPr>
        <w:spacing w:after="0"/>
        <w:rPr>
          <w:rFonts w:ascii="Times New Roman" w:hAnsi="Times New Roman" w:cs="Times New Roman"/>
          <w:b/>
        </w:rPr>
      </w:pPr>
      <w:r w:rsidRPr="00596935">
        <w:rPr>
          <w:rFonts w:ascii="Times New Roman" w:hAnsi="Times New Roman" w:cs="Times New Roman"/>
          <w:b/>
          <w:u w:val="single"/>
        </w:rPr>
        <w:t>Key Recommendation</w:t>
      </w:r>
      <w:r w:rsidRPr="00C526AC">
        <w:rPr>
          <w:rFonts w:ascii="Times New Roman" w:hAnsi="Times New Roman" w:cs="Times New Roman"/>
          <w:b/>
        </w:rPr>
        <w:t xml:space="preserve">: The Treaty should require that States establish national ‘good governance and conflict of interest mitigation’ legislation that aims to </w:t>
      </w:r>
      <w:r>
        <w:rPr>
          <w:rFonts w:ascii="Times New Roman" w:hAnsi="Times New Roman" w:cs="Times New Roman"/>
          <w:b/>
        </w:rPr>
        <w:t>ensure</w:t>
      </w:r>
      <w:r w:rsidRPr="00C526AC">
        <w:rPr>
          <w:rFonts w:ascii="Times New Roman" w:hAnsi="Times New Roman" w:cs="Times New Roman"/>
          <w:b/>
        </w:rPr>
        <w:t xml:space="preserve"> appropriate separation between </w:t>
      </w:r>
      <w:r>
        <w:rPr>
          <w:rFonts w:ascii="Times New Roman" w:hAnsi="Times New Roman" w:cs="Times New Roman"/>
          <w:b/>
        </w:rPr>
        <w:t>TNC-OBE</w:t>
      </w:r>
      <w:r w:rsidRPr="00C526AC">
        <w:rPr>
          <w:rFonts w:ascii="Times New Roman" w:hAnsi="Times New Roman" w:cs="Times New Roman"/>
          <w:b/>
        </w:rPr>
        <w:t xml:space="preserve"> and State, </w:t>
      </w:r>
      <w:r w:rsidRPr="00C526AC">
        <w:rPr>
          <w:rFonts w:ascii="Times New Roman" w:eastAsia="Times New Roman" w:hAnsi="Times New Roman" w:cs="Times New Roman"/>
          <w:b/>
        </w:rPr>
        <w:t xml:space="preserve">and require measures including but not limited to: </w:t>
      </w:r>
    </w:p>
    <w:p w:rsidR="002075FB" w:rsidRPr="00C526AC" w:rsidRDefault="002075FB" w:rsidP="002075FB">
      <w:pPr>
        <w:spacing w:after="0"/>
        <w:rPr>
          <w:rFonts w:ascii="Times New Roman" w:hAnsi="Times New Roman" w:cs="Times New Roman"/>
          <w:b/>
        </w:rPr>
      </w:pPr>
    </w:p>
    <w:p w:rsidR="002075FB" w:rsidRPr="00C526AC" w:rsidRDefault="002075FB" w:rsidP="002075FB">
      <w:pPr>
        <w:pStyle w:val="ListParagraph"/>
        <w:numPr>
          <w:ilvl w:val="0"/>
          <w:numId w:val="3"/>
        </w:numPr>
        <w:spacing w:after="0"/>
        <w:ind w:left="540" w:hanging="540"/>
        <w:rPr>
          <w:rFonts w:ascii="Times New Roman" w:hAnsi="Times New Roman" w:cs="Times New Roman"/>
          <w:b/>
        </w:rPr>
      </w:pPr>
      <w:r>
        <w:rPr>
          <w:rFonts w:ascii="Times New Roman" w:hAnsi="Times New Roman" w:cs="Times New Roman"/>
          <w:b/>
        </w:rPr>
        <w:t>Ensuring that a</w:t>
      </w:r>
      <w:r w:rsidRPr="00C526AC">
        <w:rPr>
          <w:rFonts w:ascii="Times New Roman" w:hAnsi="Times New Roman" w:cs="Times New Roman"/>
          <w:b/>
        </w:rPr>
        <w:t xml:space="preserve">ll States agencies and </w:t>
      </w:r>
      <w:r>
        <w:rPr>
          <w:rFonts w:ascii="Times New Roman" w:hAnsi="Times New Roman" w:cs="Times New Roman"/>
          <w:b/>
        </w:rPr>
        <w:t>TNC-OBE</w:t>
      </w:r>
      <w:r w:rsidRPr="00C526AC">
        <w:rPr>
          <w:rFonts w:ascii="Times New Roman" w:hAnsi="Times New Roman" w:cs="Times New Roman"/>
          <w:b/>
        </w:rPr>
        <w:t xml:space="preserve">s </w:t>
      </w:r>
      <w:r>
        <w:rPr>
          <w:rFonts w:ascii="Times New Roman" w:hAnsi="Times New Roman" w:cs="Times New Roman"/>
          <w:b/>
        </w:rPr>
        <w:t>are</w:t>
      </w:r>
      <w:r w:rsidRPr="00C526AC">
        <w:rPr>
          <w:rFonts w:ascii="Times New Roman" w:hAnsi="Times New Roman" w:cs="Times New Roman"/>
          <w:b/>
        </w:rPr>
        <w:t xml:space="preserve"> transparent and accountable in all dealings, including </w:t>
      </w:r>
      <w:r>
        <w:rPr>
          <w:rFonts w:ascii="Times New Roman" w:hAnsi="Times New Roman" w:cs="Times New Roman"/>
          <w:b/>
        </w:rPr>
        <w:t xml:space="preserve">regarding </w:t>
      </w:r>
      <w:r w:rsidRPr="005C2B00">
        <w:rPr>
          <w:rFonts w:ascii="Times New Roman" w:hAnsi="Times New Roman" w:cs="Times New Roman"/>
          <w:b/>
        </w:rPr>
        <w:t xml:space="preserve">public access to information and participation, as detailed in Recommendation 2.5 </w:t>
      </w:r>
      <w:r w:rsidR="000A3348">
        <w:rPr>
          <w:rFonts w:ascii="Times New Roman" w:hAnsi="Times New Roman" w:cs="Times New Roman"/>
          <w:b/>
        </w:rPr>
        <w:t>(in our second submission)</w:t>
      </w:r>
      <w:r w:rsidRPr="005C2B00">
        <w:rPr>
          <w:rFonts w:ascii="Times New Roman" w:hAnsi="Times New Roman" w:cs="Times New Roman"/>
          <w:b/>
        </w:rPr>
        <w:t>;</w:t>
      </w:r>
      <w:r w:rsidRPr="00C526AC">
        <w:rPr>
          <w:rFonts w:ascii="Times New Roman" w:hAnsi="Times New Roman" w:cs="Times New Roman"/>
          <w:b/>
        </w:rPr>
        <w:t xml:space="preserve"> </w:t>
      </w:r>
    </w:p>
    <w:p w:rsidR="002075FB" w:rsidRPr="00C526AC" w:rsidRDefault="002075FB" w:rsidP="002075FB">
      <w:pPr>
        <w:pStyle w:val="ListParagraph"/>
        <w:numPr>
          <w:ilvl w:val="0"/>
          <w:numId w:val="3"/>
        </w:numPr>
        <w:spacing w:after="0"/>
        <w:ind w:left="540" w:hanging="540"/>
        <w:rPr>
          <w:rFonts w:ascii="Times New Roman" w:hAnsi="Times New Roman" w:cs="Times New Roman"/>
          <w:b/>
        </w:rPr>
      </w:pPr>
      <w:r>
        <w:rPr>
          <w:rFonts w:ascii="Times New Roman" w:hAnsi="Times New Roman" w:cs="Times New Roman"/>
          <w:b/>
        </w:rPr>
        <w:t>Ensuring that a</w:t>
      </w:r>
      <w:r w:rsidRPr="00C526AC">
        <w:rPr>
          <w:rFonts w:ascii="Times New Roman" w:hAnsi="Times New Roman" w:cs="Times New Roman"/>
          <w:b/>
        </w:rPr>
        <w:t xml:space="preserve">ll State decision-making processes concerning the establishment and implementation of legislation or policy, or administrative or judicial oversight, must be independent where engagement with </w:t>
      </w:r>
      <w:r>
        <w:rPr>
          <w:rFonts w:ascii="Times New Roman" w:hAnsi="Times New Roman" w:cs="Times New Roman"/>
          <w:b/>
        </w:rPr>
        <w:t>TNC-OBE</w:t>
      </w:r>
      <w:r w:rsidRPr="00C526AC">
        <w:rPr>
          <w:rFonts w:ascii="Times New Roman" w:hAnsi="Times New Roman" w:cs="Times New Roman"/>
          <w:b/>
        </w:rPr>
        <w:t xml:space="preserve"> or their representatives would give rise to a conflict of interest; </w:t>
      </w:r>
    </w:p>
    <w:p w:rsidR="002075FB" w:rsidRPr="00C526AC" w:rsidRDefault="002075FB" w:rsidP="002075FB">
      <w:pPr>
        <w:pStyle w:val="ListParagraph"/>
        <w:numPr>
          <w:ilvl w:val="0"/>
          <w:numId w:val="3"/>
        </w:numPr>
        <w:spacing w:after="0"/>
        <w:ind w:left="540" w:hanging="540"/>
        <w:rPr>
          <w:rFonts w:ascii="Times New Roman" w:hAnsi="Times New Roman" w:cs="Times New Roman"/>
          <w:b/>
        </w:rPr>
      </w:pPr>
      <w:r>
        <w:rPr>
          <w:rFonts w:ascii="Times New Roman" w:hAnsi="Times New Roman" w:cs="Times New Roman"/>
          <w:b/>
        </w:rPr>
        <w:t>I</w:t>
      </w:r>
      <w:r w:rsidRPr="00C526AC">
        <w:rPr>
          <w:rFonts w:ascii="Times New Roman" w:hAnsi="Times New Roman" w:cs="Times New Roman"/>
          <w:b/>
        </w:rPr>
        <w:t xml:space="preserve">nstituting “revolving door” bans covering employment between State agencies and </w:t>
      </w:r>
      <w:r>
        <w:rPr>
          <w:rFonts w:ascii="Times New Roman" w:hAnsi="Times New Roman" w:cs="Times New Roman"/>
          <w:b/>
        </w:rPr>
        <w:t>TNC-OBE</w:t>
      </w:r>
      <w:r w:rsidRPr="00C526AC">
        <w:rPr>
          <w:rFonts w:ascii="Times New Roman" w:hAnsi="Times New Roman" w:cs="Times New Roman"/>
          <w:b/>
        </w:rPr>
        <w:t>, and vice versa</w:t>
      </w:r>
      <w:r>
        <w:rPr>
          <w:rFonts w:ascii="Times New Roman" w:hAnsi="Times New Roman" w:cs="Times New Roman"/>
          <w:b/>
        </w:rPr>
        <w:t>; and</w:t>
      </w:r>
    </w:p>
    <w:p w:rsidR="002075FB" w:rsidRPr="00C526AC" w:rsidRDefault="002075FB" w:rsidP="002075FB">
      <w:pPr>
        <w:pStyle w:val="ListParagraph"/>
        <w:numPr>
          <w:ilvl w:val="0"/>
          <w:numId w:val="3"/>
        </w:numPr>
        <w:spacing w:after="0"/>
        <w:ind w:left="540" w:hanging="540"/>
        <w:rPr>
          <w:rFonts w:ascii="Times New Roman" w:hAnsi="Times New Roman" w:cs="Times New Roman"/>
          <w:b/>
        </w:rPr>
      </w:pPr>
      <w:r>
        <w:rPr>
          <w:rFonts w:ascii="Times New Roman" w:hAnsi="Times New Roman" w:cs="Times New Roman"/>
          <w:b/>
        </w:rPr>
        <w:t>P</w:t>
      </w:r>
      <w:r w:rsidRPr="00C526AC">
        <w:rPr>
          <w:rFonts w:ascii="Times New Roman" w:hAnsi="Times New Roman" w:cs="Times New Roman"/>
          <w:b/>
        </w:rPr>
        <w:t>rohibit</w:t>
      </w:r>
      <w:r>
        <w:rPr>
          <w:rFonts w:ascii="Times New Roman" w:hAnsi="Times New Roman" w:cs="Times New Roman"/>
          <w:b/>
        </w:rPr>
        <w:t>ing</w:t>
      </w:r>
      <w:r w:rsidRPr="00C526AC">
        <w:rPr>
          <w:rFonts w:ascii="Times New Roman" w:hAnsi="Times New Roman" w:cs="Times New Roman"/>
          <w:b/>
        </w:rPr>
        <w:t xml:space="preserve"> the use by </w:t>
      </w:r>
      <w:r>
        <w:rPr>
          <w:rFonts w:ascii="Times New Roman" w:hAnsi="Times New Roman" w:cs="Times New Roman"/>
          <w:b/>
        </w:rPr>
        <w:t>TNC-OBE</w:t>
      </w:r>
      <w:r w:rsidRPr="00C526AC">
        <w:rPr>
          <w:rFonts w:ascii="Times New Roman" w:hAnsi="Times New Roman" w:cs="Times New Roman"/>
          <w:b/>
        </w:rPr>
        <w:t xml:space="preserve"> of State public security personnel and/or armed forces, either through employment or inducement.</w:t>
      </w:r>
    </w:p>
    <w:p w:rsidR="002075FB" w:rsidRDefault="002075FB" w:rsidP="002075FB">
      <w:pPr>
        <w:spacing w:after="0"/>
        <w:rPr>
          <w:rFonts w:ascii="Times New Roman" w:hAnsi="Times New Roman" w:cs="Times New Roman"/>
          <w:b/>
          <w:i/>
        </w:rPr>
      </w:pPr>
    </w:p>
    <w:p w:rsidR="002075FB" w:rsidRDefault="002075FB" w:rsidP="002075FB">
      <w:pPr>
        <w:spacing w:after="0"/>
        <w:rPr>
          <w:rFonts w:ascii="Times New Roman" w:hAnsi="Times New Roman" w:cs="Times New Roman"/>
          <w:b/>
          <w:i/>
        </w:rPr>
      </w:pPr>
    </w:p>
    <w:p w:rsidR="002075FB" w:rsidRDefault="002075FB" w:rsidP="002075FB">
      <w:pPr>
        <w:spacing w:after="0"/>
        <w:ind w:left="720" w:hanging="720"/>
      </w:pPr>
      <w:r>
        <w:rPr>
          <w:rFonts w:ascii="Times New Roman" w:hAnsi="Times New Roman" w:cs="Times New Roman"/>
          <w:b/>
        </w:rPr>
        <w:t>2.10.</w:t>
      </w:r>
      <w:r>
        <w:rPr>
          <w:rFonts w:ascii="Times New Roman" w:hAnsi="Times New Roman" w:cs="Times New Roman"/>
          <w:b/>
        </w:rPr>
        <w:tab/>
      </w:r>
      <w:r w:rsidRPr="00AF27BF">
        <w:rPr>
          <w:rFonts w:ascii="Times New Roman" w:hAnsi="Times New Roman" w:cs="Times New Roman"/>
          <w:b/>
          <w:u w:val="single"/>
        </w:rPr>
        <w:t>Gender</w:t>
      </w:r>
    </w:p>
    <w:p w:rsidR="002075FB" w:rsidRPr="00AF27BF" w:rsidRDefault="002075FB" w:rsidP="002075FB">
      <w:pPr>
        <w:pStyle w:val="ListParagraph"/>
        <w:spacing w:after="0"/>
        <w:ind w:left="540"/>
        <w:rPr>
          <w:rFonts w:ascii="Times New Roman" w:hAnsi="Times New Roman" w:cs="Times New Roman"/>
          <w:i/>
          <w:u w:val="single"/>
        </w:rPr>
      </w:pPr>
    </w:p>
    <w:p w:rsidR="002075FB" w:rsidRDefault="002075FB" w:rsidP="002075FB">
      <w:pPr>
        <w:spacing w:after="0"/>
        <w:rPr>
          <w:rFonts w:ascii="Times New Roman" w:hAnsi="Times New Roman" w:cs="Times New Roman"/>
        </w:rPr>
      </w:pPr>
      <w:r w:rsidRPr="00AF27BF">
        <w:rPr>
          <w:rFonts w:ascii="Times New Roman" w:hAnsi="Times New Roman" w:cs="Times New Roman"/>
        </w:rPr>
        <w:t xml:space="preserve">The </w:t>
      </w:r>
      <w:r>
        <w:rPr>
          <w:rFonts w:ascii="Times New Roman" w:hAnsi="Times New Roman" w:cs="Times New Roman"/>
        </w:rPr>
        <w:t>abuse of women’s human rights by TNC-OBE</w:t>
      </w:r>
      <w:r w:rsidRPr="00AF27BF">
        <w:rPr>
          <w:rFonts w:ascii="Times New Roman" w:hAnsi="Times New Roman" w:cs="Times New Roman"/>
        </w:rPr>
        <w:t xml:space="preserve"> </w:t>
      </w:r>
      <w:r>
        <w:rPr>
          <w:rFonts w:ascii="Times New Roman" w:hAnsi="Times New Roman" w:cs="Times New Roman"/>
        </w:rPr>
        <w:t>is</w:t>
      </w:r>
      <w:r w:rsidRPr="00AF27BF">
        <w:rPr>
          <w:rFonts w:ascii="Times New Roman" w:hAnsi="Times New Roman" w:cs="Times New Roman"/>
        </w:rPr>
        <w:t xml:space="preserve"> particularly pronounced</w:t>
      </w:r>
      <w:r>
        <w:rPr>
          <w:rFonts w:ascii="Times New Roman" w:hAnsi="Times New Roman" w:cs="Times New Roman"/>
        </w:rPr>
        <w:t xml:space="preserve"> for women employed by TNC-OBE, and women in society who experience the impacts of TNC-OBE activities</w:t>
      </w:r>
      <w:r w:rsidRPr="00AF27BF">
        <w:rPr>
          <w:rFonts w:ascii="Times New Roman" w:hAnsi="Times New Roman" w:cs="Times New Roman"/>
        </w:rPr>
        <w:t xml:space="preserve">. In all regions, women are disproportionately represented in the most insecure, unsafe, lowest-paying and unstable forms of employment available </w:t>
      </w:r>
      <w:r>
        <w:rPr>
          <w:rFonts w:ascii="Times New Roman" w:hAnsi="Times New Roman" w:cs="Times New Roman"/>
        </w:rPr>
        <w:t>TNC-OBE</w:t>
      </w:r>
      <w:r w:rsidRPr="00AF27BF">
        <w:rPr>
          <w:rFonts w:ascii="Times New Roman" w:hAnsi="Times New Roman" w:cs="Times New Roman"/>
        </w:rPr>
        <w:t>,</w:t>
      </w:r>
      <w:r>
        <w:rPr>
          <w:rFonts w:ascii="Times New Roman" w:hAnsi="Times New Roman" w:cs="Times New Roman"/>
        </w:rPr>
        <w:t xml:space="preserve"> their subsidiaries and partners in their supply chains,</w:t>
      </w:r>
      <w:r w:rsidRPr="00AF27BF">
        <w:rPr>
          <w:rFonts w:ascii="Times New Roman" w:hAnsi="Times New Roman" w:cs="Times New Roman"/>
        </w:rPr>
        <w:t xml:space="preserve"> especially in the informal sectors of the economy. </w:t>
      </w:r>
      <w:r>
        <w:rPr>
          <w:rFonts w:ascii="Times New Roman" w:hAnsi="Times New Roman" w:cs="Times New Roman"/>
        </w:rPr>
        <w:t>Informal workers, unrecognized</w:t>
      </w:r>
      <w:r>
        <w:t xml:space="preserve"> </w:t>
      </w:r>
      <w:r w:rsidRPr="00263A02">
        <w:rPr>
          <w:rFonts w:ascii="Times New Roman" w:hAnsi="Times New Roman" w:cs="Times New Roman"/>
        </w:rPr>
        <w:t xml:space="preserve">under national labor </w:t>
      </w:r>
      <w:r w:rsidRPr="009C2DD7">
        <w:rPr>
          <w:rFonts w:ascii="Times New Roman" w:hAnsi="Times New Roman" w:cs="Times New Roman"/>
        </w:rPr>
        <w:t>legislation, la</w:t>
      </w:r>
      <w:r>
        <w:rPr>
          <w:rFonts w:ascii="Times New Roman" w:hAnsi="Times New Roman" w:cs="Times New Roman"/>
        </w:rPr>
        <w:t xml:space="preserve">ck basic labor protection and enjoyment of work-related human rights. </w:t>
      </w:r>
      <w:r w:rsidRPr="00AF27BF">
        <w:rPr>
          <w:rFonts w:ascii="Times New Roman" w:hAnsi="Times New Roman" w:cs="Times New Roman"/>
        </w:rPr>
        <w:t xml:space="preserve">In formal ‘white collar’ sectors, employment opportunities offered by </w:t>
      </w:r>
      <w:r>
        <w:rPr>
          <w:rFonts w:ascii="Times New Roman" w:hAnsi="Times New Roman" w:cs="Times New Roman"/>
        </w:rPr>
        <w:t>TNC-OBE</w:t>
      </w:r>
      <w:r w:rsidRPr="00AF27BF">
        <w:rPr>
          <w:rFonts w:ascii="Times New Roman" w:hAnsi="Times New Roman" w:cs="Times New Roman"/>
        </w:rPr>
        <w:t xml:space="preserve"> ordinarily pay more to men and provide greater opportunities for advancement for men, which contributes to the entrenchment of gender inequalities linked to access to resources within the household</w:t>
      </w:r>
      <w:r>
        <w:rPr>
          <w:rFonts w:ascii="Times New Roman" w:hAnsi="Times New Roman" w:cs="Times New Roman"/>
        </w:rPr>
        <w:t>,</w:t>
      </w:r>
      <w:r w:rsidRPr="00AF27BF">
        <w:rPr>
          <w:rFonts w:ascii="Times New Roman" w:hAnsi="Times New Roman" w:cs="Times New Roman"/>
        </w:rPr>
        <w:t xml:space="preserve"> and broader social and economic agency within society.</w:t>
      </w:r>
      <w:r>
        <w:rPr>
          <w:rFonts w:ascii="Times New Roman" w:hAnsi="Times New Roman" w:cs="Times New Roman"/>
        </w:rPr>
        <w:t xml:space="preserve"> </w:t>
      </w:r>
    </w:p>
    <w:p w:rsidR="002075FB" w:rsidRDefault="002075FB" w:rsidP="002075FB">
      <w:pPr>
        <w:spacing w:after="0"/>
        <w:rPr>
          <w:rFonts w:ascii="Times New Roman" w:hAnsi="Times New Roman" w:cs="Times New Roman"/>
        </w:rPr>
      </w:pPr>
    </w:p>
    <w:p w:rsidR="002075FB" w:rsidRDefault="002075FB" w:rsidP="002075FB">
      <w:pPr>
        <w:spacing w:after="0"/>
        <w:rPr>
          <w:rFonts w:ascii="Times New Roman" w:eastAsia="Times" w:hAnsi="Times New Roman" w:cs="Times New Roman"/>
        </w:rPr>
      </w:pPr>
      <w:r w:rsidRPr="00AF27BF">
        <w:rPr>
          <w:rFonts w:ascii="Times New Roman" w:hAnsi="Times New Roman" w:cs="Times New Roman"/>
        </w:rPr>
        <w:t xml:space="preserve">The negative impacts of the operations of </w:t>
      </w:r>
      <w:r>
        <w:rPr>
          <w:rFonts w:ascii="Times New Roman" w:hAnsi="Times New Roman" w:cs="Times New Roman"/>
        </w:rPr>
        <w:t>TNC-OBE</w:t>
      </w:r>
      <w:r w:rsidRPr="00AF27BF">
        <w:rPr>
          <w:rFonts w:ascii="Times New Roman" w:hAnsi="Times New Roman" w:cs="Times New Roman"/>
        </w:rPr>
        <w:t xml:space="preserve"> are compounded for marginalized sectors of women in society, particularly indigenous women, especially in industries focused on exploiting natural resources such as large-scale energy, forestry and mining, as well as </w:t>
      </w:r>
      <w:r>
        <w:rPr>
          <w:rFonts w:ascii="Times New Roman" w:hAnsi="Times New Roman" w:cs="Times New Roman"/>
        </w:rPr>
        <w:t xml:space="preserve">agroindustry and </w:t>
      </w:r>
      <w:r w:rsidRPr="00AF27BF">
        <w:rPr>
          <w:rFonts w:ascii="Times New Roman" w:hAnsi="Times New Roman" w:cs="Times New Roman"/>
        </w:rPr>
        <w:t xml:space="preserve">garment manufacturing.   </w:t>
      </w:r>
      <w:r>
        <w:rPr>
          <w:rFonts w:ascii="Times New Roman" w:hAnsi="Times New Roman" w:cs="Times New Roman"/>
        </w:rPr>
        <w:t>Again, t</w:t>
      </w:r>
      <w:r w:rsidRPr="00AF27BF">
        <w:rPr>
          <w:rFonts w:ascii="Times New Roman" w:hAnsi="Times New Roman" w:cs="Times New Roman"/>
        </w:rPr>
        <w:t xml:space="preserve">he forms of employment that are made available by these sectors </w:t>
      </w:r>
      <w:r w:rsidRPr="00AF27BF">
        <w:rPr>
          <w:rFonts w:ascii="Times New Roman" w:eastAsia="Times" w:hAnsi="Times New Roman" w:cs="Times New Roman"/>
        </w:rPr>
        <w:t xml:space="preserve">are far more likely to be in the informal sector, where labor conditions, compared to jobs available to men, are less safe, </w:t>
      </w:r>
      <w:r>
        <w:rPr>
          <w:rFonts w:ascii="Times New Roman" w:eastAsia="Times" w:hAnsi="Times New Roman" w:cs="Times New Roman"/>
        </w:rPr>
        <w:t xml:space="preserve">with lower or </w:t>
      </w:r>
      <w:r>
        <w:rPr>
          <w:rFonts w:ascii="Times New Roman" w:eastAsia="Times" w:hAnsi="Times New Roman" w:cs="Times New Roman"/>
        </w:rPr>
        <w:lastRenderedPageBreak/>
        <w:t xml:space="preserve">inconsistent </w:t>
      </w:r>
      <w:r w:rsidRPr="00AF27BF">
        <w:rPr>
          <w:rFonts w:ascii="Times New Roman" w:eastAsia="Times" w:hAnsi="Times New Roman" w:cs="Times New Roman"/>
        </w:rPr>
        <w:t xml:space="preserve">wages, </w:t>
      </w:r>
      <w:r>
        <w:rPr>
          <w:rFonts w:ascii="Times New Roman" w:eastAsia="Times" w:hAnsi="Times New Roman" w:cs="Times New Roman"/>
        </w:rPr>
        <w:t xml:space="preserve">shorter-term </w:t>
      </w:r>
      <w:r w:rsidRPr="00AF27BF">
        <w:rPr>
          <w:rFonts w:ascii="Times New Roman" w:eastAsia="Times" w:hAnsi="Times New Roman" w:cs="Times New Roman"/>
        </w:rPr>
        <w:t xml:space="preserve">employment status, </w:t>
      </w:r>
      <w:r>
        <w:rPr>
          <w:rFonts w:ascii="Times New Roman" w:eastAsia="Times" w:hAnsi="Times New Roman" w:cs="Times New Roman"/>
        </w:rPr>
        <w:t xml:space="preserve">and </w:t>
      </w:r>
      <w:r w:rsidRPr="00AF27BF">
        <w:rPr>
          <w:rFonts w:ascii="Times New Roman" w:eastAsia="Times" w:hAnsi="Times New Roman" w:cs="Times New Roman"/>
        </w:rPr>
        <w:t xml:space="preserve">irregular work hours.  </w:t>
      </w:r>
      <w:r>
        <w:rPr>
          <w:rFonts w:ascii="Times New Roman" w:eastAsia="Times" w:hAnsi="Times New Roman" w:cs="Times New Roman"/>
        </w:rPr>
        <w:t xml:space="preserve">Women employed in these sectors are also particularly vulnerable to harassment, physical abuse, including sexual violence, in their workplace, and/or traveling to and from work, especially in conflict and post-conflict environments. </w:t>
      </w:r>
    </w:p>
    <w:p w:rsidR="002075FB" w:rsidRDefault="002075FB" w:rsidP="002075FB">
      <w:pPr>
        <w:spacing w:after="0"/>
        <w:rPr>
          <w:rFonts w:ascii="Times New Roman" w:eastAsia="Times" w:hAnsi="Times New Roman" w:cs="Times New Roman"/>
        </w:rPr>
      </w:pPr>
    </w:p>
    <w:p w:rsidR="002075FB" w:rsidRPr="00AF27BF" w:rsidRDefault="002075FB" w:rsidP="002075FB">
      <w:pPr>
        <w:spacing w:after="0"/>
        <w:rPr>
          <w:rFonts w:ascii="Times New Roman" w:eastAsia="Times" w:hAnsi="Times New Roman" w:cs="Times New Roman"/>
        </w:rPr>
      </w:pPr>
      <w:r w:rsidRPr="00AF27BF">
        <w:rPr>
          <w:rFonts w:ascii="Times New Roman" w:eastAsia="Times" w:hAnsi="Times New Roman" w:cs="Times New Roman"/>
        </w:rPr>
        <w:t xml:space="preserve">The impact of the operations of </w:t>
      </w:r>
      <w:r>
        <w:rPr>
          <w:rFonts w:ascii="Times New Roman" w:eastAsia="Times" w:hAnsi="Times New Roman" w:cs="Times New Roman"/>
        </w:rPr>
        <w:t>TNC-OBE</w:t>
      </w:r>
      <w:r w:rsidRPr="00AF27BF">
        <w:rPr>
          <w:rFonts w:ascii="Times New Roman" w:eastAsia="Times" w:hAnsi="Times New Roman" w:cs="Times New Roman"/>
        </w:rPr>
        <w:t xml:space="preserve"> </w:t>
      </w:r>
      <w:r>
        <w:rPr>
          <w:rFonts w:ascii="Times New Roman" w:eastAsia="Times" w:hAnsi="Times New Roman" w:cs="Times New Roman"/>
        </w:rPr>
        <w:t xml:space="preserve">activity </w:t>
      </w:r>
      <w:r w:rsidRPr="00AF27BF">
        <w:rPr>
          <w:rFonts w:ascii="Times New Roman" w:eastAsia="Times" w:hAnsi="Times New Roman" w:cs="Times New Roman"/>
        </w:rPr>
        <w:t xml:space="preserve">on </w:t>
      </w:r>
      <w:r>
        <w:rPr>
          <w:rFonts w:ascii="Times New Roman" w:eastAsia="Times" w:hAnsi="Times New Roman" w:cs="Times New Roman"/>
        </w:rPr>
        <w:t>the enjoyment of human rights by</w:t>
      </w:r>
      <w:r w:rsidRPr="00AF27BF">
        <w:rPr>
          <w:rFonts w:ascii="Times New Roman" w:eastAsia="Times" w:hAnsi="Times New Roman" w:cs="Times New Roman"/>
        </w:rPr>
        <w:t xml:space="preserve"> indigenous women, as well as small farmers—</w:t>
      </w:r>
      <w:r>
        <w:rPr>
          <w:rFonts w:ascii="Times New Roman" w:eastAsia="Times" w:hAnsi="Times New Roman" w:cs="Times New Roman"/>
        </w:rPr>
        <w:t xml:space="preserve"> </w:t>
      </w:r>
      <w:r w:rsidRPr="00AF27BF">
        <w:rPr>
          <w:rFonts w:ascii="Times New Roman" w:eastAsia="Times" w:hAnsi="Times New Roman" w:cs="Times New Roman"/>
        </w:rPr>
        <w:t>a majority of whom are women, living directly in connection with local land, forest and water sources</w:t>
      </w:r>
      <w:r>
        <w:rPr>
          <w:rFonts w:ascii="Times New Roman" w:eastAsia="Times" w:hAnsi="Times New Roman" w:cs="Times New Roman"/>
        </w:rPr>
        <w:t>,</w:t>
      </w:r>
      <w:r w:rsidRPr="00AF27BF">
        <w:rPr>
          <w:rFonts w:ascii="Times New Roman" w:eastAsia="Times" w:hAnsi="Times New Roman" w:cs="Times New Roman"/>
        </w:rPr>
        <w:t xml:space="preserve"> are </w:t>
      </w:r>
      <w:r>
        <w:rPr>
          <w:rFonts w:ascii="Times New Roman" w:eastAsia="Times" w:hAnsi="Times New Roman" w:cs="Times New Roman"/>
        </w:rPr>
        <w:t>often</w:t>
      </w:r>
      <w:r w:rsidRPr="00AF27BF">
        <w:rPr>
          <w:rFonts w:ascii="Times New Roman" w:eastAsia="Times" w:hAnsi="Times New Roman" w:cs="Times New Roman"/>
        </w:rPr>
        <w:t xml:space="preserve"> particularly </w:t>
      </w:r>
      <w:r>
        <w:rPr>
          <w:rFonts w:ascii="Times New Roman" w:eastAsia="Times" w:hAnsi="Times New Roman" w:cs="Times New Roman"/>
        </w:rPr>
        <w:t>severe</w:t>
      </w:r>
      <w:r w:rsidRPr="00AF27BF">
        <w:rPr>
          <w:rFonts w:ascii="Times New Roman" w:eastAsia="Times" w:hAnsi="Times New Roman" w:cs="Times New Roman"/>
        </w:rPr>
        <w:t xml:space="preserve">. In many communities, </w:t>
      </w:r>
      <w:r>
        <w:rPr>
          <w:rFonts w:ascii="Times New Roman" w:eastAsia="Times" w:hAnsi="Times New Roman" w:cs="Times New Roman"/>
        </w:rPr>
        <w:t>socially constructed gender roles mean that</w:t>
      </w:r>
      <w:r w:rsidRPr="00AF27BF">
        <w:rPr>
          <w:rFonts w:ascii="Times New Roman" w:eastAsia="Times" w:hAnsi="Times New Roman" w:cs="Times New Roman"/>
        </w:rPr>
        <w:t xml:space="preserve"> women are responsible for securing access to water and other basic needs, bear a disproportionate responsibility for care of children and other family members, and are more likely to experience a greater loss of livelihood and social status in the case of loss of access to land, forests and other forms of natural resources. </w:t>
      </w:r>
      <w:r w:rsidRPr="00263A02">
        <w:rPr>
          <w:rFonts w:ascii="Times New Roman" w:eastAsia="Times New Roman" w:hAnsi="Times New Roman" w:cs="Times New Roman"/>
        </w:rPr>
        <w:t xml:space="preserve">Moreover, </w:t>
      </w:r>
      <w:r>
        <w:rPr>
          <w:rFonts w:ascii="Times New Roman" w:eastAsia="Times New Roman" w:hAnsi="Times New Roman" w:cs="Times New Roman"/>
        </w:rPr>
        <w:t xml:space="preserve">corporate activities that result in land confiscation, displacement, or environmental damage often go hand in hand with increasing vulnerability of women and children to violence, forced labor and trafficking.  At the level of corporate projects, TNC-OBE that attempt to engage with communities, for example by informing them of their operations, or offering compensation for losses or damages, tend to meet with mostly or only men, such as with male village elders or perceived heads of households. </w:t>
      </w:r>
      <w:r>
        <w:rPr>
          <w:rFonts w:ascii="Times New Roman" w:eastAsia="Times" w:hAnsi="Times New Roman" w:cs="Times New Roman"/>
        </w:rPr>
        <w:t xml:space="preserve">The use of military or (private) security forces by TNC-OBE and/or States in connection with TNC-OBE activity is associated with </w:t>
      </w:r>
      <w:r w:rsidRPr="00596935">
        <w:rPr>
          <w:rFonts w:ascii="Times New Roman" w:eastAsia="Times" w:hAnsi="Times New Roman" w:cs="Times New Roman"/>
        </w:rPr>
        <w:t>gender-based violence</w:t>
      </w:r>
      <w:r>
        <w:rPr>
          <w:rFonts w:ascii="Times New Roman" w:eastAsia="Times" w:hAnsi="Times New Roman" w:cs="Times New Roman"/>
        </w:rPr>
        <w:t>,</w:t>
      </w:r>
      <w:r w:rsidRPr="00596935">
        <w:rPr>
          <w:rFonts w:ascii="Times New Roman" w:eastAsia="Times" w:hAnsi="Times New Roman" w:cs="Times New Roman"/>
        </w:rPr>
        <w:t xml:space="preserve"> including sexual violence</w:t>
      </w:r>
      <w:r>
        <w:rPr>
          <w:rFonts w:ascii="Times New Roman" w:eastAsia="Times" w:hAnsi="Times New Roman" w:cs="Times New Roman"/>
        </w:rPr>
        <w:t>,</w:t>
      </w:r>
      <w:r w:rsidRPr="00596935">
        <w:rPr>
          <w:rFonts w:ascii="Times New Roman" w:eastAsia="Times" w:hAnsi="Times New Roman" w:cs="Times New Roman"/>
        </w:rPr>
        <w:t xml:space="preserve"> </w:t>
      </w:r>
      <w:r>
        <w:rPr>
          <w:rFonts w:ascii="Times New Roman" w:eastAsia="Times" w:hAnsi="Times New Roman" w:cs="Times New Roman"/>
        </w:rPr>
        <w:t xml:space="preserve">as retaliation against </w:t>
      </w:r>
      <w:r w:rsidRPr="00596935">
        <w:rPr>
          <w:rFonts w:ascii="Times New Roman" w:eastAsia="Times" w:hAnsi="Times New Roman" w:cs="Times New Roman"/>
        </w:rPr>
        <w:t>women human rights defenders</w:t>
      </w:r>
      <w:r>
        <w:rPr>
          <w:rFonts w:ascii="Times New Roman" w:eastAsia="Times" w:hAnsi="Times New Roman" w:cs="Times New Roman"/>
        </w:rPr>
        <w:t>.</w:t>
      </w:r>
      <w:r w:rsidRPr="00596935">
        <w:rPr>
          <w:rFonts w:ascii="Times New Roman" w:eastAsia="Times" w:hAnsi="Times New Roman" w:cs="Times New Roman"/>
        </w:rPr>
        <w:t xml:space="preserve"> </w:t>
      </w:r>
    </w:p>
    <w:p w:rsidR="002075FB" w:rsidRPr="00AF27BF" w:rsidRDefault="002075FB" w:rsidP="002075FB">
      <w:pPr>
        <w:spacing w:after="0"/>
        <w:rPr>
          <w:rFonts w:ascii="Times New Roman" w:eastAsia="Times" w:hAnsi="Times New Roman" w:cs="Times New Roman"/>
        </w:rPr>
      </w:pPr>
    </w:p>
    <w:p w:rsidR="002075FB" w:rsidRPr="00AF27BF" w:rsidRDefault="002075FB" w:rsidP="002075FB">
      <w:pPr>
        <w:spacing w:after="0"/>
        <w:rPr>
          <w:rFonts w:ascii="Times New Roman" w:hAnsi="Times New Roman" w:cs="Times New Roman"/>
        </w:rPr>
      </w:pPr>
      <w:r w:rsidRPr="00AF27BF">
        <w:rPr>
          <w:rFonts w:ascii="Times New Roman" w:eastAsia="Times" w:hAnsi="Times New Roman" w:cs="Times New Roman"/>
        </w:rPr>
        <w:t>The existing system of international human rights law is well developed in the area of women’s human rights</w:t>
      </w:r>
      <w:r>
        <w:rPr>
          <w:rFonts w:ascii="Times New Roman" w:eastAsia="Times" w:hAnsi="Times New Roman" w:cs="Times New Roman"/>
        </w:rPr>
        <w:t>;</w:t>
      </w:r>
      <w:r w:rsidRPr="00AF27BF">
        <w:rPr>
          <w:rFonts w:ascii="Times New Roman" w:eastAsia="Times" w:hAnsi="Times New Roman" w:cs="Times New Roman"/>
        </w:rPr>
        <w:t xml:space="preserve"> however</w:t>
      </w:r>
      <w:r>
        <w:rPr>
          <w:rFonts w:ascii="Times New Roman" w:eastAsia="Times" w:hAnsi="Times New Roman" w:cs="Times New Roman"/>
        </w:rPr>
        <w:t>,</w:t>
      </w:r>
      <w:r w:rsidRPr="00AF27BF">
        <w:rPr>
          <w:rFonts w:ascii="Times New Roman" w:eastAsia="Times" w:hAnsi="Times New Roman" w:cs="Times New Roman"/>
        </w:rPr>
        <w:t xml:space="preserve"> </w:t>
      </w:r>
      <w:r w:rsidRPr="00AF27BF">
        <w:rPr>
          <w:rFonts w:ascii="Times New Roman" w:hAnsi="Times New Roman" w:cs="Times New Roman"/>
        </w:rPr>
        <w:t xml:space="preserve">these instruments are not articulated to explicitly address the impacts of </w:t>
      </w:r>
      <w:r>
        <w:rPr>
          <w:rFonts w:ascii="Times New Roman" w:hAnsi="Times New Roman" w:cs="Times New Roman"/>
        </w:rPr>
        <w:t>TNC-OBE</w:t>
      </w:r>
      <w:r w:rsidRPr="00AF27BF">
        <w:rPr>
          <w:rFonts w:ascii="Times New Roman" w:hAnsi="Times New Roman" w:cs="Times New Roman"/>
        </w:rPr>
        <w:t xml:space="preserve">.  </w:t>
      </w:r>
    </w:p>
    <w:p w:rsidR="002075FB" w:rsidRPr="00AF27BF" w:rsidRDefault="002075FB" w:rsidP="002075FB">
      <w:pPr>
        <w:spacing w:after="0"/>
        <w:rPr>
          <w:rFonts w:ascii="Times New Roman" w:hAnsi="Times New Roman" w:cs="Times New Roman"/>
        </w:rPr>
      </w:pPr>
    </w:p>
    <w:p w:rsidR="002075FB" w:rsidRPr="00C526AC" w:rsidRDefault="002075FB" w:rsidP="002075FB">
      <w:pPr>
        <w:spacing w:after="0"/>
        <w:rPr>
          <w:rFonts w:ascii="Times New Roman" w:eastAsia="Times New Roman" w:hAnsi="Times New Roman" w:cs="Times New Roman"/>
          <w:b/>
        </w:rPr>
      </w:pPr>
      <w:r w:rsidRPr="00596935">
        <w:rPr>
          <w:rFonts w:ascii="Times New Roman" w:eastAsia="Times New Roman" w:hAnsi="Times New Roman" w:cs="Times New Roman"/>
          <w:b/>
          <w:u w:val="single"/>
        </w:rPr>
        <w:t>Key Recommendation</w:t>
      </w:r>
      <w:r w:rsidRPr="00C526AC">
        <w:rPr>
          <w:rFonts w:ascii="Times New Roman" w:eastAsia="Times New Roman" w:hAnsi="Times New Roman" w:cs="Times New Roman"/>
          <w:b/>
        </w:rPr>
        <w:t xml:space="preserve">: The Treaty should explicitly reaffirm the human rights of women in the context of </w:t>
      </w:r>
      <w:r>
        <w:rPr>
          <w:rFonts w:ascii="Times New Roman" w:eastAsia="Times New Roman" w:hAnsi="Times New Roman" w:cs="Times New Roman"/>
          <w:b/>
        </w:rPr>
        <w:t>TNC-OBE</w:t>
      </w:r>
      <w:r w:rsidRPr="00C526AC">
        <w:rPr>
          <w:rFonts w:ascii="Times New Roman" w:eastAsia="Times New Roman" w:hAnsi="Times New Roman" w:cs="Times New Roman"/>
          <w:b/>
        </w:rPr>
        <w:t xml:space="preserve"> activity and require States to take concrete, targeted measures including but not limited to: </w:t>
      </w:r>
    </w:p>
    <w:p w:rsidR="002075FB" w:rsidRPr="00C526AC" w:rsidRDefault="002075FB" w:rsidP="002075FB">
      <w:pPr>
        <w:pStyle w:val="ListParagraph"/>
        <w:spacing w:after="0"/>
        <w:rPr>
          <w:rFonts w:ascii="Times New Roman" w:hAnsi="Times New Roman" w:cs="Times New Roman"/>
          <w:b/>
        </w:rPr>
      </w:pPr>
    </w:p>
    <w:p w:rsidR="002075FB" w:rsidRPr="00C526AC" w:rsidRDefault="002075FB" w:rsidP="002075FB">
      <w:pPr>
        <w:pStyle w:val="ListParagraph"/>
        <w:numPr>
          <w:ilvl w:val="1"/>
          <w:numId w:val="5"/>
        </w:numPr>
        <w:spacing w:after="0"/>
        <w:ind w:left="540" w:hanging="540"/>
        <w:rPr>
          <w:rFonts w:ascii="Times New Roman" w:hAnsi="Times New Roman" w:cs="Times New Roman"/>
          <w:b/>
        </w:rPr>
      </w:pPr>
      <w:r>
        <w:rPr>
          <w:rFonts w:ascii="Times New Roman" w:hAnsi="Times New Roman" w:cs="Times New Roman"/>
          <w:b/>
        </w:rPr>
        <w:t>F</w:t>
      </w:r>
      <w:r w:rsidRPr="00C526AC">
        <w:rPr>
          <w:rFonts w:ascii="Times New Roman" w:hAnsi="Times New Roman" w:cs="Times New Roman"/>
          <w:b/>
        </w:rPr>
        <w:t xml:space="preserve">ull </w:t>
      </w:r>
      <w:r w:rsidRPr="00596935">
        <w:rPr>
          <w:rFonts w:ascii="Times New Roman" w:hAnsi="Times New Roman" w:cs="Times New Roman"/>
          <w:b/>
        </w:rPr>
        <w:t xml:space="preserve">legal prohibition against all forms of discrimination against women (including gender-based violence) in relation to all </w:t>
      </w:r>
      <w:r>
        <w:rPr>
          <w:rFonts w:ascii="Times New Roman" w:hAnsi="Times New Roman" w:cs="Times New Roman"/>
          <w:b/>
        </w:rPr>
        <w:t>TNC-OBE</w:t>
      </w:r>
      <w:r w:rsidRPr="00596935">
        <w:rPr>
          <w:rFonts w:ascii="Times New Roman" w:hAnsi="Times New Roman" w:cs="Times New Roman"/>
          <w:b/>
        </w:rPr>
        <w:t xml:space="preserve"> activity</w:t>
      </w:r>
      <w:r w:rsidRPr="00C526AC">
        <w:rPr>
          <w:rFonts w:ascii="Times New Roman" w:hAnsi="Times New Roman" w:cs="Times New Roman"/>
          <w:b/>
        </w:rPr>
        <w:t xml:space="preserve"> (for example, </w:t>
      </w:r>
      <w:r w:rsidRPr="00596935">
        <w:rPr>
          <w:rFonts w:ascii="Times New Roman" w:hAnsi="Times New Roman" w:cs="Times New Roman"/>
          <w:b/>
        </w:rPr>
        <w:t>employment practices, establishing a safe working environment, and remuneration</w:t>
      </w:r>
      <w:r w:rsidRPr="00C526AC">
        <w:rPr>
          <w:rFonts w:ascii="Times New Roman" w:hAnsi="Times New Roman" w:cs="Times New Roman"/>
          <w:b/>
        </w:rPr>
        <w:t>)</w:t>
      </w:r>
      <w:r w:rsidRPr="00596935">
        <w:rPr>
          <w:rFonts w:ascii="Times New Roman" w:eastAsia="Times New Roman" w:hAnsi="Times New Roman" w:cs="Times New Roman"/>
          <w:b/>
        </w:rPr>
        <w:t xml:space="preserve"> in accordance with the provisions of international human rights instruments, including but not limited to CEDAW, ICESCR, and ILO conventions</w:t>
      </w:r>
      <w:r w:rsidRPr="00596935">
        <w:rPr>
          <w:rFonts w:ascii="Times New Roman" w:hAnsi="Times New Roman" w:cs="Times New Roman"/>
          <w:b/>
        </w:rPr>
        <w:t xml:space="preserve">; </w:t>
      </w:r>
    </w:p>
    <w:p w:rsidR="002075FB" w:rsidRPr="00C526AC" w:rsidRDefault="002075FB" w:rsidP="002075FB">
      <w:pPr>
        <w:pStyle w:val="ListParagraph"/>
        <w:numPr>
          <w:ilvl w:val="1"/>
          <w:numId w:val="5"/>
        </w:numPr>
        <w:spacing w:after="0"/>
        <w:ind w:left="540" w:hanging="540"/>
        <w:rPr>
          <w:rFonts w:ascii="Times New Roman" w:hAnsi="Times New Roman" w:cs="Times New Roman"/>
          <w:b/>
        </w:rPr>
      </w:pPr>
      <w:r>
        <w:rPr>
          <w:rFonts w:ascii="Times New Roman" w:hAnsi="Times New Roman" w:cs="Times New Roman"/>
          <w:b/>
        </w:rPr>
        <w:t>All appropriate</w:t>
      </w:r>
      <w:r w:rsidRPr="00596935">
        <w:rPr>
          <w:rFonts w:ascii="Times New Roman" w:eastAsia="Times New Roman" w:hAnsi="Times New Roman" w:cs="Times New Roman"/>
          <w:b/>
        </w:rPr>
        <w:t xml:space="preserve"> measures to </w:t>
      </w:r>
      <w:r>
        <w:rPr>
          <w:rFonts w:ascii="Times New Roman" w:eastAsia="Times New Roman" w:hAnsi="Times New Roman" w:cs="Times New Roman"/>
          <w:b/>
        </w:rPr>
        <w:t xml:space="preserve">ensure enjoyment of human rights and the </w:t>
      </w:r>
      <w:r w:rsidRPr="00596935">
        <w:rPr>
          <w:rFonts w:ascii="Times New Roman" w:eastAsia="Times New Roman" w:hAnsi="Times New Roman" w:cs="Times New Roman"/>
          <w:b/>
        </w:rPr>
        <w:t>maint</w:t>
      </w:r>
      <w:r>
        <w:rPr>
          <w:rFonts w:ascii="Times New Roman" w:eastAsia="Times New Roman" w:hAnsi="Times New Roman" w:cs="Times New Roman"/>
          <w:b/>
        </w:rPr>
        <w:t>enance of</w:t>
      </w:r>
      <w:r w:rsidRPr="00596935">
        <w:rPr>
          <w:rFonts w:ascii="Times New Roman" w:eastAsia="Times New Roman" w:hAnsi="Times New Roman" w:cs="Times New Roman"/>
          <w:b/>
        </w:rPr>
        <w:t xml:space="preserve"> a safe environment for women</w:t>
      </w:r>
      <w:r w:rsidRPr="00C526AC">
        <w:rPr>
          <w:rFonts w:ascii="Times New Roman" w:eastAsia="Times New Roman" w:hAnsi="Times New Roman" w:cs="Times New Roman"/>
          <w:b/>
        </w:rPr>
        <w:t xml:space="preserve"> in connection with </w:t>
      </w:r>
      <w:r>
        <w:rPr>
          <w:rFonts w:ascii="Times New Roman" w:eastAsia="Times New Roman" w:hAnsi="Times New Roman" w:cs="Times New Roman"/>
          <w:b/>
        </w:rPr>
        <w:t>TNC-OBE</w:t>
      </w:r>
      <w:r w:rsidRPr="00596935">
        <w:rPr>
          <w:rFonts w:ascii="Times New Roman" w:eastAsia="Times New Roman" w:hAnsi="Times New Roman" w:cs="Times New Roman"/>
          <w:b/>
        </w:rPr>
        <w:t xml:space="preserve"> activit</w:t>
      </w:r>
      <w:r w:rsidRPr="00C526AC">
        <w:rPr>
          <w:rFonts w:ascii="Times New Roman" w:eastAsia="Times New Roman" w:hAnsi="Times New Roman" w:cs="Times New Roman"/>
          <w:b/>
        </w:rPr>
        <w:t>y</w:t>
      </w:r>
      <w:r w:rsidRPr="00596935">
        <w:rPr>
          <w:rFonts w:ascii="Times New Roman" w:eastAsia="Times New Roman" w:hAnsi="Times New Roman" w:cs="Times New Roman"/>
          <w:b/>
        </w:rPr>
        <w:t xml:space="preserve">, and to prevent forced labor, forced migration, trafficking </w:t>
      </w:r>
      <w:r>
        <w:rPr>
          <w:rFonts w:ascii="Times New Roman" w:eastAsia="Times New Roman" w:hAnsi="Times New Roman" w:cs="Times New Roman"/>
          <w:b/>
        </w:rPr>
        <w:t>and</w:t>
      </w:r>
      <w:r w:rsidRPr="00596935">
        <w:rPr>
          <w:rFonts w:ascii="Times New Roman" w:eastAsia="Times New Roman" w:hAnsi="Times New Roman" w:cs="Times New Roman"/>
          <w:b/>
        </w:rPr>
        <w:t xml:space="preserve"> violence </w:t>
      </w:r>
      <w:r w:rsidRPr="00C526AC">
        <w:rPr>
          <w:rFonts w:ascii="Times New Roman" w:eastAsia="Times New Roman" w:hAnsi="Times New Roman" w:cs="Times New Roman"/>
          <w:b/>
        </w:rPr>
        <w:t>against</w:t>
      </w:r>
      <w:r w:rsidRPr="00596935">
        <w:rPr>
          <w:rFonts w:ascii="Times New Roman" w:eastAsia="Times New Roman" w:hAnsi="Times New Roman" w:cs="Times New Roman"/>
          <w:b/>
        </w:rPr>
        <w:t xml:space="preserve"> women</w:t>
      </w:r>
      <w:r w:rsidRPr="00C526AC">
        <w:rPr>
          <w:rFonts w:ascii="Times New Roman" w:eastAsia="Times New Roman" w:hAnsi="Times New Roman" w:cs="Times New Roman"/>
          <w:b/>
        </w:rPr>
        <w:t xml:space="preserve">; </w:t>
      </w:r>
    </w:p>
    <w:p w:rsidR="002075FB" w:rsidRDefault="002075FB" w:rsidP="002075FB">
      <w:pPr>
        <w:pStyle w:val="ListParagraph"/>
        <w:numPr>
          <w:ilvl w:val="1"/>
          <w:numId w:val="5"/>
        </w:numPr>
        <w:spacing w:after="0"/>
        <w:ind w:left="540" w:hanging="540"/>
        <w:rPr>
          <w:rFonts w:ascii="Times New Roman" w:hAnsi="Times New Roman" w:cs="Times New Roman"/>
          <w:b/>
        </w:rPr>
      </w:pPr>
      <w:r>
        <w:rPr>
          <w:rFonts w:ascii="Times New Roman" w:eastAsia="Times New Roman" w:hAnsi="Times New Roman" w:cs="Times New Roman"/>
          <w:b/>
        </w:rPr>
        <w:t>E</w:t>
      </w:r>
      <w:r w:rsidRPr="00596935">
        <w:rPr>
          <w:rFonts w:ascii="Times New Roman" w:eastAsia="Times New Roman" w:hAnsi="Times New Roman" w:cs="Times New Roman"/>
          <w:b/>
        </w:rPr>
        <w:t>nsuring the right</w:t>
      </w:r>
      <w:r w:rsidRPr="00596935">
        <w:rPr>
          <w:rFonts w:ascii="Times New Roman" w:eastAsia="Times New Roman" w:hAnsi="Times New Roman" w:cs="Times New Roman"/>
          <w:b/>
          <w:spacing w:val="-2"/>
        </w:rPr>
        <w:t xml:space="preserve"> </w:t>
      </w:r>
      <w:r w:rsidRPr="00596935">
        <w:rPr>
          <w:rFonts w:ascii="Times New Roman" w:eastAsia="Times New Roman" w:hAnsi="Times New Roman" w:cs="Times New Roman"/>
          <w:b/>
          <w:spacing w:val="1"/>
        </w:rPr>
        <w:t>t</w:t>
      </w:r>
      <w:r w:rsidRPr="00596935">
        <w:rPr>
          <w:rFonts w:ascii="Times New Roman" w:eastAsia="Times New Roman" w:hAnsi="Times New Roman" w:cs="Times New Roman"/>
          <w:b/>
        </w:rPr>
        <w:t xml:space="preserve">o </w:t>
      </w:r>
      <w:r w:rsidRPr="00596935">
        <w:rPr>
          <w:rFonts w:ascii="Times New Roman" w:eastAsia="Times New Roman" w:hAnsi="Times New Roman" w:cs="Times New Roman"/>
          <w:b/>
          <w:spacing w:val="-2"/>
        </w:rPr>
        <w:t>e</w:t>
      </w:r>
      <w:r w:rsidRPr="00596935">
        <w:rPr>
          <w:rFonts w:ascii="Times New Roman" w:eastAsia="Times New Roman" w:hAnsi="Times New Roman" w:cs="Times New Roman"/>
          <w:b/>
          <w:spacing w:val="1"/>
        </w:rPr>
        <w:t>f</w:t>
      </w:r>
      <w:r w:rsidRPr="00596935">
        <w:rPr>
          <w:rFonts w:ascii="Times New Roman" w:eastAsia="Times New Roman" w:hAnsi="Times New Roman" w:cs="Times New Roman"/>
          <w:b/>
          <w:spacing w:val="-2"/>
        </w:rPr>
        <w:t>fe</w:t>
      </w:r>
      <w:r w:rsidRPr="00596935">
        <w:rPr>
          <w:rFonts w:ascii="Times New Roman" w:eastAsia="Times New Roman" w:hAnsi="Times New Roman" w:cs="Times New Roman"/>
          <w:b/>
        </w:rPr>
        <w:t>c</w:t>
      </w:r>
      <w:r w:rsidRPr="00596935">
        <w:rPr>
          <w:rFonts w:ascii="Times New Roman" w:eastAsia="Times New Roman" w:hAnsi="Times New Roman" w:cs="Times New Roman"/>
          <w:b/>
          <w:spacing w:val="1"/>
        </w:rPr>
        <w:t>ti</w:t>
      </w:r>
      <w:r w:rsidRPr="00596935">
        <w:rPr>
          <w:rFonts w:ascii="Times New Roman" w:eastAsia="Times New Roman" w:hAnsi="Times New Roman" w:cs="Times New Roman"/>
          <w:b/>
          <w:spacing w:val="-2"/>
        </w:rPr>
        <w:t>v</w:t>
      </w:r>
      <w:r w:rsidRPr="00596935">
        <w:rPr>
          <w:rFonts w:ascii="Times New Roman" w:eastAsia="Times New Roman" w:hAnsi="Times New Roman" w:cs="Times New Roman"/>
          <w:b/>
        </w:rPr>
        <w:t xml:space="preserve">e </w:t>
      </w:r>
      <w:r w:rsidRPr="00596935">
        <w:rPr>
          <w:rFonts w:ascii="Times New Roman" w:eastAsia="Times New Roman" w:hAnsi="Times New Roman" w:cs="Times New Roman"/>
          <w:b/>
          <w:spacing w:val="-1"/>
        </w:rPr>
        <w:t>r</w:t>
      </w:r>
      <w:r w:rsidRPr="00596935">
        <w:rPr>
          <w:rFonts w:ascii="Times New Roman" w:eastAsia="Times New Roman" w:hAnsi="Times New Roman" w:cs="Times New Roman"/>
          <w:b/>
        </w:rPr>
        <w:t>e</w:t>
      </w:r>
      <w:r w:rsidRPr="00596935">
        <w:rPr>
          <w:rFonts w:ascii="Times New Roman" w:eastAsia="Times New Roman" w:hAnsi="Times New Roman" w:cs="Times New Roman"/>
          <w:b/>
          <w:spacing w:val="-3"/>
        </w:rPr>
        <w:t>m</w:t>
      </w:r>
      <w:r w:rsidRPr="00596935">
        <w:rPr>
          <w:rFonts w:ascii="Times New Roman" w:eastAsia="Times New Roman" w:hAnsi="Times New Roman" w:cs="Times New Roman"/>
          <w:b/>
        </w:rPr>
        <w:t>edy</w:t>
      </w:r>
      <w:r w:rsidRPr="00596935">
        <w:rPr>
          <w:rFonts w:ascii="Times New Roman" w:eastAsia="Times New Roman" w:hAnsi="Times New Roman" w:cs="Times New Roman"/>
          <w:b/>
          <w:spacing w:val="-2"/>
        </w:rPr>
        <w:t xml:space="preserve"> as </w:t>
      </w:r>
      <w:r>
        <w:rPr>
          <w:rFonts w:ascii="Times New Roman" w:eastAsia="Times New Roman" w:hAnsi="Times New Roman" w:cs="Times New Roman"/>
          <w:b/>
          <w:spacing w:val="-2"/>
        </w:rPr>
        <w:t>detailed</w:t>
      </w:r>
      <w:r w:rsidRPr="00596935">
        <w:rPr>
          <w:rFonts w:ascii="Times New Roman" w:eastAsia="Times New Roman" w:hAnsi="Times New Roman" w:cs="Times New Roman"/>
          <w:b/>
          <w:spacing w:val="-2"/>
        </w:rPr>
        <w:t xml:space="preserve"> in </w:t>
      </w:r>
      <w:r w:rsidRPr="000F6869">
        <w:rPr>
          <w:rFonts w:ascii="Times New Roman" w:eastAsia="Times New Roman" w:hAnsi="Times New Roman" w:cs="Times New Roman"/>
          <w:b/>
          <w:spacing w:val="-2"/>
        </w:rPr>
        <w:t>Recommendation</w:t>
      </w:r>
      <w:r w:rsidRPr="005C2B00">
        <w:rPr>
          <w:rFonts w:ascii="Times New Roman" w:eastAsia="Times New Roman" w:hAnsi="Times New Roman" w:cs="Times New Roman"/>
          <w:b/>
          <w:spacing w:val="-2"/>
        </w:rPr>
        <w:t xml:space="preserve"> 2.7 </w:t>
      </w:r>
      <w:r w:rsidR="000A3348">
        <w:rPr>
          <w:rFonts w:ascii="Times New Roman" w:eastAsia="Times New Roman" w:hAnsi="Times New Roman" w:cs="Times New Roman"/>
          <w:b/>
          <w:spacing w:val="-2"/>
        </w:rPr>
        <w:t>(in our third submission)</w:t>
      </w:r>
      <w:r>
        <w:rPr>
          <w:rFonts w:ascii="Times New Roman" w:eastAsia="Times New Roman" w:hAnsi="Times New Roman" w:cs="Times New Roman"/>
          <w:b/>
          <w:spacing w:val="-2"/>
        </w:rPr>
        <w:t>,</w:t>
      </w:r>
      <w:r w:rsidRPr="00596935">
        <w:rPr>
          <w:rFonts w:ascii="Times New Roman" w:eastAsia="Times New Roman" w:hAnsi="Times New Roman" w:cs="Times New Roman"/>
          <w:b/>
          <w:spacing w:val="-2"/>
        </w:rPr>
        <w:t xml:space="preserve"> </w:t>
      </w:r>
      <w:r w:rsidRPr="00596935">
        <w:rPr>
          <w:rFonts w:ascii="Times New Roman" w:eastAsia="Times New Roman" w:hAnsi="Times New Roman" w:cs="Times New Roman"/>
          <w:b/>
          <w:spacing w:val="1"/>
        </w:rPr>
        <w:t>f</w:t>
      </w:r>
      <w:r w:rsidRPr="00596935">
        <w:rPr>
          <w:rFonts w:ascii="Times New Roman" w:eastAsia="Times New Roman" w:hAnsi="Times New Roman" w:cs="Times New Roman"/>
          <w:b/>
        </w:rPr>
        <w:t xml:space="preserve">or </w:t>
      </w:r>
      <w:r w:rsidRPr="00C526AC">
        <w:rPr>
          <w:rFonts w:ascii="Times New Roman" w:hAnsi="Times New Roman" w:cs="Times New Roman"/>
          <w:b/>
        </w:rPr>
        <w:t xml:space="preserve">women whose human rights have been impaired by </w:t>
      </w:r>
      <w:r>
        <w:rPr>
          <w:rFonts w:ascii="Times New Roman" w:hAnsi="Times New Roman" w:cs="Times New Roman"/>
          <w:b/>
        </w:rPr>
        <w:t>TNC-OBE</w:t>
      </w:r>
      <w:r w:rsidRPr="00C526AC">
        <w:rPr>
          <w:rFonts w:ascii="Times New Roman" w:hAnsi="Times New Roman" w:cs="Times New Roman"/>
          <w:b/>
        </w:rPr>
        <w:t xml:space="preserve"> activity, </w:t>
      </w:r>
      <w:r>
        <w:rPr>
          <w:rFonts w:ascii="Times New Roman" w:hAnsi="Times New Roman" w:cs="Times New Roman"/>
          <w:b/>
        </w:rPr>
        <w:t xml:space="preserve">with particular attention to women who have experience </w:t>
      </w:r>
      <w:r w:rsidRPr="00C526AC">
        <w:rPr>
          <w:rFonts w:ascii="Times New Roman" w:hAnsi="Times New Roman" w:cs="Times New Roman"/>
          <w:b/>
        </w:rPr>
        <w:t>of gender-based violence</w:t>
      </w:r>
      <w:r>
        <w:rPr>
          <w:rFonts w:ascii="Times New Roman" w:hAnsi="Times New Roman" w:cs="Times New Roman"/>
          <w:b/>
        </w:rPr>
        <w:t>,</w:t>
      </w:r>
      <w:r w:rsidRPr="00C526AC">
        <w:rPr>
          <w:rFonts w:ascii="Times New Roman" w:hAnsi="Times New Roman" w:cs="Times New Roman"/>
          <w:b/>
        </w:rPr>
        <w:t xml:space="preserve"> and attentive to the specific challenges some women can face in bringing legal action, particularly those marginalized and affected by intersectional discrimination</w:t>
      </w:r>
      <w:r>
        <w:rPr>
          <w:rFonts w:ascii="Times New Roman" w:hAnsi="Times New Roman" w:cs="Times New Roman"/>
          <w:b/>
        </w:rPr>
        <w:t>; and</w:t>
      </w:r>
    </w:p>
    <w:p w:rsidR="002075FB" w:rsidRPr="00C526AC" w:rsidRDefault="002075FB" w:rsidP="002075FB">
      <w:pPr>
        <w:pStyle w:val="ListParagraph"/>
        <w:numPr>
          <w:ilvl w:val="1"/>
          <w:numId w:val="5"/>
        </w:numPr>
        <w:spacing w:after="0"/>
        <w:ind w:left="540" w:hanging="540"/>
        <w:rPr>
          <w:rFonts w:ascii="Times New Roman" w:hAnsi="Times New Roman" w:cs="Times New Roman"/>
          <w:b/>
        </w:rPr>
      </w:pPr>
      <w:r>
        <w:rPr>
          <w:rFonts w:ascii="Times New Roman" w:eastAsia="Times New Roman" w:hAnsi="Times New Roman" w:cs="Times New Roman"/>
          <w:b/>
        </w:rPr>
        <w:t>T</w:t>
      </w:r>
      <w:r w:rsidRPr="00596935">
        <w:rPr>
          <w:rFonts w:ascii="Times New Roman" w:hAnsi="Times New Roman" w:cs="Times New Roman"/>
          <w:b/>
        </w:rPr>
        <w:t xml:space="preserve">he establishment of national legislation requiring </w:t>
      </w:r>
      <w:r w:rsidRPr="005C2B00">
        <w:rPr>
          <w:rFonts w:ascii="Times New Roman" w:hAnsi="Times New Roman" w:cs="Times New Roman"/>
          <w:b/>
        </w:rPr>
        <w:t xml:space="preserve">mandatory human rights due </w:t>
      </w:r>
      <w:bookmarkStart w:id="0" w:name="_GoBack"/>
      <w:r w:rsidRPr="005C2B00">
        <w:rPr>
          <w:rFonts w:ascii="Times New Roman" w:hAnsi="Times New Roman" w:cs="Times New Roman"/>
          <w:b/>
        </w:rPr>
        <w:t>diligence</w:t>
      </w:r>
      <w:bookmarkEnd w:id="0"/>
      <w:r w:rsidRPr="000F6869">
        <w:rPr>
          <w:rFonts w:ascii="Times New Roman" w:hAnsi="Times New Roman" w:cs="Times New Roman"/>
          <w:b/>
        </w:rPr>
        <w:t xml:space="preserve"> by TNC-OBE, as detailed in Recommendation </w:t>
      </w:r>
      <w:r w:rsidRPr="005C2B00">
        <w:rPr>
          <w:rFonts w:ascii="Times New Roman" w:hAnsi="Times New Roman" w:cs="Times New Roman"/>
          <w:b/>
        </w:rPr>
        <w:t xml:space="preserve">2.5(a) </w:t>
      </w:r>
      <w:r w:rsidR="000A3348">
        <w:rPr>
          <w:rFonts w:ascii="Times New Roman" w:hAnsi="Times New Roman" w:cs="Times New Roman"/>
          <w:b/>
        </w:rPr>
        <w:t>(in our second submission)</w:t>
      </w:r>
      <w:r w:rsidRPr="005C2B00">
        <w:rPr>
          <w:rFonts w:ascii="Times New Roman" w:hAnsi="Times New Roman" w:cs="Times New Roman"/>
          <w:b/>
        </w:rPr>
        <w:t xml:space="preserve">, </w:t>
      </w:r>
      <w:r w:rsidRPr="00596935">
        <w:rPr>
          <w:rFonts w:ascii="Times New Roman" w:hAnsi="Times New Roman" w:cs="Times New Roman"/>
          <w:b/>
        </w:rPr>
        <w:t xml:space="preserve">which </w:t>
      </w:r>
      <w:r>
        <w:rPr>
          <w:rFonts w:ascii="Times New Roman" w:hAnsi="Times New Roman" w:cs="Times New Roman"/>
          <w:b/>
        </w:rPr>
        <w:t>ensures</w:t>
      </w:r>
      <w:r w:rsidRPr="00C526AC">
        <w:rPr>
          <w:rFonts w:ascii="Times New Roman" w:hAnsi="Times New Roman" w:cs="Times New Roman"/>
          <w:b/>
        </w:rPr>
        <w:t xml:space="preserve"> the full and active participation of women</w:t>
      </w:r>
      <w:r>
        <w:rPr>
          <w:rFonts w:ascii="Times New Roman" w:hAnsi="Times New Roman" w:cs="Times New Roman"/>
          <w:b/>
        </w:rPr>
        <w:t xml:space="preserve">, </w:t>
      </w:r>
      <w:r w:rsidRPr="00C526AC">
        <w:rPr>
          <w:rFonts w:ascii="Times New Roman" w:hAnsi="Times New Roman" w:cs="Times New Roman"/>
          <w:b/>
        </w:rPr>
        <w:t>represented at least in equal proportions to men</w:t>
      </w:r>
      <w:r>
        <w:rPr>
          <w:rFonts w:ascii="Times New Roman" w:hAnsi="Times New Roman" w:cs="Times New Roman"/>
          <w:b/>
        </w:rPr>
        <w:t>,</w:t>
      </w:r>
      <w:r w:rsidRPr="00C526AC">
        <w:rPr>
          <w:rFonts w:ascii="Times New Roman" w:hAnsi="Times New Roman" w:cs="Times New Roman"/>
          <w:b/>
        </w:rPr>
        <w:t xml:space="preserve"> in any </w:t>
      </w:r>
      <w:r>
        <w:rPr>
          <w:rFonts w:ascii="Times New Roman" w:hAnsi="Times New Roman" w:cs="Times New Roman"/>
          <w:b/>
        </w:rPr>
        <w:t xml:space="preserve">relevant </w:t>
      </w:r>
      <w:r w:rsidRPr="00C526AC">
        <w:rPr>
          <w:rFonts w:ascii="Times New Roman" w:hAnsi="Times New Roman" w:cs="Times New Roman"/>
          <w:b/>
        </w:rPr>
        <w:t>consultation, decision</w:t>
      </w:r>
      <w:r w:rsidRPr="00C526AC">
        <w:rPr>
          <w:rFonts w:ascii="Times New Roman" w:eastAsia="Times New Roman" w:hAnsi="Times New Roman" w:cs="Times New Roman"/>
          <w:b/>
        </w:rPr>
        <w:t>-</w:t>
      </w:r>
      <w:r w:rsidRPr="00C526AC">
        <w:rPr>
          <w:rFonts w:ascii="Times New Roman" w:hAnsi="Times New Roman" w:cs="Times New Roman"/>
          <w:b/>
        </w:rPr>
        <w:t xml:space="preserve">making </w:t>
      </w:r>
      <w:r>
        <w:rPr>
          <w:rFonts w:ascii="Times New Roman" w:hAnsi="Times New Roman" w:cs="Times New Roman"/>
          <w:b/>
        </w:rPr>
        <w:t xml:space="preserve">and remedial processes. </w:t>
      </w:r>
    </w:p>
    <w:p w:rsidR="002075FB" w:rsidRDefault="002075FB" w:rsidP="002075FB">
      <w:pPr>
        <w:spacing w:after="0"/>
        <w:rPr>
          <w:rFonts w:ascii="Times New Roman" w:hAnsi="Times New Roman" w:cs="Times New Roman"/>
          <w:b/>
          <w:i/>
        </w:rPr>
      </w:pPr>
    </w:p>
    <w:p w:rsidR="002075FB" w:rsidRPr="00596935" w:rsidRDefault="002075FB" w:rsidP="002075FB">
      <w:pPr>
        <w:spacing w:after="0"/>
        <w:rPr>
          <w:rFonts w:ascii="Times New Roman" w:hAnsi="Times New Roman" w:cs="Times New Roman"/>
        </w:rPr>
      </w:pPr>
    </w:p>
    <w:p w:rsidR="002075FB" w:rsidRDefault="002075FB" w:rsidP="002075FB">
      <w:pPr>
        <w:pStyle w:val="ListParagraph"/>
        <w:spacing w:after="0"/>
        <w:rPr>
          <w:rFonts w:ascii="Times New Roman" w:hAnsi="Times New Roman" w:cs="Times New Roman"/>
          <w:b/>
          <w:u w:val="single"/>
        </w:rPr>
      </w:pPr>
    </w:p>
    <w:p w:rsidR="002075FB" w:rsidRDefault="002075FB" w:rsidP="002075FB">
      <w:pPr>
        <w:pStyle w:val="ListParagraph"/>
        <w:spacing w:after="0"/>
        <w:rPr>
          <w:rFonts w:ascii="Times New Roman" w:hAnsi="Times New Roman" w:cs="Times New Roman"/>
          <w:b/>
          <w:u w:val="single"/>
        </w:rPr>
      </w:pPr>
    </w:p>
    <w:p w:rsidR="002075FB" w:rsidRPr="00076AF5" w:rsidRDefault="002075FB" w:rsidP="002075FB">
      <w:pPr>
        <w:pStyle w:val="ListParagraph"/>
        <w:numPr>
          <w:ilvl w:val="1"/>
          <w:numId w:val="6"/>
        </w:numPr>
        <w:spacing w:after="0"/>
        <w:ind w:left="720" w:hanging="720"/>
        <w:rPr>
          <w:rFonts w:ascii="Times New Roman" w:hAnsi="Times New Roman" w:cs="Times New Roman"/>
          <w:b/>
          <w:u w:val="single"/>
        </w:rPr>
      </w:pPr>
      <w:r w:rsidRPr="00076AF5">
        <w:rPr>
          <w:rFonts w:ascii="Times New Roman" w:hAnsi="Times New Roman" w:cs="Times New Roman"/>
          <w:b/>
          <w:u w:val="single"/>
        </w:rPr>
        <w:lastRenderedPageBreak/>
        <w:t xml:space="preserve">The Rights of Indigenous Peoples </w:t>
      </w:r>
    </w:p>
    <w:p w:rsidR="002075FB" w:rsidRPr="00AF27BF" w:rsidRDefault="002075FB" w:rsidP="002075FB">
      <w:pPr>
        <w:spacing w:after="0"/>
        <w:rPr>
          <w:rFonts w:ascii="Times New Roman" w:hAnsi="Times New Roman" w:cs="Times New Roman"/>
        </w:rPr>
      </w:pPr>
    </w:p>
    <w:p w:rsidR="002075FB" w:rsidRPr="00AF27BF" w:rsidRDefault="002075FB" w:rsidP="002075FB">
      <w:pPr>
        <w:spacing w:after="0"/>
        <w:rPr>
          <w:rFonts w:ascii="Times New Roman" w:hAnsi="Times New Roman" w:cs="Times New Roman"/>
        </w:rPr>
      </w:pPr>
      <w:r w:rsidRPr="00AF27BF">
        <w:rPr>
          <w:rFonts w:ascii="Times New Roman" w:hAnsi="Times New Roman" w:cs="Times New Roman"/>
        </w:rPr>
        <w:t>Indigenous people</w:t>
      </w:r>
      <w:r>
        <w:rPr>
          <w:rFonts w:ascii="Times New Roman" w:hAnsi="Times New Roman" w:cs="Times New Roman"/>
        </w:rPr>
        <w:t>s</w:t>
      </w:r>
      <w:r w:rsidRPr="00AF27BF">
        <w:rPr>
          <w:rFonts w:ascii="Times New Roman" w:hAnsi="Times New Roman" w:cs="Times New Roman"/>
        </w:rPr>
        <w:t xml:space="preserve"> in all areas of the world remain among those most affected by human rights </w:t>
      </w:r>
      <w:r>
        <w:rPr>
          <w:rFonts w:ascii="Times New Roman" w:hAnsi="Times New Roman" w:cs="Times New Roman"/>
        </w:rPr>
        <w:t xml:space="preserve">abuses </w:t>
      </w:r>
      <w:r w:rsidRPr="00AF27BF">
        <w:rPr>
          <w:rFonts w:ascii="Times New Roman" w:hAnsi="Times New Roman" w:cs="Times New Roman"/>
        </w:rPr>
        <w:t xml:space="preserve">involving </w:t>
      </w:r>
      <w:r>
        <w:rPr>
          <w:rFonts w:ascii="Times New Roman" w:hAnsi="Times New Roman" w:cs="Times New Roman"/>
        </w:rPr>
        <w:t>TNC-OBE</w:t>
      </w:r>
      <w:r w:rsidRPr="00AF27BF">
        <w:rPr>
          <w:rFonts w:ascii="Times New Roman" w:hAnsi="Times New Roman" w:cs="Times New Roman"/>
        </w:rPr>
        <w:t>, with differing and disproportionate impact</w:t>
      </w:r>
      <w:r>
        <w:rPr>
          <w:rFonts w:ascii="Times New Roman" w:hAnsi="Times New Roman" w:cs="Times New Roman"/>
        </w:rPr>
        <w:t>s</w:t>
      </w:r>
      <w:r w:rsidRPr="00AF27BF">
        <w:rPr>
          <w:rFonts w:ascii="Times New Roman" w:hAnsi="Times New Roman" w:cs="Times New Roman"/>
        </w:rPr>
        <w:t xml:space="preserve"> often experienced by indigenous women, children and persons with disabilities. Certain industries have a particularly </w:t>
      </w:r>
      <w:r>
        <w:rPr>
          <w:rFonts w:ascii="Times New Roman" w:hAnsi="Times New Roman" w:cs="Times New Roman"/>
        </w:rPr>
        <w:t>significant</w:t>
      </w:r>
      <w:r w:rsidRPr="00AF27BF">
        <w:rPr>
          <w:rFonts w:ascii="Times New Roman" w:hAnsi="Times New Roman" w:cs="Times New Roman"/>
        </w:rPr>
        <w:t xml:space="preserve"> impact on the rights of indigenous people, including energy, </w:t>
      </w:r>
      <w:r>
        <w:rPr>
          <w:rFonts w:ascii="Times New Roman" w:hAnsi="Times New Roman" w:cs="Times New Roman"/>
        </w:rPr>
        <w:t xml:space="preserve">private water, </w:t>
      </w:r>
      <w:r w:rsidRPr="00AF27BF">
        <w:rPr>
          <w:rFonts w:ascii="Times New Roman" w:hAnsi="Times New Roman" w:cs="Times New Roman"/>
        </w:rPr>
        <w:t>agriculture, forestry, mining, fishing and other forms of natural resource extraction and investment</w:t>
      </w:r>
      <w:r>
        <w:rPr>
          <w:rFonts w:ascii="Times New Roman" w:hAnsi="Times New Roman" w:cs="Times New Roman"/>
        </w:rPr>
        <w:t xml:space="preserve"> that affected their land, and territories of traditional occupation</w:t>
      </w:r>
      <w:r>
        <w:rPr>
          <w:rFonts w:ascii="Times New Roman" w:hAnsi="Times New Roman"/>
        </w:rPr>
        <w:t xml:space="preserve">, as well as their national resources, including water, forests and wildlife. </w:t>
      </w:r>
      <w:r w:rsidRPr="00AF27BF">
        <w:rPr>
          <w:rFonts w:ascii="Times New Roman" w:hAnsi="Times New Roman" w:cs="Times New Roman"/>
        </w:rPr>
        <w:t>Such impact is often characterized by the interruption that investment in these industries has on the ability of indigenous people</w:t>
      </w:r>
      <w:r>
        <w:rPr>
          <w:rFonts w:ascii="Times New Roman" w:hAnsi="Times New Roman" w:cs="Times New Roman"/>
        </w:rPr>
        <w:t>s</w:t>
      </w:r>
      <w:r w:rsidRPr="00AF27BF">
        <w:rPr>
          <w:rFonts w:ascii="Times New Roman" w:hAnsi="Times New Roman" w:cs="Times New Roman"/>
        </w:rPr>
        <w:t xml:space="preserve"> to maintain control of the decisions concerning their way</w:t>
      </w:r>
      <w:r>
        <w:rPr>
          <w:rFonts w:ascii="Times New Roman" w:hAnsi="Times New Roman" w:cs="Times New Roman"/>
        </w:rPr>
        <w:t>s</w:t>
      </w:r>
      <w:r w:rsidRPr="00AF27BF">
        <w:rPr>
          <w:rFonts w:ascii="Times New Roman" w:hAnsi="Times New Roman" w:cs="Times New Roman"/>
        </w:rPr>
        <w:t xml:space="preserve"> of life and culture, which are often intrinsically linked to land, water and forest habitats. </w:t>
      </w:r>
    </w:p>
    <w:p w:rsidR="002075FB" w:rsidRPr="00AF27BF" w:rsidRDefault="002075FB" w:rsidP="002075FB">
      <w:pPr>
        <w:spacing w:after="0"/>
        <w:rPr>
          <w:rFonts w:ascii="Times New Roman" w:hAnsi="Times New Roman" w:cs="Times New Roman"/>
        </w:rPr>
      </w:pPr>
    </w:p>
    <w:p w:rsidR="002075FB" w:rsidRDefault="002075FB" w:rsidP="002075FB">
      <w:pPr>
        <w:spacing w:after="0"/>
        <w:rPr>
          <w:rFonts w:ascii="Times New Roman" w:hAnsi="Times New Roman"/>
        </w:rPr>
      </w:pPr>
      <w:r w:rsidRPr="00AF27BF">
        <w:rPr>
          <w:rFonts w:ascii="Times New Roman" w:hAnsi="Times New Roman" w:cs="Times New Roman"/>
        </w:rPr>
        <w:t>The rights of indigenous peoples are recogni</w:t>
      </w:r>
      <w:r>
        <w:rPr>
          <w:rFonts w:ascii="Times New Roman" w:hAnsi="Times New Roman" w:cs="Times New Roman"/>
        </w:rPr>
        <w:t>z</w:t>
      </w:r>
      <w:r w:rsidRPr="00AF27BF">
        <w:rPr>
          <w:rFonts w:ascii="Times New Roman" w:hAnsi="Times New Roman" w:cs="Times New Roman"/>
        </w:rPr>
        <w:t xml:space="preserve">ed in various international legal instruments. Of particular relevance to the </w:t>
      </w:r>
      <w:r>
        <w:rPr>
          <w:rFonts w:ascii="Times New Roman" w:hAnsi="Times New Roman" w:cs="Times New Roman"/>
        </w:rPr>
        <w:t>T</w:t>
      </w:r>
      <w:r w:rsidRPr="00AF27BF">
        <w:rPr>
          <w:rFonts w:ascii="Times New Roman" w:hAnsi="Times New Roman" w:cs="Times New Roman"/>
        </w:rPr>
        <w:t xml:space="preserve">reaty is the right </w:t>
      </w:r>
      <w:proofErr w:type="gramStart"/>
      <w:r w:rsidRPr="00AF27BF">
        <w:rPr>
          <w:rFonts w:ascii="Times New Roman" w:hAnsi="Times New Roman" w:cs="Times New Roman"/>
        </w:rPr>
        <w:t>to</w:t>
      </w:r>
      <w:proofErr w:type="gramEnd"/>
      <w:r w:rsidRPr="00AF27BF">
        <w:rPr>
          <w:rFonts w:ascii="Times New Roman" w:hAnsi="Times New Roman" w:cs="Times New Roman"/>
        </w:rPr>
        <w:t xml:space="preserve"> free, prior and informed consent (FPIC). Within the international legal sphere, FPIC is the most coherent legal acknowledgment of indigenous peoples’ legitimate decision-making authority over activities impacting their lives. This authority is characteri</w:t>
      </w:r>
      <w:r>
        <w:rPr>
          <w:rFonts w:ascii="Times New Roman" w:hAnsi="Times New Roman" w:cs="Times New Roman"/>
        </w:rPr>
        <w:t>z</w:t>
      </w:r>
      <w:r w:rsidRPr="00AF27BF">
        <w:rPr>
          <w:rFonts w:ascii="Times New Roman" w:hAnsi="Times New Roman" w:cs="Times New Roman"/>
        </w:rPr>
        <w:t>ed by the ability to approve or disapprove of activities on the land to which their peoples’ culture and identity is intrinsically bound. FPIC is derived from the legal right to self-determination which is recogni</w:t>
      </w:r>
      <w:r>
        <w:rPr>
          <w:rFonts w:ascii="Times New Roman" w:hAnsi="Times New Roman" w:cs="Times New Roman"/>
        </w:rPr>
        <w:t>z</w:t>
      </w:r>
      <w:r w:rsidRPr="00AF27BF">
        <w:rPr>
          <w:rFonts w:ascii="Times New Roman" w:hAnsi="Times New Roman" w:cs="Times New Roman"/>
        </w:rPr>
        <w:t>ed as part of customary international law and contained in various seminal international legal instruments, such as the Charter of the United Nations, the International Covenant on Civil and Political Rights</w:t>
      </w:r>
      <w:r>
        <w:rPr>
          <w:rFonts w:ascii="Times New Roman" w:hAnsi="Times New Roman" w:cs="Times New Roman"/>
        </w:rPr>
        <w:t>,</w:t>
      </w:r>
      <w:r w:rsidRPr="00AF27BF">
        <w:rPr>
          <w:rFonts w:ascii="Times New Roman" w:hAnsi="Times New Roman" w:cs="Times New Roman"/>
        </w:rPr>
        <w:t xml:space="preserve"> and the International Covenant on Economic Social and Cultural Rights.</w:t>
      </w:r>
      <w:r>
        <w:rPr>
          <w:rFonts w:ascii="Times New Roman" w:hAnsi="Times New Roman" w:cs="Times New Roman"/>
        </w:rPr>
        <w:t xml:space="preserve"> More recently, it has also been affirmed by </w:t>
      </w:r>
      <w:r>
        <w:rPr>
          <w:rFonts w:ascii="Times New Roman" w:hAnsi="Times New Roman"/>
        </w:rPr>
        <w:t xml:space="preserve">the </w:t>
      </w:r>
      <w:r w:rsidRPr="00596935">
        <w:rPr>
          <w:rFonts w:ascii="Times New Roman" w:hAnsi="Times New Roman"/>
        </w:rPr>
        <w:t>United National Declaration on the Rights of Indigenous Peoples</w:t>
      </w:r>
      <w:r>
        <w:rPr>
          <w:rFonts w:ascii="Times New Roman" w:hAnsi="Times New Roman"/>
        </w:rPr>
        <w:t xml:space="preserve"> (UN DRIP).  </w:t>
      </w:r>
    </w:p>
    <w:p w:rsidR="002075FB" w:rsidRDefault="002075FB" w:rsidP="002075FB">
      <w:pPr>
        <w:spacing w:after="0"/>
        <w:rPr>
          <w:rFonts w:ascii="Times New Roman" w:hAnsi="Times New Roman"/>
        </w:rPr>
      </w:pPr>
    </w:p>
    <w:p w:rsidR="002075FB" w:rsidRPr="00AF27BF" w:rsidRDefault="002075FB" w:rsidP="002075FB">
      <w:pPr>
        <w:spacing w:after="0"/>
        <w:rPr>
          <w:rFonts w:ascii="Times New Roman" w:hAnsi="Times New Roman" w:cs="Times New Roman"/>
        </w:rPr>
      </w:pPr>
      <w:r w:rsidRPr="00AF27BF">
        <w:rPr>
          <w:rFonts w:ascii="Times New Roman" w:hAnsi="Times New Roman" w:cs="Times New Roman"/>
        </w:rPr>
        <w:t xml:space="preserve">Further, </w:t>
      </w:r>
      <w:r w:rsidRPr="00AF27BF">
        <w:rPr>
          <w:rFonts w:ascii="Times New Roman" w:eastAsia="Times" w:hAnsi="Times New Roman" w:cs="Times New Roman"/>
        </w:rPr>
        <w:t>the Convention on the Elimination of All Forms of Racial Discrimination, ILO Convention 169 on the rights of indigenous and tribal people, and U</w:t>
      </w:r>
      <w:r>
        <w:rPr>
          <w:rFonts w:ascii="Times New Roman" w:eastAsia="Times" w:hAnsi="Times New Roman" w:cs="Times New Roman"/>
        </w:rPr>
        <w:t>N DRIP</w:t>
      </w:r>
      <w:r w:rsidRPr="00AF27BF">
        <w:rPr>
          <w:rFonts w:ascii="Times New Roman" w:eastAsia="Times" w:hAnsi="Times New Roman" w:cs="Times New Roman"/>
        </w:rPr>
        <w:t xml:space="preserve"> all </w:t>
      </w:r>
      <w:r>
        <w:rPr>
          <w:rFonts w:ascii="Times New Roman" w:eastAsia="Times" w:hAnsi="Times New Roman" w:cs="Times New Roman"/>
        </w:rPr>
        <w:t xml:space="preserve">implicitly or explicitly include broad recognition of </w:t>
      </w:r>
      <w:r w:rsidRPr="00AF27BF">
        <w:rPr>
          <w:rFonts w:ascii="Times New Roman" w:eastAsia="Times" w:hAnsi="Times New Roman" w:cs="Times New Roman"/>
        </w:rPr>
        <w:t>the human rights of indigenous people</w:t>
      </w:r>
      <w:r>
        <w:rPr>
          <w:rFonts w:ascii="Times New Roman" w:eastAsia="Times" w:hAnsi="Times New Roman" w:cs="Times New Roman"/>
        </w:rPr>
        <w:t>s</w:t>
      </w:r>
      <w:r w:rsidRPr="00AF27BF">
        <w:rPr>
          <w:rFonts w:ascii="Times New Roman" w:eastAsia="Times" w:hAnsi="Times New Roman" w:cs="Times New Roman"/>
        </w:rPr>
        <w:t xml:space="preserve">, including </w:t>
      </w:r>
      <w:r w:rsidRPr="00AF27BF">
        <w:rPr>
          <w:rFonts w:ascii="Times New Roman" w:hAnsi="Times New Roman" w:cs="Times New Roman"/>
        </w:rPr>
        <w:t>rights relating to consultation and participation.</w:t>
      </w:r>
      <w:r>
        <w:rPr>
          <w:rFonts w:ascii="Times New Roman" w:hAnsi="Times New Roman" w:cs="Times New Roman"/>
        </w:rPr>
        <w:t xml:space="preserve"> On a regional level, the Inter-American Court of Human Rights has also elaborated extensively on the content of FPIC on the basis of human rights law.  </w:t>
      </w:r>
    </w:p>
    <w:p w:rsidR="002075FB" w:rsidRPr="00AF27BF" w:rsidRDefault="002075FB" w:rsidP="002075FB">
      <w:pPr>
        <w:spacing w:after="0"/>
        <w:rPr>
          <w:rFonts w:ascii="Times New Roman" w:hAnsi="Times New Roman" w:cs="Times New Roman"/>
        </w:rPr>
      </w:pPr>
    </w:p>
    <w:p w:rsidR="002075FB" w:rsidRPr="00AF27BF" w:rsidRDefault="002075FB" w:rsidP="002075FB">
      <w:pPr>
        <w:spacing w:after="0"/>
        <w:rPr>
          <w:rFonts w:ascii="Times New Roman" w:hAnsi="Times New Roman" w:cs="Times New Roman"/>
        </w:rPr>
      </w:pPr>
      <w:r w:rsidRPr="00AF27BF">
        <w:rPr>
          <w:rFonts w:ascii="Times New Roman" w:hAnsi="Times New Roman" w:cs="Times New Roman"/>
        </w:rPr>
        <w:t xml:space="preserve">Despite the international legal standards regarding the human rights of indigenous peoples, there is no specific binding law addressing the particular impacts of </w:t>
      </w:r>
      <w:r>
        <w:rPr>
          <w:rFonts w:ascii="Times New Roman" w:hAnsi="Times New Roman" w:cs="Times New Roman"/>
        </w:rPr>
        <w:t>TNC-OBE</w:t>
      </w:r>
      <w:r w:rsidRPr="00AF27BF">
        <w:rPr>
          <w:rFonts w:ascii="Times New Roman" w:hAnsi="Times New Roman" w:cs="Times New Roman"/>
        </w:rPr>
        <w:t xml:space="preserve"> </w:t>
      </w:r>
      <w:r>
        <w:rPr>
          <w:rFonts w:ascii="Times New Roman" w:hAnsi="Times New Roman" w:cs="Times New Roman"/>
        </w:rPr>
        <w:t>activity</w:t>
      </w:r>
      <w:r w:rsidRPr="00AF27BF">
        <w:rPr>
          <w:rFonts w:ascii="Times New Roman" w:hAnsi="Times New Roman" w:cs="Times New Roman"/>
        </w:rPr>
        <w:t xml:space="preserve"> on the </w:t>
      </w:r>
      <w:r>
        <w:rPr>
          <w:rFonts w:ascii="Times New Roman" w:hAnsi="Times New Roman" w:cs="Times New Roman"/>
        </w:rPr>
        <w:t xml:space="preserve">enjoyment of </w:t>
      </w:r>
      <w:r w:rsidRPr="00AF27BF">
        <w:rPr>
          <w:rFonts w:ascii="Times New Roman" w:hAnsi="Times New Roman" w:cs="Times New Roman"/>
        </w:rPr>
        <w:t>indigenous people</w:t>
      </w:r>
      <w:r>
        <w:rPr>
          <w:rFonts w:ascii="Times New Roman" w:hAnsi="Times New Roman" w:cs="Times New Roman"/>
        </w:rPr>
        <w:t>s’ human rights</w:t>
      </w:r>
      <w:r w:rsidRPr="00AF27BF">
        <w:rPr>
          <w:rFonts w:ascii="Times New Roman" w:hAnsi="Times New Roman" w:cs="Times New Roman"/>
        </w:rPr>
        <w:t>. The Treaty provides the opportunity to complement the existing framework by ensuring the rights of indigenous people</w:t>
      </w:r>
      <w:r>
        <w:rPr>
          <w:rFonts w:ascii="Times New Roman" w:hAnsi="Times New Roman" w:cs="Times New Roman"/>
        </w:rPr>
        <w:t>s</w:t>
      </w:r>
      <w:r w:rsidRPr="00AF27BF">
        <w:rPr>
          <w:rFonts w:ascii="Times New Roman" w:hAnsi="Times New Roman" w:cs="Times New Roman"/>
        </w:rPr>
        <w:t xml:space="preserve">, who still bear the brunt of a significant proportion of </w:t>
      </w:r>
      <w:r>
        <w:rPr>
          <w:rFonts w:ascii="Times New Roman" w:hAnsi="Times New Roman" w:cs="Times New Roman"/>
        </w:rPr>
        <w:t>TNC-OBE</w:t>
      </w:r>
      <w:r w:rsidRPr="00AF27BF">
        <w:rPr>
          <w:rFonts w:ascii="Times New Roman" w:hAnsi="Times New Roman" w:cs="Times New Roman"/>
        </w:rPr>
        <w:t xml:space="preserve">-related human rights </w:t>
      </w:r>
      <w:r>
        <w:rPr>
          <w:rFonts w:ascii="Times New Roman" w:hAnsi="Times New Roman" w:cs="Times New Roman"/>
        </w:rPr>
        <w:t>abuse</w:t>
      </w:r>
      <w:r w:rsidRPr="00AF27BF">
        <w:rPr>
          <w:rFonts w:ascii="Times New Roman" w:hAnsi="Times New Roman" w:cs="Times New Roman"/>
        </w:rPr>
        <w:t xml:space="preserve">, are directly protected.  </w:t>
      </w:r>
    </w:p>
    <w:p w:rsidR="002075FB" w:rsidRPr="00AF27BF" w:rsidRDefault="002075FB" w:rsidP="002075FB">
      <w:pPr>
        <w:spacing w:after="0"/>
        <w:rPr>
          <w:rFonts w:ascii="Times New Roman" w:hAnsi="Times New Roman" w:cs="Times New Roman"/>
        </w:rPr>
      </w:pPr>
    </w:p>
    <w:p w:rsidR="002075FB" w:rsidRDefault="002075FB" w:rsidP="002075FB">
      <w:pPr>
        <w:spacing w:after="0"/>
        <w:rPr>
          <w:rFonts w:ascii="Times New Roman" w:hAnsi="Times New Roman" w:cs="Times New Roman"/>
          <w:b/>
        </w:rPr>
      </w:pPr>
      <w:r w:rsidRPr="00076AF5">
        <w:rPr>
          <w:rFonts w:ascii="Times New Roman" w:hAnsi="Times New Roman" w:cs="Times New Roman"/>
          <w:b/>
          <w:u w:val="single"/>
        </w:rPr>
        <w:t>Key Recommendation</w:t>
      </w:r>
      <w:r w:rsidRPr="00076AF5">
        <w:rPr>
          <w:rFonts w:ascii="Times New Roman" w:hAnsi="Times New Roman" w:cs="Times New Roman"/>
          <w:b/>
        </w:rPr>
        <w:t>:</w:t>
      </w:r>
      <w:r>
        <w:rPr>
          <w:rFonts w:ascii="Times New Roman" w:hAnsi="Times New Roman" w:cs="Times New Roman"/>
          <w:b/>
        </w:rPr>
        <w:t xml:space="preserve"> </w:t>
      </w:r>
      <w:r w:rsidRPr="00C526AC">
        <w:rPr>
          <w:rFonts w:ascii="Times New Roman" w:eastAsia="Times New Roman" w:hAnsi="Times New Roman" w:cs="Times New Roman"/>
          <w:b/>
        </w:rPr>
        <w:t xml:space="preserve">The Treaty should explicitly reaffirm the human rights of </w:t>
      </w:r>
      <w:r>
        <w:rPr>
          <w:rFonts w:ascii="Times New Roman" w:eastAsia="Times New Roman" w:hAnsi="Times New Roman" w:cs="Times New Roman"/>
          <w:b/>
        </w:rPr>
        <w:t>indigenous peoples</w:t>
      </w:r>
      <w:r w:rsidRPr="00C526AC">
        <w:rPr>
          <w:rFonts w:ascii="Times New Roman" w:eastAsia="Times New Roman" w:hAnsi="Times New Roman" w:cs="Times New Roman"/>
          <w:b/>
        </w:rPr>
        <w:t xml:space="preserve"> in the context of </w:t>
      </w:r>
      <w:r>
        <w:rPr>
          <w:rFonts w:ascii="Times New Roman" w:eastAsia="Times New Roman" w:hAnsi="Times New Roman" w:cs="Times New Roman"/>
          <w:b/>
        </w:rPr>
        <w:t>TNC-OBE</w:t>
      </w:r>
      <w:r w:rsidRPr="00C526AC">
        <w:rPr>
          <w:rFonts w:ascii="Times New Roman" w:eastAsia="Times New Roman" w:hAnsi="Times New Roman" w:cs="Times New Roman"/>
          <w:b/>
        </w:rPr>
        <w:t xml:space="preserve"> activity and require States to take concrete, targeted measures including but not limited to</w:t>
      </w:r>
      <w:r>
        <w:rPr>
          <w:rFonts w:ascii="Times New Roman" w:eastAsia="Times New Roman" w:hAnsi="Times New Roman" w:cs="Times New Roman"/>
          <w:b/>
        </w:rPr>
        <w:t xml:space="preserve"> ensure</w:t>
      </w:r>
      <w:r w:rsidRPr="00C526AC">
        <w:rPr>
          <w:rFonts w:ascii="Times New Roman" w:eastAsia="Times New Roman" w:hAnsi="Times New Roman" w:cs="Times New Roman"/>
          <w:b/>
        </w:rPr>
        <w:t>:</w:t>
      </w:r>
    </w:p>
    <w:p w:rsidR="002075FB" w:rsidRPr="00076AF5" w:rsidRDefault="002075FB" w:rsidP="002075FB">
      <w:pPr>
        <w:spacing w:after="0"/>
        <w:rPr>
          <w:rFonts w:ascii="Times New Roman" w:hAnsi="Times New Roman" w:cs="Times New Roman"/>
          <w:b/>
        </w:rPr>
      </w:pPr>
    </w:p>
    <w:p w:rsidR="002075FB" w:rsidRPr="00076AF5" w:rsidRDefault="002075FB" w:rsidP="002075FB">
      <w:pPr>
        <w:pStyle w:val="ListParagraph"/>
        <w:numPr>
          <w:ilvl w:val="5"/>
          <w:numId w:val="1"/>
        </w:numPr>
        <w:spacing w:after="0"/>
        <w:ind w:hanging="540"/>
        <w:rPr>
          <w:rFonts w:ascii="Times New Roman" w:hAnsi="Times New Roman" w:cs="Times New Roman"/>
          <w:b/>
        </w:rPr>
      </w:pPr>
      <w:r>
        <w:rPr>
          <w:rFonts w:ascii="Times New Roman" w:hAnsi="Times New Roman" w:cs="Times New Roman"/>
          <w:b/>
        </w:rPr>
        <w:t>T</w:t>
      </w:r>
      <w:r w:rsidRPr="00076AF5">
        <w:rPr>
          <w:rFonts w:ascii="Times New Roman" w:hAnsi="Times New Roman" w:cs="Times New Roman"/>
          <w:b/>
        </w:rPr>
        <w:t xml:space="preserve">he right to self-determination, and as such the right to determine their development priorities; </w:t>
      </w:r>
    </w:p>
    <w:p w:rsidR="002075FB" w:rsidRPr="00076AF5" w:rsidRDefault="002075FB" w:rsidP="002075FB">
      <w:pPr>
        <w:pStyle w:val="ListParagraph"/>
        <w:numPr>
          <w:ilvl w:val="5"/>
          <w:numId w:val="1"/>
        </w:numPr>
        <w:spacing w:after="0"/>
        <w:ind w:hanging="540"/>
        <w:rPr>
          <w:rFonts w:ascii="Times New Roman" w:hAnsi="Times New Roman" w:cs="Times New Roman"/>
          <w:b/>
        </w:rPr>
      </w:pPr>
      <w:r>
        <w:rPr>
          <w:rFonts w:ascii="Times New Roman" w:hAnsi="Times New Roman" w:cs="Times New Roman"/>
          <w:b/>
        </w:rPr>
        <w:t>T</w:t>
      </w:r>
      <w:r w:rsidRPr="00076AF5">
        <w:rPr>
          <w:rFonts w:ascii="Times New Roman" w:hAnsi="Times New Roman" w:cs="Times New Roman"/>
          <w:b/>
        </w:rPr>
        <w:t xml:space="preserve">he right to FPIC; </w:t>
      </w:r>
    </w:p>
    <w:p w:rsidR="002075FB" w:rsidRPr="00076AF5" w:rsidRDefault="002075FB" w:rsidP="002075FB">
      <w:pPr>
        <w:pStyle w:val="ListParagraph"/>
        <w:numPr>
          <w:ilvl w:val="5"/>
          <w:numId w:val="1"/>
        </w:numPr>
        <w:spacing w:after="0"/>
        <w:ind w:hanging="540"/>
        <w:rPr>
          <w:rFonts w:ascii="Times New Roman" w:hAnsi="Times New Roman" w:cs="Times New Roman"/>
          <w:b/>
        </w:rPr>
      </w:pPr>
      <w:r>
        <w:rPr>
          <w:rFonts w:ascii="Times New Roman" w:hAnsi="Times New Roman" w:cs="Times New Roman"/>
          <w:b/>
        </w:rPr>
        <w:t>T</w:t>
      </w:r>
      <w:r w:rsidRPr="00076AF5">
        <w:rPr>
          <w:rFonts w:ascii="Times New Roman" w:hAnsi="Times New Roman" w:cs="Times New Roman"/>
          <w:b/>
        </w:rPr>
        <w:t xml:space="preserve">he rights to benefit from the activities generated by </w:t>
      </w:r>
      <w:r>
        <w:rPr>
          <w:rFonts w:ascii="Times New Roman" w:hAnsi="Times New Roman" w:cs="Times New Roman"/>
          <w:b/>
        </w:rPr>
        <w:t>TNC-OBE</w:t>
      </w:r>
      <w:r w:rsidRPr="00076AF5">
        <w:rPr>
          <w:rFonts w:ascii="Times New Roman" w:hAnsi="Times New Roman" w:cs="Times New Roman"/>
          <w:b/>
        </w:rPr>
        <w:t xml:space="preserve">, after first obtaining FPIC; </w:t>
      </w:r>
    </w:p>
    <w:p w:rsidR="002075FB" w:rsidRPr="00076AF5" w:rsidRDefault="002075FB" w:rsidP="002075FB">
      <w:pPr>
        <w:pStyle w:val="ListParagraph"/>
        <w:numPr>
          <w:ilvl w:val="5"/>
          <w:numId w:val="1"/>
        </w:numPr>
        <w:spacing w:after="0"/>
        <w:ind w:hanging="540"/>
        <w:rPr>
          <w:rFonts w:ascii="Times New Roman" w:hAnsi="Times New Roman" w:cs="Times New Roman"/>
          <w:b/>
        </w:rPr>
      </w:pPr>
      <w:r>
        <w:rPr>
          <w:rFonts w:ascii="Times New Roman" w:hAnsi="Times New Roman" w:cs="Times New Roman"/>
          <w:b/>
        </w:rPr>
        <w:t>T</w:t>
      </w:r>
      <w:r w:rsidRPr="00076AF5">
        <w:rPr>
          <w:rFonts w:ascii="Times New Roman" w:hAnsi="Times New Roman" w:cs="Times New Roman"/>
          <w:b/>
        </w:rPr>
        <w:t xml:space="preserve">he right to protection of indigenous and traditional knowledge from </w:t>
      </w:r>
      <w:r>
        <w:rPr>
          <w:rFonts w:ascii="Times New Roman" w:hAnsi="Times New Roman" w:cs="Times New Roman"/>
          <w:b/>
        </w:rPr>
        <w:t>TNC-OBE</w:t>
      </w:r>
      <w:r w:rsidRPr="00076AF5">
        <w:rPr>
          <w:rFonts w:ascii="Times New Roman" w:hAnsi="Times New Roman" w:cs="Times New Roman"/>
          <w:b/>
        </w:rPr>
        <w:t xml:space="preserve"> activity, particularly in relation to appropriation through patenting; and</w:t>
      </w:r>
    </w:p>
    <w:p w:rsidR="002075FB" w:rsidRPr="00076AF5" w:rsidRDefault="002075FB" w:rsidP="002075FB">
      <w:pPr>
        <w:pStyle w:val="ListParagraph"/>
        <w:numPr>
          <w:ilvl w:val="5"/>
          <w:numId w:val="1"/>
        </w:numPr>
        <w:spacing w:after="0"/>
        <w:ind w:hanging="540"/>
        <w:rPr>
          <w:rFonts w:ascii="Times New Roman" w:hAnsi="Times New Roman" w:cs="Times New Roman"/>
          <w:b/>
        </w:rPr>
      </w:pPr>
      <w:r>
        <w:rPr>
          <w:rFonts w:ascii="Times New Roman" w:hAnsi="Times New Roman" w:cs="Times New Roman"/>
          <w:b/>
        </w:rPr>
        <w:t>T</w:t>
      </w:r>
      <w:r w:rsidRPr="00076AF5">
        <w:rPr>
          <w:rFonts w:ascii="Times New Roman" w:hAnsi="Times New Roman" w:cs="Times New Roman"/>
          <w:b/>
        </w:rPr>
        <w:t xml:space="preserve">he right to </w:t>
      </w:r>
      <w:r>
        <w:rPr>
          <w:rFonts w:ascii="Times New Roman" w:hAnsi="Times New Roman" w:cs="Times New Roman"/>
          <w:b/>
        </w:rPr>
        <w:t xml:space="preserve">an effective </w:t>
      </w:r>
      <w:r w:rsidRPr="00076AF5">
        <w:rPr>
          <w:rFonts w:ascii="Times New Roman" w:hAnsi="Times New Roman" w:cs="Times New Roman"/>
          <w:b/>
        </w:rPr>
        <w:t xml:space="preserve">remedy as detailed in </w:t>
      </w:r>
      <w:r w:rsidRPr="005C2B00">
        <w:rPr>
          <w:rFonts w:ascii="Times New Roman" w:hAnsi="Times New Roman" w:cs="Times New Roman"/>
          <w:b/>
        </w:rPr>
        <w:t>Recommendation 2.7</w:t>
      </w:r>
      <w:r w:rsidRPr="00076AF5">
        <w:rPr>
          <w:rFonts w:ascii="Times New Roman" w:hAnsi="Times New Roman" w:cs="Times New Roman"/>
          <w:b/>
        </w:rPr>
        <w:t xml:space="preserve"> </w:t>
      </w:r>
      <w:r w:rsidR="000A3348">
        <w:rPr>
          <w:rFonts w:ascii="Times New Roman" w:hAnsi="Times New Roman" w:cs="Times New Roman"/>
          <w:b/>
        </w:rPr>
        <w:t>(in our third submission)</w:t>
      </w:r>
      <w:r w:rsidRPr="00076AF5">
        <w:rPr>
          <w:rFonts w:ascii="Times New Roman" w:hAnsi="Times New Roman" w:cs="Times New Roman"/>
          <w:b/>
        </w:rPr>
        <w:t xml:space="preserve">, with particular focus on mechanisms and remedies that are culturally appropriate, and </w:t>
      </w:r>
      <w:r w:rsidRPr="00076AF5">
        <w:rPr>
          <w:rFonts w:ascii="Times New Roman" w:hAnsi="Times New Roman" w:cs="Times New Roman"/>
          <w:b/>
        </w:rPr>
        <w:lastRenderedPageBreak/>
        <w:t xml:space="preserve">attentive to any damages </w:t>
      </w:r>
      <w:r>
        <w:rPr>
          <w:rFonts w:ascii="Times New Roman" w:hAnsi="Times New Roman" w:cs="Times New Roman"/>
          <w:b/>
        </w:rPr>
        <w:t>caused or contributed to</w:t>
      </w:r>
      <w:r w:rsidRPr="00076AF5">
        <w:rPr>
          <w:rFonts w:ascii="Times New Roman" w:hAnsi="Times New Roman" w:cs="Times New Roman"/>
          <w:b/>
        </w:rPr>
        <w:t xml:space="preserve"> by </w:t>
      </w:r>
      <w:r>
        <w:rPr>
          <w:rFonts w:ascii="Times New Roman" w:hAnsi="Times New Roman" w:cs="Times New Roman"/>
          <w:b/>
        </w:rPr>
        <w:t>TNC-OBE</w:t>
      </w:r>
      <w:r w:rsidRPr="00076AF5">
        <w:rPr>
          <w:rFonts w:ascii="Times New Roman" w:hAnsi="Times New Roman" w:cs="Times New Roman"/>
          <w:b/>
        </w:rPr>
        <w:t xml:space="preserve"> to land, territories, natural resources and biodiversity as enjoyed by indigenous peoples.</w:t>
      </w:r>
    </w:p>
    <w:p w:rsidR="002075FB" w:rsidRPr="00E85911" w:rsidRDefault="002075FB" w:rsidP="002075FB">
      <w:pPr>
        <w:pStyle w:val="ListParagraph"/>
        <w:spacing w:after="0"/>
        <w:ind w:left="1350"/>
        <w:rPr>
          <w:rFonts w:ascii="Times New Roman" w:hAnsi="Times New Roman" w:cs="Times New Roman"/>
          <w:b/>
          <w:i/>
        </w:rPr>
      </w:pPr>
    </w:p>
    <w:p w:rsidR="002075FB" w:rsidRPr="00AF27BF" w:rsidRDefault="002075FB" w:rsidP="002075FB">
      <w:pPr>
        <w:pStyle w:val="ListParagraph"/>
        <w:rPr>
          <w:rFonts w:ascii="Times New Roman" w:hAnsi="Times New Roman" w:cs="Times New Roman"/>
          <w:i/>
        </w:rPr>
      </w:pPr>
    </w:p>
    <w:p w:rsidR="002075FB" w:rsidRPr="00E31325" w:rsidRDefault="002075FB" w:rsidP="002075FB">
      <w:pPr>
        <w:pStyle w:val="ListParagraph"/>
        <w:numPr>
          <w:ilvl w:val="1"/>
          <w:numId w:val="6"/>
        </w:numPr>
        <w:spacing w:after="0"/>
        <w:ind w:left="540" w:hanging="540"/>
        <w:rPr>
          <w:rFonts w:ascii="Times New Roman" w:hAnsi="Times New Roman" w:cs="Times New Roman"/>
          <w:b/>
          <w:u w:val="single"/>
        </w:rPr>
      </w:pPr>
      <w:r>
        <w:rPr>
          <w:rFonts w:ascii="Times New Roman" w:hAnsi="Times New Roman" w:cs="Times New Roman"/>
          <w:b/>
          <w:u w:val="single"/>
        </w:rPr>
        <w:t xml:space="preserve">Conflict, Post-Conflict and Occupied </w:t>
      </w:r>
      <w:r w:rsidRPr="00E31325">
        <w:rPr>
          <w:rFonts w:ascii="Times New Roman" w:hAnsi="Times New Roman" w:cs="Times New Roman"/>
          <w:b/>
          <w:u w:val="single"/>
        </w:rPr>
        <w:t>Areas</w:t>
      </w:r>
    </w:p>
    <w:p w:rsidR="002075FB" w:rsidRPr="00AF27BF" w:rsidRDefault="002075FB" w:rsidP="002075FB">
      <w:pPr>
        <w:spacing w:after="0"/>
        <w:rPr>
          <w:rFonts w:ascii="Times New Roman" w:hAnsi="Times New Roman" w:cs="Times New Roman"/>
        </w:rPr>
      </w:pPr>
    </w:p>
    <w:p w:rsidR="002075FB" w:rsidRPr="00AF27BF" w:rsidRDefault="002075FB" w:rsidP="002075FB">
      <w:pPr>
        <w:spacing w:after="0"/>
        <w:rPr>
          <w:rFonts w:ascii="Times New Roman" w:hAnsi="Times New Roman" w:cs="Times New Roman"/>
        </w:rPr>
      </w:pPr>
      <w:r>
        <w:rPr>
          <w:rFonts w:ascii="Times New Roman" w:hAnsi="Times New Roman" w:cs="Times New Roman"/>
        </w:rPr>
        <w:t>Impairment of h</w:t>
      </w:r>
      <w:r w:rsidRPr="00AF27BF">
        <w:rPr>
          <w:rFonts w:ascii="Times New Roman" w:hAnsi="Times New Roman" w:cs="Times New Roman"/>
        </w:rPr>
        <w:t xml:space="preserve">uman rights </w:t>
      </w:r>
      <w:r>
        <w:rPr>
          <w:rFonts w:ascii="Times New Roman" w:hAnsi="Times New Roman" w:cs="Times New Roman"/>
        </w:rPr>
        <w:t>enjoyment by</w:t>
      </w:r>
      <w:r w:rsidRPr="00AF27BF">
        <w:rPr>
          <w:rFonts w:ascii="Times New Roman" w:hAnsi="Times New Roman" w:cs="Times New Roman"/>
        </w:rPr>
        <w:t xml:space="preserve"> </w:t>
      </w:r>
      <w:r>
        <w:rPr>
          <w:rFonts w:ascii="Times New Roman" w:hAnsi="Times New Roman" w:cs="Times New Roman"/>
        </w:rPr>
        <w:t>TNC-OBE</w:t>
      </w:r>
      <w:r w:rsidRPr="00AF27BF">
        <w:rPr>
          <w:rFonts w:ascii="Times New Roman" w:hAnsi="Times New Roman" w:cs="Times New Roman"/>
        </w:rPr>
        <w:t xml:space="preserve"> </w:t>
      </w:r>
      <w:r>
        <w:rPr>
          <w:rFonts w:ascii="Times New Roman" w:hAnsi="Times New Roman" w:cs="Times New Roman"/>
        </w:rPr>
        <w:t>is</w:t>
      </w:r>
      <w:r w:rsidRPr="00AF27BF">
        <w:rPr>
          <w:rFonts w:ascii="Times New Roman" w:hAnsi="Times New Roman" w:cs="Times New Roman"/>
        </w:rPr>
        <w:t xml:space="preserve"> especially acute in the case of people and communities living in conflict, post-conflict and occupied areas. The impacts of mineral and other resource extraction in these areas is well documented, but other examples of human rights affected by </w:t>
      </w:r>
      <w:r>
        <w:rPr>
          <w:rFonts w:ascii="Times New Roman" w:hAnsi="Times New Roman" w:cs="Times New Roman"/>
        </w:rPr>
        <w:t>TNC-OBE</w:t>
      </w:r>
      <w:r w:rsidRPr="00AF27BF">
        <w:rPr>
          <w:rFonts w:ascii="Times New Roman" w:hAnsi="Times New Roman" w:cs="Times New Roman"/>
        </w:rPr>
        <w:t xml:space="preserve"> in these areas include labor rights violations in the case of </w:t>
      </w:r>
      <w:r>
        <w:rPr>
          <w:rFonts w:ascii="Times New Roman" w:hAnsi="Times New Roman" w:cs="Times New Roman"/>
        </w:rPr>
        <w:t>TNC-OBE</w:t>
      </w:r>
      <w:r w:rsidRPr="00AF27BF">
        <w:rPr>
          <w:rFonts w:ascii="Times New Roman" w:hAnsi="Times New Roman" w:cs="Times New Roman"/>
        </w:rPr>
        <w:t xml:space="preserve"> use of slave and exploitative child labor practices in the production of goods in these areas</w:t>
      </w:r>
      <w:r>
        <w:rPr>
          <w:rFonts w:ascii="Times New Roman" w:hAnsi="Times New Roman" w:cs="Times New Roman"/>
        </w:rPr>
        <w:t>, as well as interferences with the availability and accessibility of basic services such as housing and water</w:t>
      </w:r>
      <w:r w:rsidRPr="00AF27BF">
        <w:rPr>
          <w:rFonts w:ascii="Times New Roman" w:hAnsi="Times New Roman" w:cs="Times New Roman"/>
        </w:rPr>
        <w:t xml:space="preserve">.  </w:t>
      </w:r>
    </w:p>
    <w:p w:rsidR="002075FB" w:rsidRPr="00AF27BF" w:rsidRDefault="002075FB" w:rsidP="002075FB">
      <w:pPr>
        <w:spacing w:after="0"/>
        <w:rPr>
          <w:rFonts w:ascii="Times New Roman" w:hAnsi="Times New Roman" w:cs="Times New Roman"/>
        </w:rPr>
      </w:pPr>
    </w:p>
    <w:p w:rsidR="002075FB" w:rsidRPr="00AF27BF" w:rsidRDefault="002075FB" w:rsidP="002075FB">
      <w:pPr>
        <w:spacing w:after="0"/>
        <w:rPr>
          <w:rFonts w:ascii="Times New Roman" w:hAnsi="Times New Roman" w:cs="Times New Roman"/>
        </w:rPr>
      </w:pPr>
      <w:bookmarkStart w:id="1" w:name="_gjdgxs"/>
      <w:bookmarkEnd w:id="1"/>
      <w:r w:rsidRPr="00AF27BF">
        <w:rPr>
          <w:rFonts w:ascii="Times New Roman" w:hAnsi="Times New Roman" w:cs="Times New Roman"/>
        </w:rPr>
        <w:t xml:space="preserve">The obligations of States under international human rights law as well as international humanitarian law are specific to the concerns of people within these areas. Correspondingly, the operations of </w:t>
      </w:r>
      <w:r>
        <w:rPr>
          <w:rFonts w:ascii="Times New Roman" w:hAnsi="Times New Roman" w:cs="Times New Roman"/>
        </w:rPr>
        <w:t>TNC-OBE</w:t>
      </w:r>
      <w:r w:rsidRPr="00AF27BF">
        <w:rPr>
          <w:rFonts w:ascii="Times New Roman" w:hAnsi="Times New Roman" w:cs="Times New Roman"/>
        </w:rPr>
        <w:t xml:space="preserve"> are also subject to more stringent standards under both these regimes of international law when they operate in these areas. For example, the standard of human rights due diligence is higher, and greater vigilance is required for ensuring </w:t>
      </w:r>
      <w:r>
        <w:rPr>
          <w:rFonts w:ascii="Times New Roman" w:hAnsi="Times New Roman" w:cs="Times New Roman"/>
        </w:rPr>
        <w:t>TNC-OBE</w:t>
      </w:r>
      <w:r w:rsidRPr="00AF27BF">
        <w:rPr>
          <w:rFonts w:ascii="Times New Roman" w:hAnsi="Times New Roman" w:cs="Times New Roman"/>
        </w:rPr>
        <w:t xml:space="preserve"> are not complicit in human rights violations committed by </w:t>
      </w:r>
      <w:r>
        <w:rPr>
          <w:rFonts w:ascii="Times New Roman" w:hAnsi="Times New Roman" w:cs="Times New Roman"/>
        </w:rPr>
        <w:t xml:space="preserve">State </w:t>
      </w:r>
      <w:r w:rsidRPr="00AF27BF">
        <w:rPr>
          <w:rFonts w:ascii="Times New Roman" w:hAnsi="Times New Roman" w:cs="Times New Roman"/>
        </w:rPr>
        <w:t xml:space="preserve">armed forces.  </w:t>
      </w:r>
      <w:r>
        <w:rPr>
          <w:rFonts w:ascii="Times New Roman" w:hAnsi="Times New Roman" w:cs="Times New Roman"/>
        </w:rPr>
        <w:t xml:space="preserve"> </w:t>
      </w:r>
    </w:p>
    <w:p w:rsidR="002075FB" w:rsidRPr="00AF27BF" w:rsidRDefault="002075FB" w:rsidP="002075FB">
      <w:pPr>
        <w:spacing w:after="0"/>
        <w:rPr>
          <w:rFonts w:ascii="Times New Roman" w:hAnsi="Times New Roman" w:cs="Times New Roman"/>
          <w:b/>
          <w:i/>
        </w:rPr>
      </w:pPr>
    </w:p>
    <w:p w:rsidR="002075FB" w:rsidRDefault="002075FB" w:rsidP="002075FB">
      <w:pPr>
        <w:spacing w:after="0"/>
        <w:rPr>
          <w:rFonts w:ascii="Times New Roman" w:eastAsia="Times New Roman" w:hAnsi="Times New Roman" w:cs="Times New Roman"/>
          <w:b/>
        </w:rPr>
      </w:pPr>
      <w:r w:rsidRPr="00596935">
        <w:rPr>
          <w:rFonts w:ascii="Times New Roman" w:hAnsi="Times New Roman" w:cs="Times New Roman"/>
          <w:b/>
          <w:u w:val="single"/>
        </w:rPr>
        <w:t>Key Recommendation</w:t>
      </w:r>
      <w:r w:rsidRPr="00C526AC">
        <w:rPr>
          <w:rFonts w:ascii="Times New Roman" w:hAnsi="Times New Roman" w:cs="Times New Roman"/>
          <w:b/>
        </w:rPr>
        <w:t xml:space="preserve">: The Treaty should </w:t>
      </w:r>
      <w:r>
        <w:rPr>
          <w:rFonts w:ascii="Times New Roman" w:hAnsi="Times New Roman" w:cs="Times New Roman"/>
          <w:b/>
        </w:rPr>
        <w:t>confirm</w:t>
      </w:r>
      <w:r w:rsidRPr="00C526AC">
        <w:rPr>
          <w:rFonts w:ascii="Times New Roman" w:hAnsi="Times New Roman" w:cs="Times New Roman"/>
          <w:b/>
        </w:rPr>
        <w:t xml:space="preserve"> the legal responsibilities of </w:t>
      </w:r>
      <w:r>
        <w:rPr>
          <w:rFonts w:ascii="Times New Roman" w:hAnsi="Times New Roman" w:cs="Times New Roman"/>
          <w:b/>
        </w:rPr>
        <w:t>TNC-OBE</w:t>
      </w:r>
      <w:r w:rsidRPr="00C526AC">
        <w:rPr>
          <w:rFonts w:ascii="Times New Roman" w:hAnsi="Times New Roman" w:cs="Times New Roman"/>
          <w:b/>
        </w:rPr>
        <w:t xml:space="preserve"> operating in conflict</w:t>
      </w:r>
      <w:r>
        <w:rPr>
          <w:rFonts w:ascii="Times New Roman" w:hAnsi="Times New Roman" w:cs="Times New Roman"/>
          <w:b/>
        </w:rPr>
        <w:t>, post-conflict</w:t>
      </w:r>
      <w:r w:rsidRPr="00C526AC">
        <w:rPr>
          <w:rFonts w:ascii="Times New Roman" w:hAnsi="Times New Roman" w:cs="Times New Roman"/>
          <w:b/>
        </w:rPr>
        <w:t xml:space="preserve"> </w:t>
      </w:r>
      <w:r>
        <w:rPr>
          <w:rFonts w:ascii="Times New Roman" w:hAnsi="Times New Roman" w:cs="Times New Roman"/>
          <w:b/>
        </w:rPr>
        <w:t xml:space="preserve">and occupied </w:t>
      </w:r>
      <w:r w:rsidRPr="00C526AC">
        <w:rPr>
          <w:rFonts w:ascii="Times New Roman" w:hAnsi="Times New Roman" w:cs="Times New Roman"/>
          <w:b/>
        </w:rPr>
        <w:t xml:space="preserve">areas, </w:t>
      </w:r>
      <w:r w:rsidRPr="00C526AC">
        <w:rPr>
          <w:rFonts w:ascii="Times New Roman" w:eastAsia="Times New Roman" w:hAnsi="Times New Roman" w:cs="Times New Roman"/>
          <w:b/>
        </w:rPr>
        <w:t>and require States to take concrete, targeted measures including but not limited to:</w:t>
      </w:r>
    </w:p>
    <w:p w:rsidR="002075FB" w:rsidRPr="00C526AC" w:rsidRDefault="002075FB" w:rsidP="002075FB">
      <w:pPr>
        <w:spacing w:after="0"/>
        <w:rPr>
          <w:rFonts w:ascii="Times New Roman" w:hAnsi="Times New Roman" w:cs="Times New Roman"/>
          <w:b/>
        </w:rPr>
      </w:pPr>
    </w:p>
    <w:p w:rsidR="002075FB" w:rsidRPr="00C526AC" w:rsidRDefault="002075FB" w:rsidP="002075FB">
      <w:pPr>
        <w:pStyle w:val="ListParagraph"/>
        <w:numPr>
          <w:ilvl w:val="0"/>
          <w:numId w:val="4"/>
        </w:numPr>
        <w:spacing w:after="0"/>
        <w:ind w:left="540" w:hanging="540"/>
        <w:rPr>
          <w:rFonts w:ascii="Times New Roman" w:hAnsi="Times New Roman" w:cs="Times New Roman"/>
          <w:b/>
        </w:rPr>
      </w:pPr>
      <w:r>
        <w:rPr>
          <w:rFonts w:ascii="Times New Roman" w:eastAsia="Times New Roman" w:hAnsi="Times New Roman" w:cs="Times New Roman"/>
          <w:b/>
        </w:rPr>
        <w:t>T</w:t>
      </w:r>
      <w:r w:rsidRPr="00E4504D">
        <w:rPr>
          <w:rFonts w:ascii="Times New Roman" w:hAnsi="Times New Roman" w:cs="Times New Roman"/>
          <w:b/>
        </w:rPr>
        <w:t xml:space="preserve">he establishment of national legislation requiring </w:t>
      </w:r>
      <w:r w:rsidRPr="00596935">
        <w:rPr>
          <w:rFonts w:ascii="Times New Roman" w:hAnsi="Times New Roman" w:cs="Times New Roman"/>
          <w:b/>
        </w:rPr>
        <w:t>mandatory human rights due diligence</w:t>
      </w:r>
      <w:r w:rsidRPr="00E4504D">
        <w:rPr>
          <w:rFonts w:ascii="Times New Roman" w:hAnsi="Times New Roman" w:cs="Times New Roman"/>
          <w:b/>
        </w:rPr>
        <w:t xml:space="preserve"> by </w:t>
      </w:r>
      <w:r>
        <w:rPr>
          <w:rFonts w:ascii="Times New Roman" w:hAnsi="Times New Roman" w:cs="Times New Roman"/>
          <w:b/>
        </w:rPr>
        <w:t>TNC-OBE</w:t>
      </w:r>
      <w:r w:rsidRPr="00E4504D">
        <w:rPr>
          <w:rFonts w:ascii="Times New Roman" w:hAnsi="Times New Roman" w:cs="Times New Roman"/>
          <w:b/>
        </w:rPr>
        <w:t xml:space="preserve">, as detailed in Recommendation </w:t>
      </w:r>
      <w:r w:rsidRPr="005C2B00">
        <w:rPr>
          <w:rFonts w:ascii="Times New Roman" w:hAnsi="Times New Roman" w:cs="Times New Roman"/>
          <w:b/>
        </w:rPr>
        <w:t xml:space="preserve">2.5(a) </w:t>
      </w:r>
      <w:r w:rsidR="000A3348">
        <w:rPr>
          <w:rFonts w:ascii="Times New Roman" w:hAnsi="Times New Roman" w:cs="Times New Roman"/>
          <w:b/>
        </w:rPr>
        <w:t>(in our second submission)</w:t>
      </w:r>
      <w:r w:rsidRPr="005C2B00">
        <w:rPr>
          <w:rFonts w:ascii="Times New Roman" w:hAnsi="Times New Roman" w:cs="Times New Roman"/>
          <w:b/>
        </w:rPr>
        <w:t xml:space="preserve">, </w:t>
      </w:r>
      <w:r>
        <w:rPr>
          <w:rFonts w:ascii="Times New Roman" w:hAnsi="Times New Roman" w:cs="Times New Roman"/>
          <w:b/>
        </w:rPr>
        <w:t>with special provisions for TNC-OBE</w:t>
      </w:r>
      <w:r w:rsidRPr="00C526AC">
        <w:rPr>
          <w:rFonts w:ascii="Times New Roman" w:hAnsi="Times New Roman" w:cs="Times New Roman"/>
          <w:b/>
        </w:rPr>
        <w:t xml:space="preserve"> operating in </w:t>
      </w:r>
      <w:r>
        <w:rPr>
          <w:rFonts w:ascii="Times New Roman" w:hAnsi="Times New Roman" w:cs="Times New Roman"/>
          <w:b/>
        </w:rPr>
        <w:t xml:space="preserve">such </w:t>
      </w:r>
      <w:r w:rsidRPr="00C526AC">
        <w:rPr>
          <w:rFonts w:ascii="Times New Roman" w:hAnsi="Times New Roman" w:cs="Times New Roman"/>
          <w:b/>
        </w:rPr>
        <w:t xml:space="preserve">areas </w:t>
      </w:r>
      <w:r>
        <w:rPr>
          <w:rFonts w:ascii="Times New Roman" w:hAnsi="Times New Roman" w:cs="Times New Roman"/>
          <w:b/>
        </w:rPr>
        <w:t>that require them to</w:t>
      </w:r>
      <w:r w:rsidRPr="00C526AC">
        <w:rPr>
          <w:rFonts w:ascii="Times New Roman" w:hAnsi="Times New Roman" w:cs="Times New Roman"/>
          <w:b/>
        </w:rPr>
        <w:t>:</w:t>
      </w:r>
    </w:p>
    <w:p w:rsidR="002075FB" w:rsidRPr="00C526AC" w:rsidRDefault="002075FB" w:rsidP="002075FB">
      <w:pPr>
        <w:pStyle w:val="ListParagraph"/>
        <w:spacing w:after="0"/>
        <w:ind w:left="1080" w:hanging="540"/>
        <w:rPr>
          <w:rFonts w:ascii="Times New Roman" w:hAnsi="Times New Roman" w:cs="Times New Roman"/>
          <w:b/>
        </w:rPr>
      </w:pPr>
      <w:r>
        <w:rPr>
          <w:rFonts w:ascii="Times New Roman" w:hAnsi="Times New Roman" w:cs="Times New Roman"/>
          <w:b/>
        </w:rPr>
        <w:t xml:space="preserve">i. </w:t>
      </w:r>
      <w:r>
        <w:rPr>
          <w:rFonts w:ascii="Times New Roman" w:hAnsi="Times New Roman" w:cs="Times New Roman"/>
          <w:b/>
        </w:rPr>
        <w:tab/>
        <w:t>u</w:t>
      </w:r>
      <w:r w:rsidRPr="00C526AC">
        <w:rPr>
          <w:rFonts w:ascii="Times New Roman" w:hAnsi="Times New Roman" w:cs="Times New Roman"/>
          <w:b/>
        </w:rPr>
        <w:t xml:space="preserve">ndertake detailed and independent human rights impact assessment before commencing any operations in conflict, post-conflict and occupied areas; </w:t>
      </w:r>
    </w:p>
    <w:p w:rsidR="002075FB" w:rsidRPr="00C526AC" w:rsidRDefault="002075FB" w:rsidP="002075FB">
      <w:pPr>
        <w:pStyle w:val="ListParagraph"/>
        <w:spacing w:after="0"/>
        <w:ind w:left="1080" w:hanging="540"/>
        <w:rPr>
          <w:rFonts w:ascii="Times New Roman" w:hAnsi="Times New Roman" w:cs="Times New Roman"/>
          <w:b/>
        </w:rPr>
      </w:pPr>
      <w:r>
        <w:rPr>
          <w:rFonts w:ascii="Times New Roman" w:hAnsi="Times New Roman" w:cs="Times New Roman"/>
          <w:b/>
        </w:rPr>
        <w:t xml:space="preserve">ii. </w:t>
      </w:r>
      <w:r>
        <w:rPr>
          <w:rFonts w:ascii="Times New Roman" w:hAnsi="Times New Roman" w:cs="Times New Roman"/>
          <w:b/>
        </w:rPr>
        <w:tab/>
        <w:t>r</w:t>
      </w:r>
      <w:r w:rsidRPr="00C526AC">
        <w:rPr>
          <w:rFonts w:ascii="Times New Roman" w:hAnsi="Times New Roman" w:cs="Times New Roman"/>
          <w:b/>
        </w:rPr>
        <w:t>efrain from commencing activity if potential human rights impacts cannot be fully mitigated</w:t>
      </w:r>
      <w:r>
        <w:rPr>
          <w:rFonts w:ascii="Times New Roman" w:hAnsi="Times New Roman" w:cs="Times New Roman"/>
          <w:b/>
        </w:rPr>
        <w:t>; and</w:t>
      </w:r>
    </w:p>
    <w:p w:rsidR="002075FB" w:rsidRPr="00596935" w:rsidRDefault="002075FB" w:rsidP="002075FB">
      <w:pPr>
        <w:pStyle w:val="ListParagraph"/>
        <w:spacing w:after="0"/>
        <w:ind w:left="1080" w:hanging="540"/>
        <w:rPr>
          <w:rFonts w:ascii="Times New Roman" w:hAnsi="Times New Roman" w:cs="Times New Roman"/>
          <w:b/>
        </w:rPr>
      </w:pPr>
      <w:r>
        <w:rPr>
          <w:rFonts w:ascii="Times New Roman" w:hAnsi="Times New Roman" w:cs="Times New Roman"/>
          <w:b/>
        </w:rPr>
        <w:t xml:space="preserve">iii. </w:t>
      </w:r>
      <w:r>
        <w:rPr>
          <w:rFonts w:ascii="Times New Roman" w:hAnsi="Times New Roman" w:cs="Times New Roman"/>
          <w:b/>
        </w:rPr>
        <w:tab/>
        <w:t>w</w:t>
      </w:r>
      <w:r w:rsidRPr="00596935">
        <w:rPr>
          <w:rFonts w:ascii="Times New Roman" w:hAnsi="Times New Roman" w:cs="Times New Roman"/>
          <w:b/>
        </w:rPr>
        <w:t xml:space="preserve">ithdraw from operating in these areas in circumstances where human rights impact assessment, </w:t>
      </w:r>
      <w:r>
        <w:rPr>
          <w:rFonts w:ascii="Times New Roman" w:hAnsi="Times New Roman" w:cs="Times New Roman"/>
          <w:b/>
        </w:rPr>
        <w:t>human rights due diligence, and/</w:t>
      </w:r>
      <w:r w:rsidRPr="00596935">
        <w:rPr>
          <w:rFonts w:ascii="Times New Roman" w:hAnsi="Times New Roman" w:cs="Times New Roman"/>
          <w:b/>
        </w:rPr>
        <w:t xml:space="preserve">or credible third-party documentation indicates </w:t>
      </w:r>
      <w:r>
        <w:rPr>
          <w:rFonts w:ascii="Times New Roman" w:hAnsi="Times New Roman" w:cs="Times New Roman"/>
          <w:b/>
        </w:rPr>
        <w:t xml:space="preserve">that </w:t>
      </w:r>
      <w:r w:rsidRPr="00596935">
        <w:rPr>
          <w:rFonts w:ascii="Times New Roman" w:hAnsi="Times New Roman" w:cs="Times New Roman"/>
          <w:b/>
        </w:rPr>
        <w:t xml:space="preserve">their </w:t>
      </w:r>
      <w:r>
        <w:rPr>
          <w:rFonts w:ascii="Times New Roman" w:hAnsi="Times New Roman" w:cs="Times New Roman"/>
          <w:b/>
        </w:rPr>
        <w:t>activity</w:t>
      </w:r>
      <w:r w:rsidRPr="00596935">
        <w:rPr>
          <w:rFonts w:ascii="Times New Roman" w:hAnsi="Times New Roman" w:cs="Times New Roman"/>
          <w:b/>
        </w:rPr>
        <w:t xml:space="preserve"> threaten</w:t>
      </w:r>
      <w:r>
        <w:rPr>
          <w:rFonts w:ascii="Times New Roman" w:hAnsi="Times New Roman" w:cs="Times New Roman"/>
          <w:b/>
        </w:rPr>
        <w:t>s</w:t>
      </w:r>
      <w:r w:rsidRPr="00596935">
        <w:rPr>
          <w:rFonts w:ascii="Times New Roman" w:hAnsi="Times New Roman" w:cs="Times New Roman"/>
          <w:b/>
        </w:rPr>
        <w:t xml:space="preserve"> to</w:t>
      </w:r>
      <w:r w:rsidRPr="00C526AC">
        <w:rPr>
          <w:rFonts w:ascii="Times New Roman" w:hAnsi="Times New Roman" w:cs="Times New Roman"/>
          <w:b/>
        </w:rPr>
        <w:t>,</w:t>
      </w:r>
      <w:r w:rsidRPr="00596935">
        <w:rPr>
          <w:rFonts w:ascii="Times New Roman" w:hAnsi="Times New Roman" w:cs="Times New Roman"/>
          <w:b/>
        </w:rPr>
        <w:t xml:space="preserve"> or </w:t>
      </w:r>
      <w:r w:rsidRPr="00C526AC">
        <w:rPr>
          <w:rFonts w:ascii="Times New Roman" w:hAnsi="Times New Roman" w:cs="Times New Roman"/>
          <w:b/>
        </w:rPr>
        <w:t>currently</w:t>
      </w:r>
      <w:r>
        <w:rPr>
          <w:rFonts w:ascii="Times New Roman" w:hAnsi="Times New Roman" w:cs="Times New Roman"/>
          <w:b/>
        </w:rPr>
        <w:t xml:space="preserve"> does</w:t>
      </w:r>
      <w:r w:rsidRPr="00C526AC">
        <w:rPr>
          <w:rFonts w:ascii="Times New Roman" w:hAnsi="Times New Roman" w:cs="Times New Roman"/>
          <w:b/>
        </w:rPr>
        <w:t xml:space="preserve">, </w:t>
      </w:r>
      <w:r w:rsidRPr="00596935">
        <w:rPr>
          <w:rFonts w:ascii="Times New Roman" w:hAnsi="Times New Roman" w:cs="Times New Roman"/>
          <w:b/>
        </w:rPr>
        <w:t>impair the enjoyment of human rights or international humanitarian law</w:t>
      </w:r>
      <w:r>
        <w:rPr>
          <w:rFonts w:ascii="Times New Roman" w:hAnsi="Times New Roman" w:cs="Times New Roman"/>
          <w:b/>
        </w:rPr>
        <w:t xml:space="preserve">; </w:t>
      </w:r>
    </w:p>
    <w:p w:rsidR="002075FB" w:rsidRPr="00160C79" w:rsidRDefault="002075FB" w:rsidP="002075FB">
      <w:pPr>
        <w:pStyle w:val="ListParagraph"/>
        <w:numPr>
          <w:ilvl w:val="0"/>
          <w:numId w:val="4"/>
        </w:numPr>
        <w:spacing w:after="0"/>
        <w:ind w:left="540" w:hanging="540"/>
        <w:rPr>
          <w:rFonts w:ascii="Times New Roman" w:hAnsi="Times New Roman" w:cs="Times New Roman"/>
          <w:i/>
        </w:rPr>
      </w:pPr>
      <w:r>
        <w:rPr>
          <w:rFonts w:ascii="Times New Roman" w:hAnsi="Times New Roman" w:cs="Times New Roman"/>
          <w:b/>
        </w:rPr>
        <w:t>E</w:t>
      </w:r>
      <w:r w:rsidRPr="00596935">
        <w:rPr>
          <w:rFonts w:ascii="Times New Roman" w:hAnsi="Times New Roman" w:cs="Times New Roman"/>
          <w:b/>
        </w:rPr>
        <w:t>nsuring the right to an effective remedy</w:t>
      </w:r>
      <w:r>
        <w:rPr>
          <w:rFonts w:ascii="Times New Roman" w:hAnsi="Times New Roman" w:cs="Times New Roman"/>
          <w:b/>
        </w:rPr>
        <w:t>,</w:t>
      </w:r>
      <w:r w:rsidRPr="00596935">
        <w:rPr>
          <w:rFonts w:ascii="Times New Roman" w:hAnsi="Times New Roman" w:cs="Times New Roman"/>
          <w:b/>
        </w:rPr>
        <w:t xml:space="preserve"> as detailed in </w:t>
      </w:r>
      <w:r w:rsidRPr="005C2B00">
        <w:rPr>
          <w:rFonts w:ascii="Times New Roman" w:hAnsi="Times New Roman" w:cs="Times New Roman"/>
          <w:b/>
        </w:rPr>
        <w:t xml:space="preserve">Recommendation 2.7 </w:t>
      </w:r>
      <w:r w:rsidR="000A3348">
        <w:rPr>
          <w:rFonts w:ascii="Times New Roman" w:hAnsi="Times New Roman" w:cs="Times New Roman"/>
          <w:b/>
        </w:rPr>
        <w:t>(in our third submission)</w:t>
      </w:r>
      <w:r w:rsidRPr="005C2B00">
        <w:rPr>
          <w:rFonts w:ascii="Times New Roman" w:hAnsi="Times New Roman" w:cs="Times New Roman"/>
          <w:b/>
        </w:rPr>
        <w:t xml:space="preserve">, </w:t>
      </w:r>
      <w:r>
        <w:rPr>
          <w:rFonts w:ascii="Times New Roman" w:hAnsi="Times New Roman" w:cs="Times New Roman"/>
          <w:b/>
        </w:rPr>
        <w:t>w</w:t>
      </w:r>
      <w:r w:rsidRPr="00E4504D">
        <w:rPr>
          <w:rFonts w:ascii="Times New Roman" w:hAnsi="Times New Roman" w:cs="Times New Roman"/>
          <w:b/>
        </w:rPr>
        <w:t>orking separately and together with other States</w:t>
      </w:r>
      <w:r>
        <w:rPr>
          <w:rFonts w:ascii="Times New Roman" w:hAnsi="Times New Roman" w:cs="Times New Roman"/>
          <w:b/>
        </w:rPr>
        <w:t xml:space="preserve"> through international cooperation and assistance to address any legal or practical obstacles to access to justice for human rights harms by TNC-OBE in conflict, post-conflict and occupied areas. </w:t>
      </w:r>
    </w:p>
    <w:p w:rsidR="002075FB" w:rsidRDefault="002075FB" w:rsidP="002075FB">
      <w:pPr>
        <w:spacing w:after="0"/>
        <w:rPr>
          <w:rFonts w:ascii="Times New Roman" w:hAnsi="Times New Roman" w:cs="Times New Roman"/>
          <w:i/>
        </w:rPr>
      </w:pPr>
    </w:p>
    <w:p w:rsidR="00DB32DB" w:rsidRDefault="00DB32DB" w:rsidP="00DB32DB"/>
    <w:p w:rsidR="00DB32DB" w:rsidRDefault="00DB32DB" w:rsidP="00DB32DB"/>
    <w:p w:rsidR="00DB32DB" w:rsidRDefault="00DB32DB" w:rsidP="00DB32DB"/>
    <w:p w:rsidR="002075FB" w:rsidRDefault="002075FB">
      <w:pPr>
        <w:rPr>
          <w:b/>
          <w:sz w:val="28"/>
          <w:szCs w:val="28"/>
        </w:rPr>
      </w:pPr>
      <w:r>
        <w:rPr>
          <w:b/>
          <w:sz w:val="28"/>
          <w:szCs w:val="28"/>
        </w:rPr>
        <w:br w:type="page"/>
      </w:r>
    </w:p>
    <w:p w:rsidR="00DB32DB" w:rsidRDefault="00DB32DB" w:rsidP="00DB32DB">
      <w:pPr>
        <w:jc w:val="center"/>
        <w:rPr>
          <w:b/>
          <w:sz w:val="28"/>
          <w:szCs w:val="28"/>
        </w:rPr>
      </w:pPr>
      <w:r w:rsidRPr="008B0CEF">
        <w:rPr>
          <w:b/>
          <w:sz w:val="28"/>
          <w:szCs w:val="28"/>
        </w:rPr>
        <w:lastRenderedPageBreak/>
        <w:t>Signatories from the ESCR-Net Corporate Accountability Working Group</w:t>
      </w:r>
    </w:p>
    <w:p w:rsidR="00DB32DB" w:rsidRDefault="00DB32DB" w:rsidP="00DB32DB">
      <w:pPr>
        <w:jc w:val="center"/>
        <w:rPr>
          <w:sz w:val="24"/>
          <w:szCs w:val="24"/>
        </w:rPr>
      </w:pPr>
      <w:r w:rsidRPr="008B0CEF">
        <w:rPr>
          <w:sz w:val="24"/>
          <w:szCs w:val="24"/>
        </w:rPr>
        <w:t>Above Ground</w:t>
      </w:r>
      <w:r>
        <w:rPr>
          <w:sz w:val="24"/>
          <w:szCs w:val="24"/>
        </w:rPr>
        <w:t xml:space="preserve"> (Canada)</w:t>
      </w:r>
    </w:p>
    <w:p w:rsidR="00DB32DB" w:rsidRDefault="00DB32DB" w:rsidP="00DB32DB">
      <w:pPr>
        <w:jc w:val="center"/>
        <w:rPr>
          <w:sz w:val="24"/>
          <w:szCs w:val="24"/>
        </w:rPr>
      </w:pPr>
      <w:r>
        <w:rPr>
          <w:sz w:val="24"/>
          <w:szCs w:val="24"/>
        </w:rPr>
        <w:t xml:space="preserve">Accountability Counsel (USA) </w:t>
      </w:r>
    </w:p>
    <w:tbl>
      <w:tblPr>
        <w:tblW w:w="0" w:type="auto"/>
        <w:tblCellSpacing w:w="15" w:type="dxa"/>
        <w:tblCellMar>
          <w:top w:w="15" w:type="dxa"/>
          <w:left w:w="15" w:type="dxa"/>
          <w:bottom w:w="15" w:type="dxa"/>
          <w:right w:w="15" w:type="dxa"/>
        </w:tblCellMar>
        <w:tblLook w:val="04A0" w:firstRow="1" w:lastRow="0" w:firstColumn="1" w:lastColumn="0" w:noHBand="0" w:noVBand="1"/>
        <w:tblDescription w:val="Search results listings."/>
      </w:tblPr>
      <w:tblGrid>
        <w:gridCol w:w="81"/>
        <w:gridCol w:w="6908"/>
      </w:tblGrid>
      <w:tr w:rsidR="00DB32DB" w:rsidRPr="008B0CEF" w:rsidTr="009A0251">
        <w:trPr>
          <w:tblCellSpacing w:w="15" w:type="dxa"/>
        </w:trPr>
        <w:tc>
          <w:tcPr>
            <w:tcW w:w="0" w:type="auto"/>
            <w:vAlign w:val="center"/>
            <w:hideMark/>
          </w:tcPr>
          <w:p w:rsidR="00DB32DB" w:rsidRPr="008B0CEF" w:rsidRDefault="00DB32DB" w:rsidP="009A0251">
            <w:pPr>
              <w:jc w:val="center"/>
              <w:rPr>
                <w:sz w:val="24"/>
                <w:szCs w:val="24"/>
              </w:rPr>
            </w:pPr>
          </w:p>
        </w:tc>
        <w:tc>
          <w:tcPr>
            <w:tcW w:w="0" w:type="auto"/>
            <w:vAlign w:val="center"/>
            <w:hideMark/>
          </w:tcPr>
          <w:p w:rsidR="00DB32DB" w:rsidRPr="008B0CEF" w:rsidRDefault="00DB32DB" w:rsidP="009A0251">
            <w:pPr>
              <w:ind w:left="2055"/>
              <w:jc w:val="center"/>
              <w:rPr>
                <w:sz w:val="24"/>
                <w:szCs w:val="24"/>
              </w:rPr>
            </w:pPr>
            <w:r w:rsidRPr="008B0CEF">
              <w:rPr>
                <w:sz w:val="24"/>
                <w:szCs w:val="24"/>
              </w:rPr>
              <w:t xml:space="preserve">Action </w:t>
            </w:r>
            <w:proofErr w:type="spellStart"/>
            <w:r w:rsidRPr="008B0CEF">
              <w:rPr>
                <w:sz w:val="24"/>
                <w:szCs w:val="24"/>
              </w:rPr>
              <w:t>Contre</w:t>
            </w:r>
            <w:proofErr w:type="spellEnd"/>
            <w:r w:rsidRPr="008B0CEF">
              <w:rPr>
                <w:sz w:val="24"/>
                <w:szCs w:val="24"/>
              </w:rPr>
              <w:t xml:space="preserve"> </w:t>
            </w:r>
            <w:proofErr w:type="spellStart"/>
            <w:r w:rsidRPr="008B0CEF">
              <w:rPr>
                <w:sz w:val="24"/>
                <w:szCs w:val="24"/>
              </w:rPr>
              <w:t>Impunitie</w:t>
            </w:r>
            <w:proofErr w:type="spellEnd"/>
            <w:r w:rsidRPr="008B0CEF">
              <w:rPr>
                <w:sz w:val="24"/>
                <w:szCs w:val="24"/>
              </w:rPr>
              <w:t xml:space="preserve"> Pour Les Droits </w:t>
            </w:r>
            <w:proofErr w:type="spellStart"/>
            <w:r w:rsidRPr="008B0CEF">
              <w:rPr>
                <w:sz w:val="24"/>
                <w:szCs w:val="24"/>
              </w:rPr>
              <w:t>Humains</w:t>
            </w:r>
            <w:proofErr w:type="spellEnd"/>
          </w:p>
        </w:tc>
      </w:tr>
    </w:tbl>
    <w:p w:rsidR="00DB32DB" w:rsidRPr="00F112AB" w:rsidRDefault="00DB32DB" w:rsidP="00DB32DB">
      <w:pPr>
        <w:jc w:val="center"/>
        <w:rPr>
          <w:sz w:val="24"/>
          <w:szCs w:val="24"/>
        </w:rPr>
      </w:pPr>
      <w:r w:rsidRPr="00F112AB">
        <w:rPr>
          <w:sz w:val="24"/>
          <w:szCs w:val="24"/>
        </w:rPr>
        <w:t>African Resources Watch (</w:t>
      </w:r>
      <w:proofErr w:type="spellStart"/>
      <w:proofErr w:type="gramStart"/>
      <w:r w:rsidRPr="00F112AB">
        <w:rPr>
          <w:sz w:val="24"/>
          <w:szCs w:val="24"/>
        </w:rPr>
        <w:t>AfreWatch</w:t>
      </w:r>
      <w:proofErr w:type="spellEnd"/>
      <w:r w:rsidRPr="00F112AB">
        <w:rPr>
          <w:sz w:val="24"/>
          <w:szCs w:val="24"/>
        </w:rPr>
        <w:t>)  (</w:t>
      </w:r>
      <w:proofErr w:type="gramEnd"/>
      <w:r w:rsidRPr="00F112AB">
        <w:rPr>
          <w:sz w:val="24"/>
          <w:szCs w:val="24"/>
        </w:rPr>
        <w:t>DRC)</w:t>
      </w:r>
    </w:p>
    <w:p w:rsidR="00DB32DB" w:rsidRPr="00F112AB" w:rsidRDefault="00DB32DB" w:rsidP="00DB32DB">
      <w:pPr>
        <w:jc w:val="center"/>
        <w:rPr>
          <w:sz w:val="24"/>
          <w:szCs w:val="24"/>
        </w:rPr>
      </w:pPr>
      <w:r w:rsidRPr="00F112AB">
        <w:rPr>
          <w:sz w:val="24"/>
          <w:szCs w:val="24"/>
        </w:rPr>
        <w:t>Al-Haq (Palestine)</w:t>
      </w:r>
    </w:p>
    <w:p w:rsidR="00DB32DB" w:rsidRPr="00F112AB" w:rsidRDefault="00DB32DB" w:rsidP="00DB32DB">
      <w:pPr>
        <w:jc w:val="center"/>
        <w:rPr>
          <w:sz w:val="24"/>
          <w:szCs w:val="24"/>
        </w:rPr>
      </w:pPr>
      <w:r w:rsidRPr="00F112AB">
        <w:rPr>
          <w:sz w:val="24"/>
          <w:szCs w:val="24"/>
        </w:rPr>
        <w:t>Alternative ASEAN Network on Burma</w:t>
      </w:r>
    </w:p>
    <w:p w:rsidR="00DB32DB" w:rsidRPr="00F112AB" w:rsidRDefault="00DB32DB" w:rsidP="00DB32DB">
      <w:pPr>
        <w:jc w:val="center"/>
        <w:rPr>
          <w:sz w:val="24"/>
          <w:szCs w:val="24"/>
        </w:rPr>
      </w:pPr>
      <w:r w:rsidRPr="00F112AB">
        <w:rPr>
          <w:sz w:val="24"/>
          <w:szCs w:val="24"/>
        </w:rPr>
        <w:t>Arab NGO Network for Development (Lebanon)</w:t>
      </w:r>
    </w:p>
    <w:tbl>
      <w:tblPr>
        <w:tblW w:w="0" w:type="auto"/>
        <w:tblCellSpacing w:w="15" w:type="dxa"/>
        <w:tblCellMar>
          <w:top w:w="15" w:type="dxa"/>
          <w:left w:w="15" w:type="dxa"/>
          <w:bottom w:w="15" w:type="dxa"/>
          <w:right w:w="15" w:type="dxa"/>
        </w:tblCellMar>
        <w:tblLook w:val="04A0" w:firstRow="1" w:lastRow="0" w:firstColumn="1" w:lastColumn="0" w:noHBand="0" w:noVBand="1"/>
        <w:tblDescription w:val="Search results listings."/>
      </w:tblPr>
      <w:tblGrid>
        <w:gridCol w:w="81"/>
        <w:gridCol w:w="7746"/>
      </w:tblGrid>
      <w:tr w:rsidR="00DB32DB" w:rsidRPr="008B0CEF" w:rsidTr="009A0251">
        <w:trPr>
          <w:tblCellSpacing w:w="15" w:type="dxa"/>
        </w:trPr>
        <w:tc>
          <w:tcPr>
            <w:tcW w:w="0" w:type="auto"/>
            <w:vAlign w:val="center"/>
            <w:hideMark/>
          </w:tcPr>
          <w:p w:rsidR="00DB32DB" w:rsidRPr="008B0CEF" w:rsidRDefault="00DB32DB" w:rsidP="009A0251">
            <w:pPr>
              <w:jc w:val="center"/>
              <w:rPr>
                <w:sz w:val="24"/>
                <w:szCs w:val="24"/>
              </w:rPr>
            </w:pPr>
          </w:p>
        </w:tc>
        <w:tc>
          <w:tcPr>
            <w:tcW w:w="0" w:type="auto"/>
            <w:vAlign w:val="center"/>
            <w:hideMark/>
          </w:tcPr>
          <w:p w:rsidR="00DB32DB" w:rsidRPr="00F112AB" w:rsidRDefault="00DB32DB" w:rsidP="009A0251">
            <w:pPr>
              <w:ind w:left="1695"/>
              <w:jc w:val="center"/>
              <w:rPr>
                <w:sz w:val="24"/>
                <w:szCs w:val="24"/>
              </w:rPr>
            </w:pPr>
            <w:hyperlink r:id="rId10" w:history="1">
              <w:r w:rsidRPr="00F112AB">
                <w:rPr>
                  <w:sz w:val="24"/>
                  <w:szCs w:val="24"/>
                </w:rPr>
                <w:t>Asian Forum for Human Rights and Development</w:t>
              </w:r>
            </w:hyperlink>
            <w:r w:rsidRPr="00F112AB">
              <w:rPr>
                <w:sz w:val="24"/>
                <w:szCs w:val="24"/>
              </w:rPr>
              <w:t xml:space="preserve"> (Thailand)</w:t>
            </w:r>
          </w:p>
          <w:p w:rsidR="00DB32DB" w:rsidRPr="00F112AB" w:rsidRDefault="00DB32DB" w:rsidP="009A0251">
            <w:pPr>
              <w:ind w:left="1785"/>
              <w:jc w:val="center"/>
              <w:rPr>
                <w:sz w:val="24"/>
                <w:szCs w:val="24"/>
              </w:rPr>
            </w:pPr>
            <w:r w:rsidRPr="00F112AB">
              <w:rPr>
                <w:sz w:val="24"/>
                <w:szCs w:val="24"/>
              </w:rPr>
              <w:t>Asian Indigenous Peoples' Pact (Thailand)</w:t>
            </w:r>
          </w:p>
          <w:p w:rsidR="00DB32DB" w:rsidRPr="008B0CEF" w:rsidRDefault="00DB32DB" w:rsidP="009A0251">
            <w:pPr>
              <w:ind w:left="1425"/>
              <w:jc w:val="center"/>
              <w:rPr>
                <w:sz w:val="24"/>
                <w:szCs w:val="24"/>
              </w:rPr>
            </w:pPr>
            <w:r w:rsidRPr="008B0CEF">
              <w:rPr>
                <w:sz w:val="24"/>
                <w:szCs w:val="24"/>
              </w:rPr>
              <w:t>Asia Pacific Forum on Women, Law and Development</w:t>
            </w:r>
            <w:r w:rsidRPr="00F112AB">
              <w:rPr>
                <w:sz w:val="24"/>
                <w:szCs w:val="24"/>
              </w:rPr>
              <w:t xml:space="preserve"> (Thailand)</w:t>
            </w:r>
          </w:p>
        </w:tc>
      </w:tr>
    </w:tbl>
    <w:p w:rsidR="00DB32DB" w:rsidRPr="00F112AB" w:rsidRDefault="00DB32DB" w:rsidP="00DB32DB">
      <w:pPr>
        <w:jc w:val="center"/>
        <w:rPr>
          <w:sz w:val="24"/>
          <w:szCs w:val="24"/>
        </w:rPr>
      </w:pPr>
      <w:proofErr w:type="spellStart"/>
      <w:r w:rsidRPr="00F112AB">
        <w:rPr>
          <w:sz w:val="24"/>
          <w:szCs w:val="24"/>
        </w:rPr>
        <w:t>A</w:t>
      </w:r>
      <w:r>
        <w:rPr>
          <w:sz w:val="24"/>
          <w:szCs w:val="24"/>
        </w:rPr>
        <w:t>sociacion</w:t>
      </w:r>
      <w:proofErr w:type="spellEnd"/>
      <w:r>
        <w:rPr>
          <w:sz w:val="24"/>
          <w:szCs w:val="24"/>
        </w:rPr>
        <w:t xml:space="preserve"> Pro Derechos </w:t>
      </w:r>
      <w:proofErr w:type="spellStart"/>
      <w:r>
        <w:rPr>
          <w:sz w:val="24"/>
          <w:szCs w:val="24"/>
        </w:rPr>
        <w:t>Humanos</w:t>
      </w:r>
      <w:proofErr w:type="spellEnd"/>
      <w:r>
        <w:rPr>
          <w:sz w:val="24"/>
          <w:szCs w:val="24"/>
        </w:rPr>
        <w:t xml:space="preserve"> </w:t>
      </w:r>
      <w:r w:rsidRPr="00F112AB">
        <w:rPr>
          <w:sz w:val="24"/>
          <w:szCs w:val="24"/>
        </w:rPr>
        <w:t>(Peru)</w:t>
      </w:r>
    </w:p>
    <w:p w:rsidR="00DB32DB" w:rsidRPr="00F112AB" w:rsidRDefault="00DB32DB" w:rsidP="00DB32DB">
      <w:pPr>
        <w:jc w:val="center"/>
        <w:rPr>
          <w:sz w:val="24"/>
          <w:szCs w:val="24"/>
        </w:rPr>
      </w:pPr>
      <w:r w:rsidRPr="00F112AB">
        <w:rPr>
          <w:sz w:val="24"/>
          <w:szCs w:val="24"/>
        </w:rPr>
        <w:t>Association for Women's Rights in Development</w:t>
      </w:r>
    </w:p>
    <w:p w:rsidR="00DB32DB" w:rsidRPr="00F112AB" w:rsidRDefault="00DB32DB" w:rsidP="00DB32DB">
      <w:pPr>
        <w:jc w:val="center"/>
        <w:rPr>
          <w:sz w:val="24"/>
          <w:szCs w:val="24"/>
        </w:rPr>
      </w:pPr>
      <w:r w:rsidRPr="00F112AB">
        <w:rPr>
          <w:sz w:val="24"/>
          <w:szCs w:val="24"/>
        </w:rPr>
        <w:t>Association of Environmental Lawyers of Liberia - Green Advocates</w:t>
      </w:r>
    </w:p>
    <w:p w:rsidR="00DB32DB" w:rsidRPr="00F112AB" w:rsidRDefault="00DB32DB" w:rsidP="00DB32DB">
      <w:pPr>
        <w:jc w:val="center"/>
        <w:rPr>
          <w:sz w:val="24"/>
          <w:szCs w:val="24"/>
        </w:rPr>
      </w:pPr>
      <w:r w:rsidRPr="00F112AB">
        <w:rPr>
          <w:sz w:val="24"/>
          <w:szCs w:val="24"/>
        </w:rPr>
        <w:t>Center for Constitutional Rights (USA)</w:t>
      </w:r>
    </w:p>
    <w:p w:rsidR="00DB32DB" w:rsidRPr="00F112AB" w:rsidRDefault="00DB32DB" w:rsidP="00DB32DB">
      <w:pPr>
        <w:jc w:val="center"/>
        <w:rPr>
          <w:sz w:val="24"/>
          <w:szCs w:val="24"/>
        </w:rPr>
      </w:pPr>
      <w:r w:rsidRPr="00F112AB">
        <w:rPr>
          <w:sz w:val="24"/>
          <w:szCs w:val="24"/>
        </w:rPr>
        <w:t>Center for International Environmental Law (USA)</w:t>
      </w:r>
    </w:p>
    <w:p w:rsidR="00DB32DB" w:rsidRPr="00F112AB" w:rsidRDefault="00DB32DB" w:rsidP="00DB32DB">
      <w:pPr>
        <w:jc w:val="center"/>
        <w:rPr>
          <w:sz w:val="24"/>
          <w:szCs w:val="24"/>
        </w:rPr>
      </w:pPr>
      <w:r w:rsidRPr="00F112AB">
        <w:rPr>
          <w:sz w:val="24"/>
          <w:szCs w:val="24"/>
        </w:rPr>
        <w:t xml:space="preserve">Centre for Applied Legal Studies (South Africa) </w:t>
      </w:r>
    </w:p>
    <w:p w:rsidR="00DB32DB" w:rsidRPr="00F112AB" w:rsidRDefault="00DB32DB" w:rsidP="00DB32DB">
      <w:pPr>
        <w:jc w:val="center"/>
        <w:rPr>
          <w:sz w:val="24"/>
          <w:szCs w:val="24"/>
        </w:rPr>
      </w:pPr>
      <w:r w:rsidRPr="00F112AB">
        <w:rPr>
          <w:sz w:val="24"/>
          <w:szCs w:val="24"/>
        </w:rPr>
        <w:t>Centre for Human Rights and Development (Mongolia)</w:t>
      </w:r>
    </w:p>
    <w:p w:rsidR="00DB32DB" w:rsidRPr="00F112AB" w:rsidRDefault="00DB32DB" w:rsidP="00DB32DB">
      <w:pPr>
        <w:jc w:val="center"/>
        <w:rPr>
          <w:sz w:val="24"/>
          <w:szCs w:val="24"/>
        </w:rPr>
      </w:pPr>
      <w:r w:rsidRPr="00F112AB">
        <w:rPr>
          <w:sz w:val="24"/>
          <w:szCs w:val="24"/>
        </w:rPr>
        <w:t xml:space="preserve">Centro de Derechos </w:t>
      </w:r>
      <w:proofErr w:type="spellStart"/>
      <w:r w:rsidRPr="00F112AB">
        <w:rPr>
          <w:sz w:val="24"/>
          <w:szCs w:val="24"/>
        </w:rPr>
        <w:t>Humanos</w:t>
      </w:r>
      <w:proofErr w:type="spellEnd"/>
      <w:r w:rsidRPr="00F112AB">
        <w:rPr>
          <w:sz w:val="24"/>
          <w:szCs w:val="24"/>
        </w:rPr>
        <w:t xml:space="preserve"> de la </w:t>
      </w:r>
      <w:proofErr w:type="spellStart"/>
      <w:r w:rsidRPr="00F112AB">
        <w:rPr>
          <w:sz w:val="24"/>
          <w:szCs w:val="24"/>
        </w:rPr>
        <w:t>Montaña</w:t>
      </w:r>
      <w:proofErr w:type="spellEnd"/>
      <w:r w:rsidRPr="00F112AB">
        <w:rPr>
          <w:sz w:val="24"/>
          <w:szCs w:val="24"/>
        </w:rPr>
        <w:t xml:space="preserve"> </w:t>
      </w:r>
      <w:proofErr w:type="spellStart"/>
      <w:r w:rsidRPr="00F112AB">
        <w:rPr>
          <w:sz w:val="24"/>
          <w:szCs w:val="24"/>
        </w:rPr>
        <w:t>Tlachinollan</w:t>
      </w:r>
      <w:proofErr w:type="spellEnd"/>
      <w:r w:rsidRPr="00F112AB">
        <w:rPr>
          <w:sz w:val="24"/>
          <w:szCs w:val="24"/>
        </w:rPr>
        <w:t xml:space="preserve"> (Mexico)</w:t>
      </w:r>
    </w:p>
    <w:p w:rsidR="00DB32DB" w:rsidRPr="00F112AB" w:rsidRDefault="00DB32DB" w:rsidP="00DB32DB">
      <w:pPr>
        <w:jc w:val="center"/>
        <w:rPr>
          <w:sz w:val="24"/>
          <w:szCs w:val="24"/>
        </w:rPr>
      </w:pPr>
      <w:r w:rsidRPr="00F112AB">
        <w:rPr>
          <w:sz w:val="24"/>
          <w:szCs w:val="24"/>
        </w:rPr>
        <w:t xml:space="preserve">Centro de </w:t>
      </w:r>
      <w:proofErr w:type="spellStart"/>
      <w:r w:rsidRPr="00F112AB">
        <w:rPr>
          <w:sz w:val="24"/>
          <w:szCs w:val="24"/>
        </w:rPr>
        <w:t>Estudios</w:t>
      </w:r>
      <w:proofErr w:type="spellEnd"/>
      <w:r w:rsidRPr="00F112AB">
        <w:rPr>
          <w:sz w:val="24"/>
          <w:szCs w:val="24"/>
        </w:rPr>
        <w:t xml:space="preserve"> </w:t>
      </w:r>
      <w:proofErr w:type="spellStart"/>
      <w:r w:rsidRPr="00F112AB">
        <w:rPr>
          <w:sz w:val="24"/>
          <w:szCs w:val="24"/>
        </w:rPr>
        <w:t>Legales</w:t>
      </w:r>
      <w:proofErr w:type="spellEnd"/>
      <w:r w:rsidRPr="00F112AB">
        <w:rPr>
          <w:sz w:val="24"/>
          <w:szCs w:val="24"/>
        </w:rPr>
        <w:t xml:space="preserve"> y </w:t>
      </w:r>
      <w:proofErr w:type="spellStart"/>
      <w:r w:rsidRPr="00F112AB">
        <w:rPr>
          <w:sz w:val="24"/>
          <w:szCs w:val="24"/>
        </w:rPr>
        <w:t>Sociales</w:t>
      </w:r>
      <w:proofErr w:type="spellEnd"/>
      <w:r w:rsidRPr="00F112AB">
        <w:rPr>
          <w:sz w:val="24"/>
          <w:szCs w:val="24"/>
        </w:rPr>
        <w:t xml:space="preserve"> (Argentina)</w:t>
      </w:r>
    </w:p>
    <w:p w:rsidR="00DB32DB" w:rsidRPr="00F112AB" w:rsidRDefault="00DB32DB" w:rsidP="00DB32DB">
      <w:pPr>
        <w:jc w:val="center"/>
        <w:rPr>
          <w:sz w:val="24"/>
          <w:szCs w:val="24"/>
        </w:rPr>
      </w:pPr>
      <w:r w:rsidRPr="00F112AB">
        <w:rPr>
          <w:sz w:val="24"/>
          <w:szCs w:val="24"/>
        </w:rPr>
        <w:t xml:space="preserve">Centro </w:t>
      </w:r>
      <w:proofErr w:type="spellStart"/>
      <w:r w:rsidRPr="00F112AB">
        <w:rPr>
          <w:sz w:val="24"/>
          <w:szCs w:val="24"/>
        </w:rPr>
        <w:t>Mexicano</w:t>
      </w:r>
      <w:proofErr w:type="spellEnd"/>
      <w:r w:rsidRPr="00F112AB">
        <w:rPr>
          <w:sz w:val="24"/>
          <w:szCs w:val="24"/>
        </w:rPr>
        <w:t xml:space="preserve"> de Derecho </w:t>
      </w:r>
      <w:proofErr w:type="spellStart"/>
      <w:r w:rsidRPr="00F112AB">
        <w:rPr>
          <w:sz w:val="24"/>
          <w:szCs w:val="24"/>
        </w:rPr>
        <w:t>Ambiental</w:t>
      </w:r>
      <w:proofErr w:type="spellEnd"/>
      <w:r w:rsidRPr="00F112AB">
        <w:rPr>
          <w:sz w:val="24"/>
          <w:szCs w:val="24"/>
        </w:rPr>
        <w:t xml:space="preserve"> A.C (Mexico)</w:t>
      </w:r>
    </w:p>
    <w:p w:rsidR="00DB32DB" w:rsidRPr="00F112AB" w:rsidRDefault="00DB32DB" w:rsidP="00DB32DB">
      <w:pPr>
        <w:jc w:val="center"/>
        <w:rPr>
          <w:sz w:val="24"/>
          <w:szCs w:val="24"/>
        </w:rPr>
      </w:pPr>
      <w:proofErr w:type="spellStart"/>
      <w:r w:rsidRPr="00F112AB">
        <w:rPr>
          <w:sz w:val="24"/>
          <w:szCs w:val="24"/>
        </w:rPr>
        <w:t>Chiadzwa</w:t>
      </w:r>
      <w:proofErr w:type="spellEnd"/>
      <w:r w:rsidRPr="00F112AB">
        <w:rPr>
          <w:sz w:val="24"/>
          <w:szCs w:val="24"/>
        </w:rPr>
        <w:t xml:space="preserve"> Community Development Trust (Zimbabwe)</w:t>
      </w:r>
    </w:p>
    <w:p w:rsidR="00DB32DB" w:rsidRPr="00F112AB" w:rsidRDefault="00DB32DB" w:rsidP="00DB32DB">
      <w:pPr>
        <w:jc w:val="center"/>
        <w:rPr>
          <w:sz w:val="24"/>
          <w:szCs w:val="24"/>
        </w:rPr>
      </w:pPr>
      <w:r w:rsidRPr="00F112AB">
        <w:rPr>
          <w:sz w:val="24"/>
          <w:szCs w:val="24"/>
        </w:rPr>
        <w:t>Citizen News Service (India)</w:t>
      </w:r>
    </w:p>
    <w:p w:rsidR="00DB32DB" w:rsidRPr="00F112AB" w:rsidRDefault="00DB32DB" w:rsidP="00DB32DB">
      <w:pPr>
        <w:jc w:val="center"/>
        <w:rPr>
          <w:sz w:val="24"/>
          <w:szCs w:val="24"/>
        </w:rPr>
      </w:pPr>
      <w:r w:rsidRPr="00F112AB">
        <w:rPr>
          <w:sz w:val="24"/>
          <w:szCs w:val="24"/>
        </w:rPr>
        <w:t>Citizens for Justice (Malawi)</w:t>
      </w:r>
    </w:p>
    <w:tbl>
      <w:tblPr>
        <w:tblW w:w="0" w:type="auto"/>
        <w:tblCellSpacing w:w="15" w:type="dxa"/>
        <w:tblCellMar>
          <w:top w:w="15" w:type="dxa"/>
          <w:left w:w="15" w:type="dxa"/>
          <w:bottom w:w="15" w:type="dxa"/>
          <w:right w:w="15" w:type="dxa"/>
        </w:tblCellMar>
        <w:tblLook w:val="04A0" w:firstRow="1" w:lastRow="0" w:firstColumn="1" w:lastColumn="0" w:noHBand="0" w:noVBand="1"/>
        <w:tblDescription w:val="Search results listings."/>
      </w:tblPr>
      <w:tblGrid>
        <w:gridCol w:w="81"/>
        <w:gridCol w:w="7132"/>
        <w:gridCol w:w="45"/>
      </w:tblGrid>
      <w:tr w:rsidR="00DB32DB" w:rsidRPr="008A7D25" w:rsidTr="009A0251">
        <w:trPr>
          <w:tblCellSpacing w:w="15" w:type="dxa"/>
        </w:trPr>
        <w:tc>
          <w:tcPr>
            <w:tcW w:w="0" w:type="auto"/>
            <w:vAlign w:val="center"/>
            <w:hideMark/>
          </w:tcPr>
          <w:p w:rsidR="00DB32DB" w:rsidRPr="008A7D25" w:rsidRDefault="00DB32DB" w:rsidP="009A0251">
            <w:pPr>
              <w:jc w:val="center"/>
              <w:rPr>
                <w:sz w:val="24"/>
                <w:szCs w:val="24"/>
              </w:rPr>
            </w:pPr>
          </w:p>
        </w:tc>
        <w:tc>
          <w:tcPr>
            <w:tcW w:w="0" w:type="auto"/>
            <w:gridSpan w:val="2"/>
            <w:vAlign w:val="center"/>
            <w:hideMark/>
          </w:tcPr>
          <w:p w:rsidR="00DB32DB" w:rsidRPr="008A7D25" w:rsidRDefault="00DB32DB" w:rsidP="009A0251">
            <w:pPr>
              <w:ind w:left="2055"/>
              <w:jc w:val="center"/>
              <w:rPr>
                <w:sz w:val="24"/>
                <w:szCs w:val="24"/>
              </w:rPr>
            </w:pPr>
            <w:proofErr w:type="spellStart"/>
            <w:r w:rsidRPr="008A7D25">
              <w:rPr>
                <w:sz w:val="24"/>
                <w:szCs w:val="24"/>
              </w:rPr>
              <w:t>Comite</w:t>
            </w:r>
            <w:proofErr w:type="spellEnd"/>
            <w:r w:rsidRPr="008A7D25">
              <w:rPr>
                <w:sz w:val="24"/>
                <w:szCs w:val="24"/>
              </w:rPr>
              <w:t xml:space="preserve"> </w:t>
            </w:r>
            <w:proofErr w:type="spellStart"/>
            <w:r w:rsidRPr="008A7D25">
              <w:rPr>
                <w:sz w:val="24"/>
                <w:szCs w:val="24"/>
              </w:rPr>
              <w:t>Ambiental</w:t>
            </w:r>
            <w:proofErr w:type="spellEnd"/>
            <w:r w:rsidRPr="008A7D25">
              <w:rPr>
                <w:sz w:val="24"/>
                <w:szCs w:val="24"/>
              </w:rPr>
              <w:t xml:space="preserve"> </w:t>
            </w:r>
            <w:proofErr w:type="spellStart"/>
            <w:r w:rsidRPr="008A7D25">
              <w:rPr>
                <w:sz w:val="24"/>
                <w:szCs w:val="24"/>
              </w:rPr>
              <w:t>en</w:t>
            </w:r>
            <w:proofErr w:type="spellEnd"/>
            <w:r w:rsidRPr="008A7D25">
              <w:rPr>
                <w:sz w:val="24"/>
                <w:szCs w:val="24"/>
              </w:rPr>
              <w:t xml:space="preserve"> </w:t>
            </w:r>
            <w:proofErr w:type="spellStart"/>
            <w:r w:rsidRPr="008A7D25">
              <w:rPr>
                <w:sz w:val="24"/>
                <w:szCs w:val="24"/>
              </w:rPr>
              <w:t>Defensa</w:t>
            </w:r>
            <w:proofErr w:type="spellEnd"/>
            <w:r w:rsidRPr="008A7D25">
              <w:rPr>
                <w:sz w:val="24"/>
                <w:szCs w:val="24"/>
              </w:rPr>
              <w:t xml:space="preserve"> de la Vida</w:t>
            </w:r>
            <w:r w:rsidRPr="00F112AB">
              <w:rPr>
                <w:sz w:val="24"/>
                <w:szCs w:val="24"/>
              </w:rPr>
              <w:t xml:space="preserve"> (Colombia)</w:t>
            </w:r>
          </w:p>
        </w:tc>
      </w:tr>
      <w:tr w:rsidR="00DB32DB" w:rsidRPr="008A7D25" w:rsidTr="009A0251">
        <w:trPr>
          <w:tblCellSpacing w:w="15" w:type="dxa"/>
        </w:trPr>
        <w:tc>
          <w:tcPr>
            <w:tcW w:w="0" w:type="auto"/>
            <w:vAlign w:val="center"/>
            <w:hideMark/>
          </w:tcPr>
          <w:p w:rsidR="00DB32DB" w:rsidRPr="008A7D25" w:rsidRDefault="00DB32DB" w:rsidP="009A0251">
            <w:pPr>
              <w:jc w:val="center"/>
              <w:rPr>
                <w:sz w:val="24"/>
                <w:szCs w:val="24"/>
              </w:rPr>
            </w:pPr>
          </w:p>
        </w:tc>
        <w:tc>
          <w:tcPr>
            <w:tcW w:w="0" w:type="auto"/>
            <w:gridSpan w:val="2"/>
            <w:vAlign w:val="center"/>
            <w:hideMark/>
          </w:tcPr>
          <w:p w:rsidR="00DB32DB" w:rsidRPr="008A7D25" w:rsidRDefault="00DB32DB" w:rsidP="009A0251">
            <w:pPr>
              <w:ind w:left="1875"/>
              <w:jc w:val="center"/>
              <w:rPr>
                <w:sz w:val="24"/>
                <w:szCs w:val="24"/>
              </w:rPr>
            </w:pPr>
            <w:r>
              <w:rPr>
                <w:sz w:val="24"/>
                <w:szCs w:val="24"/>
              </w:rPr>
              <w:t xml:space="preserve">Conectas </w:t>
            </w:r>
            <w:proofErr w:type="spellStart"/>
            <w:r>
              <w:rPr>
                <w:sz w:val="24"/>
                <w:szCs w:val="24"/>
              </w:rPr>
              <w:t>Direitos</w:t>
            </w:r>
            <w:proofErr w:type="spellEnd"/>
            <w:r>
              <w:rPr>
                <w:sz w:val="24"/>
                <w:szCs w:val="24"/>
              </w:rPr>
              <w:t xml:space="preserve"> </w:t>
            </w:r>
            <w:proofErr w:type="spellStart"/>
            <w:r>
              <w:rPr>
                <w:sz w:val="24"/>
                <w:szCs w:val="24"/>
              </w:rPr>
              <w:t>Humanos</w:t>
            </w:r>
            <w:proofErr w:type="spellEnd"/>
            <w:r w:rsidRPr="008A7D25">
              <w:rPr>
                <w:sz w:val="24"/>
                <w:szCs w:val="24"/>
              </w:rPr>
              <w:t xml:space="preserve"> </w:t>
            </w:r>
            <w:r w:rsidRPr="00F112AB">
              <w:rPr>
                <w:sz w:val="24"/>
                <w:szCs w:val="24"/>
              </w:rPr>
              <w:t>(Brazil)</w:t>
            </w:r>
          </w:p>
        </w:tc>
      </w:tr>
      <w:tr w:rsidR="00DB32DB" w:rsidRPr="008A7D25" w:rsidTr="009A0251">
        <w:trPr>
          <w:gridAfter w:val="1"/>
          <w:tblCellSpacing w:w="15" w:type="dxa"/>
        </w:trPr>
        <w:tc>
          <w:tcPr>
            <w:tcW w:w="0" w:type="auto"/>
            <w:vAlign w:val="center"/>
            <w:hideMark/>
          </w:tcPr>
          <w:p w:rsidR="00DB32DB" w:rsidRPr="008A7D25" w:rsidRDefault="00DB32DB" w:rsidP="009A0251">
            <w:pPr>
              <w:jc w:val="center"/>
              <w:rPr>
                <w:sz w:val="24"/>
                <w:szCs w:val="24"/>
              </w:rPr>
            </w:pPr>
          </w:p>
        </w:tc>
        <w:tc>
          <w:tcPr>
            <w:tcW w:w="0" w:type="auto"/>
            <w:vAlign w:val="center"/>
            <w:hideMark/>
          </w:tcPr>
          <w:p w:rsidR="00DB32DB" w:rsidRPr="008A7D25" w:rsidRDefault="00DB32DB" w:rsidP="009A0251">
            <w:pPr>
              <w:ind w:left="1785"/>
              <w:jc w:val="center"/>
              <w:rPr>
                <w:sz w:val="24"/>
                <w:szCs w:val="24"/>
              </w:rPr>
            </w:pPr>
            <w:proofErr w:type="spellStart"/>
            <w:r w:rsidRPr="008A7D25">
              <w:rPr>
                <w:sz w:val="24"/>
                <w:szCs w:val="24"/>
              </w:rPr>
              <w:t>Confederación</w:t>
            </w:r>
            <w:proofErr w:type="spellEnd"/>
            <w:r w:rsidRPr="008A7D25">
              <w:rPr>
                <w:sz w:val="24"/>
                <w:szCs w:val="24"/>
              </w:rPr>
              <w:t xml:space="preserve"> </w:t>
            </w:r>
            <w:proofErr w:type="spellStart"/>
            <w:r w:rsidRPr="008A7D25">
              <w:rPr>
                <w:sz w:val="24"/>
                <w:szCs w:val="24"/>
              </w:rPr>
              <w:t>Campesina</w:t>
            </w:r>
            <w:proofErr w:type="spellEnd"/>
            <w:r w:rsidRPr="008A7D25">
              <w:rPr>
                <w:sz w:val="24"/>
                <w:szCs w:val="24"/>
              </w:rPr>
              <w:t xml:space="preserve"> Del Peru</w:t>
            </w:r>
          </w:p>
        </w:tc>
      </w:tr>
    </w:tbl>
    <w:p w:rsidR="00DB32DB" w:rsidRPr="00F112AB" w:rsidRDefault="00DB32DB" w:rsidP="00DB32DB">
      <w:pPr>
        <w:jc w:val="center"/>
        <w:rPr>
          <w:sz w:val="24"/>
          <w:szCs w:val="24"/>
        </w:rPr>
      </w:pPr>
      <w:proofErr w:type="spellStart"/>
      <w:r w:rsidRPr="00F112AB">
        <w:rPr>
          <w:sz w:val="24"/>
          <w:szCs w:val="24"/>
        </w:rPr>
        <w:t>Consejo</w:t>
      </w:r>
      <w:proofErr w:type="spellEnd"/>
      <w:r w:rsidRPr="00F112AB">
        <w:rPr>
          <w:sz w:val="24"/>
          <w:szCs w:val="24"/>
        </w:rPr>
        <w:t xml:space="preserve"> de Pueblos </w:t>
      </w:r>
      <w:proofErr w:type="spellStart"/>
      <w:r w:rsidRPr="00F112AB">
        <w:rPr>
          <w:sz w:val="24"/>
          <w:szCs w:val="24"/>
        </w:rPr>
        <w:t>Wuxhtaj</w:t>
      </w:r>
      <w:proofErr w:type="spellEnd"/>
      <w:r w:rsidRPr="00F112AB">
        <w:rPr>
          <w:sz w:val="24"/>
          <w:szCs w:val="24"/>
        </w:rPr>
        <w:t xml:space="preserve"> (Guatemala)</w:t>
      </w:r>
    </w:p>
    <w:tbl>
      <w:tblPr>
        <w:tblW w:w="0" w:type="auto"/>
        <w:tblCellSpacing w:w="15" w:type="dxa"/>
        <w:tblCellMar>
          <w:top w:w="15" w:type="dxa"/>
          <w:left w:w="15" w:type="dxa"/>
          <w:bottom w:w="15" w:type="dxa"/>
          <w:right w:w="15" w:type="dxa"/>
        </w:tblCellMar>
        <w:tblLook w:val="04A0" w:firstRow="1" w:lastRow="0" w:firstColumn="1" w:lastColumn="0" w:noHBand="0" w:noVBand="1"/>
        <w:tblDescription w:val="Search results listings."/>
      </w:tblPr>
      <w:tblGrid>
        <w:gridCol w:w="81"/>
        <w:gridCol w:w="7240"/>
      </w:tblGrid>
      <w:tr w:rsidR="00DB32DB" w:rsidRPr="008A7D25" w:rsidTr="009A0251">
        <w:trPr>
          <w:tblCellSpacing w:w="15" w:type="dxa"/>
        </w:trPr>
        <w:tc>
          <w:tcPr>
            <w:tcW w:w="0" w:type="auto"/>
            <w:vAlign w:val="center"/>
            <w:hideMark/>
          </w:tcPr>
          <w:p w:rsidR="00DB32DB" w:rsidRPr="008A7D25" w:rsidRDefault="00DB32DB" w:rsidP="009A0251">
            <w:pPr>
              <w:jc w:val="center"/>
              <w:rPr>
                <w:sz w:val="24"/>
                <w:szCs w:val="24"/>
              </w:rPr>
            </w:pPr>
          </w:p>
        </w:tc>
        <w:tc>
          <w:tcPr>
            <w:tcW w:w="0" w:type="auto"/>
            <w:vAlign w:val="center"/>
            <w:hideMark/>
          </w:tcPr>
          <w:p w:rsidR="00DB32DB" w:rsidRPr="008A7D25" w:rsidRDefault="00DB32DB" w:rsidP="009A0251">
            <w:pPr>
              <w:ind w:left="1605"/>
              <w:jc w:val="center"/>
              <w:rPr>
                <w:sz w:val="24"/>
                <w:szCs w:val="24"/>
              </w:rPr>
            </w:pPr>
            <w:proofErr w:type="spellStart"/>
            <w:r w:rsidRPr="008A7D25">
              <w:rPr>
                <w:sz w:val="24"/>
                <w:szCs w:val="24"/>
              </w:rPr>
              <w:t>Coordinadora</w:t>
            </w:r>
            <w:proofErr w:type="spellEnd"/>
            <w:r w:rsidRPr="008A7D25">
              <w:rPr>
                <w:sz w:val="24"/>
                <w:szCs w:val="24"/>
              </w:rPr>
              <w:t xml:space="preserve"> </w:t>
            </w:r>
            <w:proofErr w:type="spellStart"/>
            <w:r w:rsidRPr="008A7D25">
              <w:rPr>
                <w:sz w:val="24"/>
                <w:szCs w:val="24"/>
              </w:rPr>
              <w:t>Andina</w:t>
            </w:r>
            <w:proofErr w:type="spellEnd"/>
            <w:r w:rsidRPr="008A7D25">
              <w:rPr>
                <w:sz w:val="24"/>
                <w:szCs w:val="24"/>
              </w:rPr>
              <w:t xml:space="preserve"> de </w:t>
            </w:r>
            <w:proofErr w:type="spellStart"/>
            <w:r w:rsidRPr="008A7D25">
              <w:rPr>
                <w:sz w:val="24"/>
                <w:szCs w:val="24"/>
              </w:rPr>
              <w:t>Organizaciones</w:t>
            </w:r>
            <w:proofErr w:type="spellEnd"/>
            <w:r w:rsidRPr="008A7D25">
              <w:rPr>
                <w:sz w:val="24"/>
                <w:szCs w:val="24"/>
              </w:rPr>
              <w:t xml:space="preserve"> </w:t>
            </w:r>
            <w:proofErr w:type="spellStart"/>
            <w:r w:rsidRPr="008A7D25">
              <w:rPr>
                <w:sz w:val="24"/>
                <w:szCs w:val="24"/>
              </w:rPr>
              <w:t>Indígenas</w:t>
            </w:r>
            <w:proofErr w:type="spellEnd"/>
            <w:r w:rsidRPr="00F112AB">
              <w:rPr>
                <w:sz w:val="24"/>
                <w:szCs w:val="24"/>
              </w:rPr>
              <w:t xml:space="preserve"> (Peru)</w:t>
            </w:r>
          </w:p>
        </w:tc>
      </w:tr>
    </w:tbl>
    <w:p w:rsidR="00DB32DB" w:rsidRPr="00F112AB" w:rsidRDefault="00DB32DB" w:rsidP="00DB32DB">
      <w:pPr>
        <w:jc w:val="center"/>
        <w:rPr>
          <w:sz w:val="24"/>
          <w:szCs w:val="24"/>
        </w:rPr>
      </w:pPr>
      <w:r w:rsidRPr="00F112AB">
        <w:rPr>
          <w:sz w:val="24"/>
          <w:szCs w:val="24"/>
        </w:rPr>
        <w:t xml:space="preserve">Corporate Accountability </w:t>
      </w:r>
      <w:proofErr w:type="gramStart"/>
      <w:r w:rsidRPr="00F112AB">
        <w:rPr>
          <w:sz w:val="24"/>
          <w:szCs w:val="24"/>
        </w:rPr>
        <w:t>International  (</w:t>
      </w:r>
      <w:proofErr w:type="gramEnd"/>
      <w:r w:rsidRPr="00F112AB">
        <w:rPr>
          <w:sz w:val="24"/>
          <w:szCs w:val="24"/>
        </w:rPr>
        <w:t>USA)</w:t>
      </w:r>
    </w:p>
    <w:p w:rsidR="00DB32DB" w:rsidRPr="00F112AB" w:rsidRDefault="00DB32DB" w:rsidP="00DB32DB">
      <w:pPr>
        <w:jc w:val="center"/>
        <w:rPr>
          <w:sz w:val="24"/>
          <w:szCs w:val="24"/>
        </w:rPr>
      </w:pPr>
      <w:r w:rsidRPr="00F112AB">
        <w:rPr>
          <w:sz w:val="24"/>
          <w:szCs w:val="24"/>
        </w:rPr>
        <w:t>Defend Job Philippines</w:t>
      </w:r>
    </w:p>
    <w:p w:rsidR="00DB32DB" w:rsidRPr="00F112AB" w:rsidRDefault="00DB32DB" w:rsidP="00DB32DB">
      <w:pPr>
        <w:jc w:val="center"/>
        <w:rPr>
          <w:sz w:val="24"/>
          <w:szCs w:val="24"/>
        </w:rPr>
      </w:pPr>
      <w:r w:rsidRPr="00F112AB">
        <w:rPr>
          <w:sz w:val="24"/>
          <w:szCs w:val="24"/>
        </w:rPr>
        <w:t>The Democracy Center (Bolivia)</w:t>
      </w:r>
    </w:p>
    <w:p w:rsidR="00DB32DB" w:rsidRPr="00F112AB" w:rsidRDefault="00DB32DB" w:rsidP="00DB32DB">
      <w:pPr>
        <w:ind w:left="540"/>
        <w:jc w:val="center"/>
        <w:rPr>
          <w:sz w:val="24"/>
          <w:szCs w:val="24"/>
        </w:rPr>
      </w:pPr>
      <w:proofErr w:type="spellStart"/>
      <w:r w:rsidRPr="00F112AB">
        <w:rPr>
          <w:sz w:val="24"/>
          <w:szCs w:val="24"/>
        </w:rPr>
        <w:t>Desarrollo</w:t>
      </w:r>
      <w:proofErr w:type="spellEnd"/>
      <w:r w:rsidRPr="00F112AB">
        <w:rPr>
          <w:sz w:val="24"/>
          <w:szCs w:val="24"/>
        </w:rPr>
        <w:t xml:space="preserve">, </w:t>
      </w:r>
      <w:proofErr w:type="spellStart"/>
      <w:r w:rsidRPr="00F112AB">
        <w:rPr>
          <w:sz w:val="24"/>
          <w:szCs w:val="24"/>
        </w:rPr>
        <w:t>Educación</w:t>
      </w:r>
      <w:proofErr w:type="spellEnd"/>
      <w:r w:rsidRPr="00F112AB">
        <w:rPr>
          <w:sz w:val="24"/>
          <w:szCs w:val="24"/>
        </w:rPr>
        <w:t xml:space="preserve"> Y </w:t>
      </w:r>
      <w:proofErr w:type="spellStart"/>
      <w:r w:rsidRPr="00F112AB">
        <w:rPr>
          <w:sz w:val="24"/>
          <w:szCs w:val="24"/>
        </w:rPr>
        <w:t>Cultura</w:t>
      </w:r>
      <w:proofErr w:type="spellEnd"/>
      <w:r w:rsidRPr="00F112AB">
        <w:rPr>
          <w:sz w:val="24"/>
          <w:szCs w:val="24"/>
        </w:rPr>
        <w:t xml:space="preserve"> </w:t>
      </w:r>
      <w:proofErr w:type="spellStart"/>
      <w:r w:rsidRPr="00F112AB">
        <w:rPr>
          <w:sz w:val="24"/>
          <w:szCs w:val="24"/>
        </w:rPr>
        <w:t>Autogestionarios</w:t>
      </w:r>
      <w:proofErr w:type="spellEnd"/>
      <w:r w:rsidRPr="00F112AB">
        <w:rPr>
          <w:sz w:val="24"/>
          <w:szCs w:val="24"/>
        </w:rPr>
        <w:t xml:space="preserve">, </w:t>
      </w:r>
      <w:proofErr w:type="spellStart"/>
      <w:r w:rsidRPr="00F112AB">
        <w:rPr>
          <w:sz w:val="24"/>
          <w:szCs w:val="24"/>
        </w:rPr>
        <w:t>Equipo</w:t>
      </w:r>
      <w:proofErr w:type="spellEnd"/>
      <w:r w:rsidRPr="00F112AB">
        <w:rPr>
          <w:sz w:val="24"/>
          <w:szCs w:val="24"/>
        </w:rPr>
        <w:t xml:space="preserve"> Pueblo A.C. (Mexico)</w:t>
      </w:r>
    </w:p>
    <w:p w:rsidR="00DB32DB" w:rsidRPr="00F112AB" w:rsidRDefault="00DB32DB" w:rsidP="00DB32DB">
      <w:pPr>
        <w:jc w:val="center"/>
        <w:rPr>
          <w:sz w:val="24"/>
          <w:szCs w:val="24"/>
        </w:rPr>
      </w:pPr>
      <w:r w:rsidRPr="00F112AB">
        <w:rPr>
          <w:sz w:val="24"/>
          <w:szCs w:val="24"/>
        </w:rPr>
        <w:t>Due Process of Law Foundation (USA)</w:t>
      </w:r>
    </w:p>
    <w:p w:rsidR="00DB32DB" w:rsidRPr="00F112AB" w:rsidRDefault="00DB32DB" w:rsidP="00DB32DB">
      <w:pPr>
        <w:jc w:val="center"/>
        <w:rPr>
          <w:sz w:val="24"/>
          <w:szCs w:val="24"/>
        </w:rPr>
      </w:pPr>
      <w:r w:rsidRPr="00F112AB">
        <w:rPr>
          <w:sz w:val="24"/>
          <w:szCs w:val="24"/>
        </w:rPr>
        <w:t>Equitable Cambodia</w:t>
      </w:r>
    </w:p>
    <w:p w:rsidR="00DB32DB" w:rsidRPr="00F112AB" w:rsidRDefault="00DB32DB" w:rsidP="00DB32DB">
      <w:pPr>
        <w:jc w:val="center"/>
        <w:rPr>
          <w:sz w:val="24"/>
          <w:szCs w:val="24"/>
        </w:rPr>
      </w:pPr>
      <w:proofErr w:type="spellStart"/>
      <w:r w:rsidRPr="00F112AB">
        <w:rPr>
          <w:sz w:val="24"/>
          <w:szCs w:val="24"/>
        </w:rPr>
        <w:t>Fédération</w:t>
      </w:r>
      <w:proofErr w:type="spellEnd"/>
      <w:r w:rsidRPr="00F112AB">
        <w:rPr>
          <w:sz w:val="24"/>
          <w:szCs w:val="24"/>
        </w:rPr>
        <w:t xml:space="preserve"> </w:t>
      </w:r>
      <w:proofErr w:type="spellStart"/>
      <w:r w:rsidRPr="00F112AB">
        <w:rPr>
          <w:sz w:val="24"/>
          <w:szCs w:val="24"/>
        </w:rPr>
        <w:t>internationale</w:t>
      </w:r>
      <w:proofErr w:type="spellEnd"/>
      <w:r w:rsidRPr="00F112AB">
        <w:rPr>
          <w:sz w:val="24"/>
          <w:szCs w:val="24"/>
        </w:rPr>
        <w:t xml:space="preserve"> des droits de </w:t>
      </w:r>
      <w:proofErr w:type="spellStart"/>
      <w:r w:rsidRPr="00F112AB">
        <w:rPr>
          <w:sz w:val="24"/>
          <w:szCs w:val="24"/>
        </w:rPr>
        <w:t>l'Homme</w:t>
      </w:r>
      <w:proofErr w:type="spellEnd"/>
      <w:r w:rsidRPr="00F112AB">
        <w:rPr>
          <w:sz w:val="24"/>
          <w:szCs w:val="24"/>
        </w:rPr>
        <w:t xml:space="preserve"> (France)</w:t>
      </w:r>
    </w:p>
    <w:tbl>
      <w:tblPr>
        <w:tblW w:w="0" w:type="auto"/>
        <w:tblCellSpacing w:w="15" w:type="dxa"/>
        <w:tblCellMar>
          <w:top w:w="15" w:type="dxa"/>
          <w:left w:w="15" w:type="dxa"/>
          <w:bottom w:w="15" w:type="dxa"/>
          <w:right w:w="15" w:type="dxa"/>
        </w:tblCellMar>
        <w:tblLook w:val="04A0" w:firstRow="1" w:lastRow="0" w:firstColumn="1" w:lastColumn="0" w:noHBand="0" w:noVBand="1"/>
        <w:tblDescription w:val="Search results listings."/>
      </w:tblPr>
      <w:tblGrid>
        <w:gridCol w:w="81"/>
        <w:gridCol w:w="9013"/>
      </w:tblGrid>
      <w:tr w:rsidR="00DB32DB" w:rsidRPr="008A7D25" w:rsidTr="009A0251">
        <w:trPr>
          <w:tblCellSpacing w:w="15" w:type="dxa"/>
        </w:trPr>
        <w:tc>
          <w:tcPr>
            <w:tcW w:w="0" w:type="auto"/>
            <w:vAlign w:val="center"/>
            <w:hideMark/>
          </w:tcPr>
          <w:p w:rsidR="00DB32DB" w:rsidRPr="008A7D25" w:rsidRDefault="00DB32DB" w:rsidP="009A0251">
            <w:pPr>
              <w:jc w:val="center"/>
              <w:rPr>
                <w:sz w:val="24"/>
                <w:szCs w:val="24"/>
              </w:rPr>
            </w:pPr>
          </w:p>
        </w:tc>
        <w:tc>
          <w:tcPr>
            <w:tcW w:w="0" w:type="auto"/>
            <w:vAlign w:val="center"/>
            <w:hideMark/>
          </w:tcPr>
          <w:p w:rsidR="00DB32DB" w:rsidRPr="008A7D25" w:rsidRDefault="00DB32DB" w:rsidP="009A0251">
            <w:pPr>
              <w:ind w:left="795"/>
              <w:jc w:val="center"/>
              <w:rPr>
                <w:sz w:val="24"/>
                <w:szCs w:val="24"/>
              </w:rPr>
            </w:pPr>
            <w:proofErr w:type="spellStart"/>
            <w:r w:rsidRPr="008A7D25">
              <w:rPr>
                <w:sz w:val="24"/>
                <w:szCs w:val="24"/>
              </w:rPr>
              <w:t>Foro</w:t>
            </w:r>
            <w:proofErr w:type="spellEnd"/>
            <w:r w:rsidRPr="008A7D25">
              <w:rPr>
                <w:sz w:val="24"/>
                <w:szCs w:val="24"/>
              </w:rPr>
              <w:t xml:space="preserve"> </w:t>
            </w:r>
            <w:proofErr w:type="spellStart"/>
            <w:r w:rsidRPr="008A7D25">
              <w:rPr>
                <w:sz w:val="24"/>
                <w:szCs w:val="24"/>
              </w:rPr>
              <w:t>Ciudadano</w:t>
            </w:r>
            <w:proofErr w:type="spellEnd"/>
            <w:r w:rsidRPr="008A7D25">
              <w:rPr>
                <w:sz w:val="24"/>
                <w:szCs w:val="24"/>
              </w:rPr>
              <w:t xml:space="preserve"> de </w:t>
            </w:r>
            <w:proofErr w:type="spellStart"/>
            <w:r w:rsidRPr="008A7D25">
              <w:rPr>
                <w:sz w:val="24"/>
                <w:szCs w:val="24"/>
              </w:rPr>
              <w:t>Participación</w:t>
            </w:r>
            <w:proofErr w:type="spellEnd"/>
            <w:r w:rsidRPr="008A7D25">
              <w:rPr>
                <w:sz w:val="24"/>
                <w:szCs w:val="24"/>
              </w:rPr>
              <w:t xml:space="preserve"> </w:t>
            </w:r>
            <w:proofErr w:type="spellStart"/>
            <w:r w:rsidRPr="008A7D25">
              <w:rPr>
                <w:sz w:val="24"/>
                <w:szCs w:val="24"/>
              </w:rPr>
              <w:t>por</w:t>
            </w:r>
            <w:proofErr w:type="spellEnd"/>
            <w:r w:rsidRPr="008A7D25">
              <w:rPr>
                <w:sz w:val="24"/>
                <w:szCs w:val="24"/>
              </w:rPr>
              <w:t xml:space="preserve"> la </w:t>
            </w:r>
            <w:proofErr w:type="spellStart"/>
            <w:r w:rsidRPr="008A7D25">
              <w:rPr>
                <w:sz w:val="24"/>
                <w:szCs w:val="24"/>
              </w:rPr>
              <w:t>Justicia</w:t>
            </w:r>
            <w:proofErr w:type="spellEnd"/>
            <w:r w:rsidRPr="008A7D25">
              <w:rPr>
                <w:sz w:val="24"/>
                <w:szCs w:val="24"/>
              </w:rPr>
              <w:t xml:space="preserve"> y </w:t>
            </w:r>
            <w:proofErr w:type="spellStart"/>
            <w:r w:rsidRPr="008A7D25">
              <w:rPr>
                <w:sz w:val="24"/>
                <w:szCs w:val="24"/>
              </w:rPr>
              <w:t>los</w:t>
            </w:r>
            <w:proofErr w:type="spellEnd"/>
            <w:r w:rsidRPr="008A7D25">
              <w:rPr>
                <w:sz w:val="24"/>
                <w:szCs w:val="24"/>
              </w:rPr>
              <w:t xml:space="preserve"> Derechos </w:t>
            </w:r>
            <w:proofErr w:type="spellStart"/>
            <w:r w:rsidRPr="008A7D25">
              <w:rPr>
                <w:sz w:val="24"/>
                <w:szCs w:val="24"/>
              </w:rPr>
              <w:t>Humanos</w:t>
            </w:r>
            <w:proofErr w:type="spellEnd"/>
            <w:r w:rsidRPr="00F112AB">
              <w:rPr>
                <w:sz w:val="24"/>
                <w:szCs w:val="24"/>
              </w:rPr>
              <w:t xml:space="preserve"> (Argentina)</w:t>
            </w:r>
          </w:p>
        </w:tc>
      </w:tr>
    </w:tbl>
    <w:p w:rsidR="00DB32DB" w:rsidRPr="00F112AB" w:rsidRDefault="00DB32DB" w:rsidP="00DB32DB">
      <w:pPr>
        <w:jc w:val="center"/>
        <w:rPr>
          <w:sz w:val="24"/>
          <w:szCs w:val="24"/>
        </w:rPr>
      </w:pPr>
      <w:r w:rsidRPr="00F112AB">
        <w:rPr>
          <w:sz w:val="24"/>
          <w:szCs w:val="24"/>
        </w:rPr>
        <w:t>Global Initiative for Economic, Social and Cultural Rights (GI-ESCR)</w:t>
      </w:r>
    </w:p>
    <w:p w:rsidR="00DB32DB" w:rsidRPr="00F112AB" w:rsidRDefault="00DB32DB" w:rsidP="00DB32DB">
      <w:pPr>
        <w:jc w:val="center"/>
        <w:rPr>
          <w:sz w:val="24"/>
          <w:szCs w:val="24"/>
        </w:rPr>
      </w:pPr>
      <w:r w:rsidRPr="00F112AB">
        <w:rPr>
          <w:sz w:val="24"/>
          <w:szCs w:val="24"/>
        </w:rPr>
        <w:t>Habi Center for Environmental Rights</w:t>
      </w:r>
      <w:r>
        <w:rPr>
          <w:sz w:val="24"/>
          <w:szCs w:val="24"/>
        </w:rPr>
        <w:t xml:space="preserve"> (Egypt)</w:t>
      </w:r>
    </w:p>
    <w:p w:rsidR="00DB32DB" w:rsidRPr="00F112AB" w:rsidRDefault="00DB32DB" w:rsidP="00DB32DB">
      <w:pPr>
        <w:jc w:val="center"/>
        <w:rPr>
          <w:sz w:val="24"/>
          <w:szCs w:val="24"/>
        </w:rPr>
      </w:pPr>
      <w:r w:rsidRPr="00F112AB">
        <w:rPr>
          <w:sz w:val="24"/>
          <w:szCs w:val="24"/>
        </w:rPr>
        <w:t>Human Rights Law Network (India)</w:t>
      </w:r>
    </w:p>
    <w:p w:rsidR="00DB32DB" w:rsidRPr="00F112AB" w:rsidRDefault="00DB32DB" w:rsidP="00DB32DB">
      <w:pPr>
        <w:jc w:val="center"/>
        <w:rPr>
          <w:sz w:val="24"/>
          <w:szCs w:val="24"/>
        </w:rPr>
      </w:pPr>
      <w:r w:rsidRPr="00F112AB">
        <w:rPr>
          <w:sz w:val="24"/>
          <w:szCs w:val="24"/>
        </w:rPr>
        <w:t>Human Rights Law Resource Centre (Australia)</w:t>
      </w:r>
    </w:p>
    <w:tbl>
      <w:tblPr>
        <w:tblW w:w="0" w:type="auto"/>
        <w:tblCellSpacing w:w="15" w:type="dxa"/>
        <w:tblCellMar>
          <w:top w:w="15" w:type="dxa"/>
          <w:left w:w="15" w:type="dxa"/>
          <w:bottom w:w="15" w:type="dxa"/>
          <w:right w:w="15" w:type="dxa"/>
        </w:tblCellMar>
        <w:tblLook w:val="04A0" w:firstRow="1" w:lastRow="0" w:firstColumn="1" w:lastColumn="0" w:noHBand="0" w:noVBand="1"/>
        <w:tblDescription w:val="Search results listings."/>
      </w:tblPr>
      <w:tblGrid>
        <w:gridCol w:w="81"/>
        <w:gridCol w:w="6727"/>
      </w:tblGrid>
      <w:tr w:rsidR="00DB32DB" w:rsidRPr="008A7D25" w:rsidTr="009A0251">
        <w:trPr>
          <w:tblCellSpacing w:w="15" w:type="dxa"/>
        </w:trPr>
        <w:tc>
          <w:tcPr>
            <w:tcW w:w="0" w:type="auto"/>
            <w:vAlign w:val="center"/>
            <w:hideMark/>
          </w:tcPr>
          <w:p w:rsidR="00DB32DB" w:rsidRPr="008A7D25" w:rsidRDefault="00DB32DB" w:rsidP="009A0251">
            <w:pPr>
              <w:jc w:val="center"/>
              <w:rPr>
                <w:sz w:val="24"/>
                <w:szCs w:val="24"/>
              </w:rPr>
            </w:pPr>
          </w:p>
        </w:tc>
        <w:tc>
          <w:tcPr>
            <w:tcW w:w="0" w:type="auto"/>
            <w:vAlign w:val="center"/>
            <w:hideMark/>
          </w:tcPr>
          <w:p w:rsidR="00DB32DB" w:rsidRPr="008A7D25" w:rsidRDefault="00DB32DB" w:rsidP="009A0251">
            <w:pPr>
              <w:ind w:left="2505"/>
              <w:jc w:val="center"/>
              <w:rPr>
                <w:sz w:val="24"/>
                <w:szCs w:val="24"/>
              </w:rPr>
            </w:pPr>
            <w:r w:rsidRPr="008A7D25">
              <w:rPr>
                <w:sz w:val="24"/>
                <w:szCs w:val="24"/>
              </w:rPr>
              <w:t>Inclusive Development International</w:t>
            </w:r>
            <w:r w:rsidRPr="00F112AB">
              <w:rPr>
                <w:sz w:val="24"/>
                <w:szCs w:val="24"/>
              </w:rPr>
              <w:t xml:space="preserve"> (USA)</w:t>
            </w:r>
          </w:p>
        </w:tc>
      </w:tr>
    </w:tbl>
    <w:p w:rsidR="00DB32DB" w:rsidRPr="00F112AB" w:rsidRDefault="00DB32DB" w:rsidP="00DB32DB">
      <w:pPr>
        <w:jc w:val="center"/>
        <w:rPr>
          <w:sz w:val="24"/>
          <w:szCs w:val="24"/>
        </w:rPr>
      </w:pPr>
      <w:r w:rsidRPr="00F112AB">
        <w:rPr>
          <w:sz w:val="24"/>
          <w:szCs w:val="24"/>
        </w:rPr>
        <w:t>International Accountability Project (USA)</w:t>
      </w:r>
    </w:p>
    <w:p w:rsidR="00DB32DB" w:rsidRPr="00F112AB" w:rsidRDefault="00DB32DB" w:rsidP="00DB32DB">
      <w:pPr>
        <w:jc w:val="center"/>
        <w:rPr>
          <w:sz w:val="24"/>
          <w:szCs w:val="24"/>
        </w:rPr>
      </w:pPr>
      <w:r w:rsidRPr="00F112AB">
        <w:rPr>
          <w:sz w:val="24"/>
          <w:szCs w:val="24"/>
        </w:rPr>
        <w:t>International Commission of Jurists</w:t>
      </w:r>
    </w:p>
    <w:tbl>
      <w:tblPr>
        <w:tblW w:w="0" w:type="auto"/>
        <w:tblCellSpacing w:w="15" w:type="dxa"/>
        <w:tblCellMar>
          <w:top w:w="15" w:type="dxa"/>
          <w:left w:w="15" w:type="dxa"/>
          <w:bottom w:w="15" w:type="dxa"/>
          <w:right w:w="15" w:type="dxa"/>
        </w:tblCellMar>
        <w:tblLook w:val="04A0" w:firstRow="1" w:lastRow="0" w:firstColumn="1" w:lastColumn="0" w:noHBand="0" w:noVBand="1"/>
        <w:tblDescription w:val="Search results listings."/>
      </w:tblPr>
      <w:tblGrid>
        <w:gridCol w:w="81"/>
        <w:gridCol w:w="5636"/>
      </w:tblGrid>
      <w:tr w:rsidR="00DB32DB" w:rsidRPr="008A7D25" w:rsidTr="009A0251">
        <w:trPr>
          <w:tblCellSpacing w:w="15" w:type="dxa"/>
        </w:trPr>
        <w:tc>
          <w:tcPr>
            <w:tcW w:w="0" w:type="auto"/>
            <w:vAlign w:val="center"/>
            <w:hideMark/>
          </w:tcPr>
          <w:p w:rsidR="00DB32DB" w:rsidRPr="008A7D25" w:rsidRDefault="00DB32DB" w:rsidP="009A0251">
            <w:pPr>
              <w:jc w:val="center"/>
              <w:rPr>
                <w:sz w:val="24"/>
                <w:szCs w:val="24"/>
              </w:rPr>
            </w:pPr>
          </w:p>
        </w:tc>
        <w:tc>
          <w:tcPr>
            <w:tcW w:w="0" w:type="auto"/>
            <w:vAlign w:val="center"/>
            <w:hideMark/>
          </w:tcPr>
          <w:p w:rsidR="00DB32DB" w:rsidRPr="008A7D25" w:rsidRDefault="00DB32DB" w:rsidP="009A0251">
            <w:pPr>
              <w:ind w:left="3495"/>
              <w:jc w:val="center"/>
              <w:rPr>
                <w:sz w:val="24"/>
                <w:szCs w:val="24"/>
              </w:rPr>
            </w:pPr>
            <w:proofErr w:type="spellStart"/>
            <w:r w:rsidRPr="008A7D25">
              <w:rPr>
                <w:sz w:val="24"/>
                <w:szCs w:val="24"/>
              </w:rPr>
              <w:t>Justiça</w:t>
            </w:r>
            <w:proofErr w:type="spellEnd"/>
            <w:r w:rsidRPr="008A7D25">
              <w:rPr>
                <w:sz w:val="24"/>
                <w:szCs w:val="24"/>
              </w:rPr>
              <w:t xml:space="preserve"> Global</w:t>
            </w:r>
            <w:r w:rsidRPr="00F112AB">
              <w:rPr>
                <w:sz w:val="24"/>
                <w:szCs w:val="24"/>
              </w:rPr>
              <w:t xml:space="preserve"> (Brazil)</w:t>
            </w:r>
          </w:p>
        </w:tc>
      </w:tr>
    </w:tbl>
    <w:p w:rsidR="00DB32DB" w:rsidRPr="00F112AB" w:rsidRDefault="00DB32DB" w:rsidP="00DB32DB">
      <w:pPr>
        <w:jc w:val="center"/>
        <w:rPr>
          <w:sz w:val="24"/>
          <w:szCs w:val="24"/>
        </w:rPr>
      </w:pPr>
      <w:r w:rsidRPr="00F112AB">
        <w:rPr>
          <w:sz w:val="24"/>
          <w:szCs w:val="24"/>
        </w:rPr>
        <w:t>Kenya Human Rights Commission</w:t>
      </w:r>
    </w:p>
    <w:p w:rsidR="00DB32DB" w:rsidRPr="00F112AB" w:rsidRDefault="00DB32DB" w:rsidP="00DB32DB">
      <w:pPr>
        <w:jc w:val="center"/>
        <w:rPr>
          <w:sz w:val="24"/>
          <w:szCs w:val="24"/>
        </w:rPr>
      </w:pPr>
      <w:r w:rsidRPr="00F112AB">
        <w:rPr>
          <w:sz w:val="24"/>
          <w:szCs w:val="24"/>
        </w:rPr>
        <w:t>Legal Resource Centre (South Africa)</w:t>
      </w:r>
    </w:p>
    <w:p w:rsidR="00DB32DB" w:rsidRPr="00F112AB" w:rsidRDefault="00DB32DB" w:rsidP="00DB32DB">
      <w:pPr>
        <w:jc w:val="center"/>
        <w:rPr>
          <w:sz w:val="24"/>
          <w:szCs w:val="24"/>
        </w:rPr>
      </w:pPr>
      <w:proofErr w:type="spellStart"/>
      <w:r w:rsidRPr="00F112AB">
        <w:rPr>
          <w:sz w:val="24"/>
          <w:szCs w:val="24"/>
        </w:rPr>
        <w:t>MiningWatch</w:t>
      </w:r>
      <w:proofErr w:type="spellEnd"/>
      <w:r w:rsidRPr="00F112AB">
        <w:rPr>
          <w:sz w:val="24"/>
          <w:szCs w:val="24"/>
        </w:rPr>
        <w:t xml:space="preserve"> Canada</w:t>
      </w:r>
    </w:p>
    <w:p w:rsidR="00DB32DB" w:rsidRPr="00F112AB" w:rsidRDefault="00DB32DB" w:rsidP="00DB32DB">
      <w:pPr>
        <w:jc w:val="center"/>
        <w:rPr>
          <w:sz w:val="24"/>
          <w:szCs w:val="24"/>
        </w:rPr>
      </w:pPr>
      <w:r w:rsidRPr="00F112AB">
        <w:rPr>
          <w:sz w:val="24"/>
          <w:szCs w:val="24"/>
        </w:rPr>
        <w:t>Movement for the Survival of the Ogoni People (Nigeria)</w:t>
      </w:r>
    </w:p>
    <w:p w:rsidR="00DB32DB" w:rsidRPr="00F112AB" w:rsidRDefault="00DB32DB" w:rsidP="00DB32DB">
      <w:pPr>
        <w:jc w:val="center"/>
        <w:rPr>
          <w:sz w:val="24"/>
          <w:szCs w:val="24"/>
        </w:rPr>
      </w:pPr>
      <w:proofErr w:type="spellStart"/>
      <w:r w:rsidRPr="00F112AB">
        <w:rPr>
          <w:sz w:val="24"/>
          <w:szCs w:val="24"/>
        </w:rPr>
        <w:t>Narasha</w:t>
      </w:r>
      <w:proofErr w:type="spellEnd"/>
      <w:r w:rsidRPr="00F112AB">
        <w:rPr>
          <w:sz w:val="24"/>
          <w:szCs w:val="24"/>
        </w:rPr>
        <w:t xml:space="preserve"> Community Development Group (Kenya)</w:t>
      </w:r>
    </w:p>
    <w:p w:rsidR="00DB32DB" w:rsidRPr="00F112AB" w:rsidRDefault="00DB32DB" w:rsidP="00DB32DB">
      <w:pPr>
        <w:jc w:val="center"/>
        <w:rPr>
          <w:sz w:val="24"/>
          <w:szCs w:val="24"/>
        </w:rPr>
      </w:pPr>
      <w:r w:rsidRPr="00F112AB">
        <w:rPr>
          <w:sz w:val="24"/>
          <w:szCs w:val="24"/>
        </w:rPr>
        <w:t>National Center for Advocacy Studies (India)</w:t>
      </w:r>
    </w:p>
    <w:p w:rsidR="00DB32DB" w:rsidRPr="00F112AB" w:rsidRDefault="00DB32DB" w:rsidP="00DB32DB">
      <w:pPr>
        <w:jc w:val="center"/>
        <w:rPr>
          <w:sz w:val="24"/>
          <w:szCs w:val="24"/>
        </w:rPr>
      </w:pPr>
      <w:r w:rsidRPr="00F112AB">
        <w:rPr>
          <w:sz w:val="24"/>
          <w:szCs w:val="24"/>
        </w:rPr>
        <w:t>National Economic and Social Rights Initiative (USA)</w:t>
      </w:r>
    </w:p>
    <w:p w:rsidR="00DB32DB" w:rsidRPr="00F112AB" w:rsidRDefault="00DB32DB" w:rsidP="00DB32DB">
      <w:pPr>
        <w:jc w:val="center"/>
        <w:rPr>
          <w:sz w:val="24"/>
          <w:szCs w:val="24"/>
        </w:rPr>
      </w:pPr>
      <w:r w:rsidRPr="00F112AB">
        <w:rPr>
          <w:sz w:val="24"/>
          <w:szCs w:val="24"/>
        </w:rPr>
        <w:lastRenderedPageBreak/>
        <w:t>National Fisheries Solidarity Organization (India)</w:t>
      </w:r>
    </w:p>
    <w:p w:rsidR="00DB32DB" w:rsidRPr="00F112AB" w:rsidRDefault="00DB32DB" w:rsidP="00DB32DB">
      <w:pPr>
        <w:jc w:val="center"/>
        <w:rPr>
          <w:sz w:val="24"/>
          <w:szCs w:val="24"/>
        </w:rPr>
      </w:pPr>
      <w:r w:rsidRPr="00F112AB">
        <w:rPr>
          <w:sz w:val="24"/>
          <w:szCs w:val="24"/>
        </w:rPr>
        <w:t>Natural Resources Alliance of Kenya</w:t>
      </w:r>
    </w:p>
    <w:p w:rsidR="00DB32DB" w:rsidRPr="00F112AB" w:rsidRDefault="00DB32DB" w:rsidP="00DB32DB">
      <w:pPr>
        <w:jc w:val="center"/>
        <w:rPr>
          <w:sz w:val="24"/>
          <w:szCs w:val="24"/>
        </w:rPr>
      </w:pPr>
      <w:r w:rsidRPr="00F112AB">
        <w:rPr>
          <w:sz w:val="24"/>
          <w:szCs w:val="24"/>
        </w:rPr>
        <w:t>Network Movement for Justice and Development (Sierra Leone)</w:t>
      </w:r>
    </w:p>
    <w:p w:rsidR="00DB32DB" w:rsidRPr="00F112AB" w:rsidRDefault="00DB32DB" w:rsidP="00DB32DB">
      <w:pPr>
        <w:jc w:val="center"/>
        <w:rPr>
          <w:sz w:val="24"/>
          <w:szCs w:val="24"/>
        </w:rPr>
      </w:pPr>
      <w:proofErr w:type="spellStart"/>
      <w:r w:rsidRPr="00F112AB">
        <w:rPr>
          <w:sz w:val="24"/>
          <w:szCs w:val="24"/>
        </w:rPr>
        <w:t>Observatorio</w:t>
      </w:r>
      <w:proofErr w:type="spellEnd"/>
      <w:r w:rsidRPr="00F112AB">
        <w:rPr>
          <w:sz w:val="24"/>
          <w:szCs w:val="24"/>
        </w:rPr>
        <w:t xml:space="preserve"> </w:t>
      </w:r>
      <w:proofErr w:type="spellStart"/>
      <w:r w:rsidRPr="00F112AB">
        <w:rPr>
          <w:sz w:val="24"/>
          <w:szCs w:val="24"/>
        </w:rPr>
        <w:t>Ciudadano</w:t>
      </w:r>
      <w:proofErr w:type="spellEnd"/>
      <w:r w:rsidRPr="00F112AB">
        <w:rPr>
          <w:sz w:val="24"/>
          <w:szCs w:val="24"/>
        </w:rPr>
        <w:t xml:space="preserve"> (Chile)</w:t>
      </w:r>
    </w:p>
    <w:p w:rsidR="00DB32DB" w:rsidRPr="00F112AB" w:rsidRDefault="00DB32DB" w:rsidP="00DB32DB">
      <w:pPr>
        <w:jc w:val="center"/>
        <w:rPr>
          <w:sz w:val="24"/>
          <w:szCs w:val="24"/>
        </w:rPr>
      </w:pPr>
      <w:proofErr w:type="spellStart"/>
      <w:r w:rsidRPr="00F112AB">
        <w:rPr>
          <w:sz w:val="24"/>
          <w:szCs w:val="24"/>
        </w:rPr>
        <w:t>Organización</w:t>
      </w:r>
      <w:proofErr w:type="spellEnd"/>
      <w:r w:rsidRPr="00F112AB">
        <w:rPr>
          <w:sz w:val="24"/>
          <w:szCs w:val="24"/>
        </w:rPr>
        <w:t xml:space="preserve"> Fraternal </w:t>
      </w:r>
      <w:proofErr w:type="spellStart"/>
      <w:r w:rsidRPr="00F112AB">
        <w:rPr>
          <w:sz w:val="24"/>
          <w:szCs w:val="24"/>
        </w:rPr>
        <w:t>Negra</w:t>
      </w:r>
      <w:proofErr w:type="spellEnd"/>
      <w:r w:rsidRPr="00F112AB">
        <w:rPr>
          <w:sz w:val="24"/>
          <w:szCs w:val="24"/>
        </w:rPr>
        <w:t xml:space="preserve"> </w:t>
      </w:r>
      <w:proofErr w:type="spellStart"/>
      <w:r w:rsidRPr="00F112AB">
        <w:rPr>
          <w:sz w:val="24"/>
          <w:szCs w:val="24"/>
        </w:rPr>
        <w:t>Hondureña</w:t>
      </w:r>
      <w:proofErr w:type="spellEnd"/>
      <w:r w:rsidRPr="00F112AB">
        <w:rPr>
          <w:sz w:val="24"/>
          <w:szCs w:val="24"/>
        </w:rPr>
        <w:t xml:space="preserve"> (Honduras)</w:t>
      </w:r>
    </w:p>
    <w:p w:rsidR="00DB32DB" w:rsidRPr="00F112AB" w:rsidRDefault="00DB32DB" w:rsidP="00DB32DB">
      <w:pPr>
        <w:jc w:val="center"/>
        <w:rPr>
          <w:sz w:val="24"/>
          <w:szCs w:val="24"/>
        </w:rPr>
      </w:pPr>
      <w:proofErr w:type="spellStart"/>
      <w:r w:rsidRPr="00F112AB">
        <w:rPr>
          <w:sz w:val="24"/>
          <w:szCs w:val="24"/>
        </w:rPr>
        <w:t>Otros</w:t>
      </w:r>
      <w:proofErr w:type="spellEnd"/>
      <w:r w:rsidRPr="00F112AB">
        <w:rPr>
          <w:sz w:val="24"/>
          <w:szCs w:val="24"/>
        </w:rPr>
        <w:t xml:space="preserve"> </w:t>
      </w:r>
      <w:proofErr w:type="spellStart"/>
      <w:r w:rsidRPr="00F112AB">
        <w:rPr>
          <w:sz w:val="24"/>
          <w:szCs w:val="24"/>
        </w:rPr>
        <w:t>Mundos</w:t>
      </w:r>
      <w:proofErr w:type="spellEnd"/>
      <w:r w:rsidRPr="00F112AB">
        <w:rPr>
          <w:sz w:val="24"/>
          <w:szCs w:val="24"/>
        </w:rPr>
        <w:t xml:space="preserve"> Chiapas (Mexico)</w:t>
      </w:r>
    </w:p>
    <w:p w:rsidR="00DB32DB" w:rsidRPr="00F112AB" w:rsidRDefault="00DB32DB" w:rsidP="00DB32DB">
      <w:pPr>
        <w:jc w:val="center"/>
        <w:rPr>
          <w:sz w:val="24"/>
          <w:szCs w:val="24"/>
        </w:rPr>
      </w:pPr>
      <w:proofErr w:type="spellStart"/>
      <w:r w:rsidRPr="00F112AB">
        <w:rPr>
          <w:sz w:val="24"/>
          <w:szCs w:val="24"/>
        </w:rPr>
        <w:t>Posco</w:t>
      </w:r>
      <w:proofErr w:type="spellEnd"/>
      <w:r w:rsidRPr="00F112AB">
        <w:rPr>
          <w:sz w:val="24"/>
          <w:szCs w:val="24"/>
        </w:rPr>
        <w:t xml:space="preserve"> </w:t>
      </w:r>
      <w:proofErr w:type="spellStart"/>
      <w:r w:rsidRPr="00F112AB">
        <w:rPr>
          <w:sz w:val="24"/>
          <w:szCs w:val="24"/>
        </w:rPr>
        <w:t>Pratirodh</w:t>
      </w:r>
      <w:proofErr w:type="spellEnd"/>
      <w:r w:rsidRPr="00F112AB">
        <w:rPr>
          <w:sz w:val="24"/>
          <w:szCs w:val="24"/>
        </w:rPr>
        <w:t xml:space="preserve"> </w:t>
      </w:r>
      <w:proofErr w:type="spellStart"/>
      <w:r w:rsidRPr="00F112AB">
        <w:rPr>
          <w:sz w:val="24"/>
          <w:szCs w:val="24"/>
        </w:rPr>
        <w:t>Sangram</w:t>
      </w:r>
      <w:proofErr w:type="spellEnd"/>
      <w:r w:rsidRPr="00F112AB">
        <w:rPr>
          <w:sz w:val="24"/>
          <w:szCs w:val="24"/>
        </w:rPr>
        <w:t xml:space="preserve"> </w:t>
      </w:r>
      <w:proofErr w:type="spellStart"/>
      <w:r w:rsidRPr="00F112AB">
        <w:rPr>
          <w:sz w:val="24"/>
          <w:szCs w:val="24"/>
        </w:rPr>
        <w:t>Samiti</w:t>
      </w:r>
      <w:proofErr w:type="spellEnd"/>
      <w:r w:rsidRPr="00F112AB">
        <w:rPr>
          <w:sz w:val="24"/>
          <w:szCs w:val="24"/>
        </w:rPr>
        <w:t xml:space="preserve"> (India)</w:t>
      </w:r>
    </w:p>
    <w:p w:rsidR="00DB32DB" w:rsidRPr="00F112AB" w:rsidRDefault="00DB32DB" w:rsidP="00DB32DB">
      <w:pPr>
        <w:jc w:val="center"/>
        <w:rPr>
          <w:sz w:val="24"/>
          <w:szCs w:val="24"/>
        </w:rPr>
      </w:pPr>
      <w:r w:rsidRPr="00F112AB">
        <w:rPr>
          <w:sz w:val="24"/>
          <w:szCs w:val="24"/>
        </w:rPr>
        <w:t>Project on Organizing, Development, Education and Research (Mexico)</w:t>
      </w:r>
    </w:p>
    <w:p w:rsidR="00DB32DB" w:rsidRPr="00F112AB" w:rsidRDefault="00DB32DB" w:rsidP="00DB32DB">
      <w:pPr>
        <w:jc w:val="center"/>
        <w:rPr>
          <w:sz w:val="24"/>
          <w:szCs w:val="24"/>
        </w:rPr>
      </w:pPr>
      <w:r w:rsidRPr="00F112AB">
        <w:rPr>
          <w:sz w:val="24"/>
          <w:szCs w:val="24"/>
        </w:rPr>
        <w:t xml:space="preserve">Proyecto de Derechos </w:t>
      </w:r>
      <w:proofErr w:type="spellStart"/>
      <w:r w:rsidRPr="00F112AB">
        <w:rPr>
          <w:sz w:val="24"/>
          <w:szCs w:val="24"/>
        </w:rPr>
        <w:t>Económicos</w:t>
      </w:r>
      <w:proofErr w:type="spellEnd"/>
      <w:r w:rsidRPr="00F112AB">
        <w:rPr>
          <w:sz w:val="24"/>
          <w:szCs w:val="24"/>
        </w:rPr>
        <w:t xml:space="preserve">, </w:t>
      </w:r>
      <w:proofErr w:type="spellStart"/>
      <w:r w:rsidRPr="00F112AB">
        <w:rPr>
          <w:sz w:val="24"/>
          <w:szCs w:val="24"/>
        </w:rPr>
        <w:t>Sociales</w:t>
      </w:r>
      <w:proofErr w:type="spellEnd"/>
      <w:r w:rsidRPr="00F112AB">
        <w:rPr>
          <w:sz w:val="24"/>
          <w:szCs w:val="24"/>
        </w:rPr>
        <w:t xml:space="preserve"> y </w:t>
      </w:r>
      <w:proofErr w:type="spellStart"/>
      <w:r w:rsidRPr="00F112AB">
        <w:rPr>
          <w:sz w:val="24"/>
          <w:szCs w:val="24"/>
        </w:rPr>
        <w:t>Culturales</w:t>
      </w:r>
      <w:proofErr w:type="spellEnd"/>
      <w:r w:rsidRPr="00F112AB">
        <w:rPr>
          <w:sz w:val="24"/>
          <w:szCs w:val="24"/>
        </w:rPr>
        <w:t xml:space="preserve"> (Mexico)</w:t>
      </w:r>
    </w:p>
    <w:p w:rsidR="00DB32DB" w:rsidRPr="00F112AB" w:rsidRDefault="00DB32DB" w:rsidP="00DB32DB">
      <w:pPr>
        <w:jc w:val="center"/>
        <w:rPr>
          <w:sz w:val="24"/>
          <w:szCs w:val="24"/>
        </w:rPr>
      </w:pPr>
      <w:r w:rsidRPr="00F112AB">
        <w:rPr>
          <w:sz w:val="24"/>
          <w:szCs w:val="24"/>
        </w:rPr>
        <w:t xml:space="preserve">Red </w:t>
      </w:r>
      <w:proofErr w:type="spellStart"/>
      <w:r w:rsidRPr="00F112AB">
        <w:rPr>
          <w:sz w:val="24"/>
          <w:szCs w:val="24"/>
        </w:rPr>
        <w:t>Internacional</w:t>
      </w:r>
      <w:proofErr w:type="spellEnd"/>
      <w:r w:rsidRPr="00F112AB">
        <w:rPr>
          <w:sz w:val="24"/>
          <w:szCs w:val="24"/>
        </w:rPr>
        <w:t xml:space="preserve"> de Derechos </w:t>
      </w:r>
      <w:proofErr w:type="spellStart"/>
      <w:r w:rsidRPr="00F112AB">
        <w:rPr>
          <w:sz w:val="24"/>
          <w:szCs w:val="24"/>
        </w:rPr>
        <w:t>Humanos</w:t>
      </w:r>
      <w:proofErr w:type="spellEnd"/>
      <w:r w:rsidRPr="00F112AB">
        <w:rPr>
          <w:sz w:val="24"/>
          <w:szCs w:val="24"/>
        </w:rPr>
        <w:t xml:space="preserve"> (Switzerland)</w:t>
      </w:r>
    </w:p>
    <w:p w:rsidR="00DB32DB" w:rsidRPr="00F112AB" w:rsidRDefault="00DB32DB" w:rsidP="00DB32DB">
      <w:pPr>
        <w:jc w:val="center"/>
        <w:rPr>
          <w:sz w:val="24"/>
          <w:szCs w:val="24"/>
        </w:rPr>
      </w:pPr>
      <w:r w:rsidRPr="00F112AB">
        <w:rPr>
          <w:sz w:val="24"/>
          <w:szCs w:val="24"/>
        </w:rPr>
        <w:t>Rights and Accountability in Development (UK)</w:t>
      </w:r>
    </w:p>
    <w:p w:rsidR="00DB32DB" w:rsidRPr="00F112AB" w:rsidRDefault="00DB32DB" w:rsidP="00DB32DB">
      <w:pPr>
        <w:jc w:val="center"/>
        <w:rPr>
          <w:sz w:val="24"/>
          <w:szCs w:val="24"/>
        </w:rPr>
      </w:pPr>
      <w:proofErr w:type="spellStart"/>
      <w:r w:rsidRPr="00F112AB">
        <w:rPr>
          <w:sz w:val="24"/>
          <w:szCs w:val="24"/>
        </w:rPr>
        <w:t>Sahmakum</w:t>
      </w:r>
      <w:proofErr w:type="spellEnd"/>
      <w:r w:rsidRPr="00F112AB">
        <w:rPr>
          <w:sz w:val="24"/>
          <w:szCs w:val="24"/>
        </w:rPr>
        <w:t xml:space="preserve"> </w:t>
      </w:r>
      <w:proofErr w:type="spellStart"/>
      <w:r w:rsidRPr="00F112AB">
        <w:rPr>
          <w:sz w:val="24"/>
          <w:szCs w:val="24"/>
        </w:rPr>
        <w:t>Teang</w:t>
      </w:r>
      <w:proofErr w:type="spellEnd"/>
      <w:r w:rsidRPr="00F112AB">
        <w:rPr>
          <w:sz w:val="24"/>
          <w:szCs w:val="24"/>
        </w:rPr>
        <w:t xml:space="preserve"> </w:t>
      </w:r>
      <w:proofErr w:type="spellStart"/>
      <w:r w:rsidRPr="00F112AB">
        <w:rPr>
          <w:sz w:val="24"/>
          <w:szCs w:val="24"/>
        </w:rPr>
        <w:t>Tnaut</w:t>
      </w:r>
      <w:proofErr w:type="spellEnd"/>
      <w:r w:rsidRPr="00F112AB">
        <w:rPr>
          <w:sz w:val="24"/>
          <w:szCs w:val="24"/>
        </w:rPr>
        <w:t xml:space="preserve"> (Cambodia)</w:t>
      </w:r>
    </w:p>
    <w:p w:rsidR="00DB32DB" w:rsidRPr="00F112AB" w:rsidRDefault="00DB32DB" w:rsidP="00DB32DB">
      <w:pPr>
        <w:jc w:val="center"/>
        <w:rPr>
          <w:sz w:val="24"/>
          <w:szCs w:val="24"/>
        </w:rPr>
      </w:pPr>
      <w:proofErr w:type="spellStart"/>
      <w:r w:rsidRPr="00F112AB">
        <w:rPr>
          <w:sz w:val="24"/>
          <w:szCs w:val="24"/>
        </w:rPr>
        <w:t>Tebtebba</w:t>
      </w:r>
      <w:proofErr w:type="spellEnd"/>
      <w:r w:rsidRPr="00F112AB">
        <w:rPr>
          <w:sz w:val="24"/>
          <w:szCs w:val="24"/>
        </w:rPr>
        <w:t xml:space="preserve"> Foundation (Philippines)</w:t>
      </w:r>
    </w:p>
    <w:p w:rsidR="00DB32DB" w:rsidRPr="00F112AB" w:rsidRDefault="00DB32DB" w:rsidP="00DB32DB">
      <w:pPr>
        <w:jc w:val="center"/>
        <w:rPr>
          <w:sz w:val="24"/>
          <w:szCs w:val="24"/>
        </w:rPr>
      </w:pPr>
      <w:r w:rsidRPr="00F112AB">
        <w:rPr>
          <w:sz w:val="24"/>
          <w:szCs w:val="24"/>
        </w:rPr>
        <w:t xml:space="preserve">Terra de </w:t>
      </w:r>
      <w:proofErr w:type="spellStart"/>
      <w:r w:rsidRPr="00F112AB">
        <w:rPr>
          <w:sz w:val="24"/>
          <w:szCs w:val="24"/>
        </w:rPr>
        <w:t>Direitos</w:t>
      </w:r>
      <w:proofErr w:type="spellEnd"/>
      <w:r w:rsidRPr="00F112AB">
        <w:rPr>
          <w:sz w:val="24"/>
          <w:szCs w:val="24"/>
        </w:rPr>
        <w:t xml:space="preserve"> (Brazil)</w:t>
      </w:r>
    </w:p>
    <w:p w:rsidR="00DB32DB" w:rsidRPr="00F112AB" w:rsidRDefault="00DB32DB" w:rsidP="00DB32DB">
      <w:pPr>
        <w:jc w:val="center"/>
        <w:rPr>
          <w:sz w:val="24"/>
          <w:szCs w:val="24"/>
        </w:rPr>
      </w:pPr>
      <w:r w:rsidRPr="00F112AB">
        <w:rPr>
          <w:sz w:val="24"/>
          <w:szCs w:val="24"/>
        </w:rPr>
        <w:t>Video Volunteers (India)</w:t>
      </w:r>
    </w:p>
    <w:p w:rsidR="00DB32DB" w:rsidRDefault="00DB32DB" w:rsidP="00DB32DB">
      <w:pPr>
        <w:jc w:val="center"/>
      </w:pPr>
      <w:r w:rsidRPr="00F112AB">
        <w:rPr>
          <w:sz w:val="24"/>
          <w:szCs w:val="24"/>
        </w:rPr>
        <w:t>Zimbabwe Environmental</w:t>
      </w:r>
      <w:r>
        <w:t xml:space="preserve"> Law Association</w:t>
      </w:r>
    </w:p>
    <w:p w:rsidR="00DB32DB" w:rsidRPr="00F112AB" w:rsidRDefault="00DB32DB" w:rsidP="00DB32DB">
      <w:pPr>
        <w:jc w:val="center"/>
      </w:pPr>
    </w:p>
    <w:p w:rsidR="00DB32DB" w:rsidRDefault="00DB32DB" w:rsidP="00DB32DB"/>
    <w:p w:rsidR="00DB32DB" w:rsidRDefault="00DB32DB"/>
    <w:sectPr w:rsidR="00DB32DB">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B32DB" w:rsidRDefault="00DB32DB" w:rsidP="00DB32DB">
      <w:pPr>
        <w:spacing w:after="0" w:line="240" w:lineRule="auto"/>
      </w:pPr>
      <w:r>
        <w:separator/>
      </w:r>
    </w:p>
  </w:endnote>
  <w:endnote w:type="continuationSeparator" w:id="0">
    <w:p w:rsidR="00DB32DB" w:rsidRDefault="00DB32DB" w:rsidP="00DB32D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imes">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B32DB" w:rsidRDefault="00DB32DB" w:rsidP="00DB32DB">
      <w:pPr>
        <w:spacing w:after="0" w:line="240" w:lineRule="auto"/>
      </w:pPr>
      <w:r>
        <w:separator/>
      </w:r>
    </w:p>
  </w:footnote>
  <w:footnote w:type="continuationSeparator" w:id="0">
    <w:p w:rsidR="00DB32DB" w:rsidRDefault="00DB32DB" w:rsidP="00DB32DB">
      <w:pPr>
        <w:spacing w:after="0" w:line="240" w:lineRule="auto"/>
      </w:pPr>
      <w:r>
        <w:continuationSeparator/>
      </w:r>
    </w:p>
  </w:footnote>
  <w:footnote w:id="1">
    <w:p w:rsidR="00DB32DB" w:rsidRPr="00C526AC" w:rsidRDefault="00DB32DB" w:rsidP="00DB32DB">
      <w:pPr>
        <w:pStyle w:val="FootnoteText"/>
        <w:rPr>
          <w:rFonts w:ascii="Times New Roman" w:hAnsi="Times New Roman" w:cs="Times New Roman"/>
          <w:lang w:val="en-GB"/>
        </w:rPr>
      </w:pPr>
      <w:r w:rsidRPr="00B82E53">
        <w:rPr>
          <w:rStyle w:val="FootnoteReference"/>
          <w:rFonts w:ascii="Times New Roman" w:hAnsi="Times New Roman" w:cs="Times New Roman"/>
        </w:rPr>
        <w:footnoteRef/>
      </w:r>
      <w:r w:rsidRPr="00B82E53">
        <w:rPr>
          <w:rFonts w:ascii="Times New Roman" w:hAnsi="Times New Roman" w:cs="Times New Roman"/>
        </w:rPr>
        <w:t xml:space="preserve"> </w:t>
      </w:r>
      <w:r w:rsidRPr="00C526AC">
        <w:rPr>
          <w:rFonts w:ascii="Times New Roman" w:hAnsi="Times New Roman" w:cs="Times New Roman"/>
        </w:rPr>
        <w:t xml:space="preserve">For more information, see </w:t>
      </w:r>
      <w:r w:rsidRPr="00C526AC">
        <w:rPr>
          <w:rFonts w:ascii="Times New Roman" w:eastAsia="Times New Roman" w:hAnsi="Times New Roman" w:cs="Times New Roman"/>
        </w:rPr>
        <w:t>ESCR-Net and FIDH Treaty Initiative:</w:t>
      </w:r>
      <w:r w:rsidRPr="00C526AC">
        <w:rPr>
          <w:rFonts w:ascii="Times New Roman" w:hAnsi="Times New Roman" w:cs="Times New Roman"/>
        </w:rPr>
        <w:t xml:space="preserve"> </w:t>
      </w:r>
      <w:hyperlink r:id="rId1">
        <w:r w:rsidRPr="00C526AC">
          <w:rPr>
            <w:rStyle w:val="InternetLink"/>
            <w:rFonts w:ascii="Times New Roman" w:hAnsi="Times New Roman" w:cs="Times New Roman"/>
          </w:rPr>
          <w:t>https://www.escr-net.org/corporate-accountability/treaty-initiative/materials</w:t>
        </w:r>
      </w:hyperlink>
      <w:r w:rsidRPr="00C526AC">
        <w:rPr>
          <w:rFonts w:ascii="Times New Roman" w:hAnsi="Times New Roman" w:cs="Times New Roman"/>
        </w:rPr>
        <w:t xml:space="preserve">.  </w:t>
      </w:r>
    </w:p>
  </w:footnote>
  <w:footnote w:id="2">
    <w:p w:rsidR="00DB32DB" w:rsidRPr="00B82E53" w:rsidRDefault="00DB32DB" w:rsidP="00DB32DB">
      <w:pPr>
        <w:spacing w:after="0" w:line="240" w:lineRule="auto"/>
        <w:rPr>
          <w:rFonts w:ascii="Times New Roman" w:hAnsi="Times New Roman" w:cs="Times New Roman"/>
          <w:sz w:val="20"/>
          <w:szCs w:val="20"/>
        </w:rPr>
      </w:pPr>
      <w:r w:rsidRPr="00B82E53">
        <w:rPr>
          <w:rStyle w:val="FootnoteReference"/>
          <w:rFonts w:ascii="Times New Roman" w:hAnsi="Times New Roman" w:cs="Times New Roman"/>
          <w:sz w:val="20"/>
          <w:szCs w:val="20"/>
        </w:rPr>
        <w:footnoteRef/>
      </w:r>
      <w:r w:rsidRPr="00C526AC">
        <w:rPr>
          <w:rFonts w:ascii="Times New Roman" w:hAnsi="Times New Roman" w:cs="Times New Roman"/>
          <w:sz w:val="20"/>
          <w:szCs w:val="20"/>
        </w:rPr>
        <w:t xml:space="preserve"> Access </w:t>
      </w:r>
      <w:r w:rsidRPr="00C526AC">
        <w:rPr>
          <w:rFonts w:ascii="Times New Roman" w:eastAsia="Times New Roman" w:hAnsi="Times New Roman" w:cs="Times New Roman"/>
          <w:sz w:val="20"/>
          <w:szCs w:val="20"/>
        </w:rPr>
        <w:t xml:space="preserve">collective regional CSO statements from Asia-Pacific, Africa and Latin America Treaty Initiative consultations at: </w:t>
      </w:r>
      <w:hyperlink r:id="rId2">
        <w:r w:rsidRPr="00C526AC">
          <w:rPr>
            <w:rStyle w:val="InternetLink"/>
            <w:rFonts w:ascii="Times New Roman" w:eastAsia="Times New Roman" w:hAnsi="Times New Roman" w:cs="Times New Roman"/>
            <w:sz w:val="20"/>
            <w:szCs w:val="20"/>
          </w:rPr>
          <w:t>https://www.escr-net.org/corporateaccountability/treatyinitiative</w:t>
        </w:r>
      </w:hyperlink>
      <w:r w:rsidRPr="00C526AC">
        <w:rPr>
          <w:rFonts w:ascii="Times New Roman" w:eastAsia="Times New Roman" w:hAnsi="Times New Roman" w:cs="Times New Roman"/>
          <w:sz w:val="20"/>
          <w:szCs w:val="20"/>
        </w:rPr>
        <w:t>.</w:t>
      </w:r>
    </w:p>
  </w:footnote>
  <w:footnote w:id="3">
    <w:p w:rsidR="002075FB" w:rsidRPr="00596935" w:rsidRDefault="002075FB" w:rsidP="002075FB">
      <w:pPr>
        <w:pStyle w:val="FootnoteText"/>
        <w:rPr>
          <w:rFonts w:ascii="Times New Roman" w:hAnsi="Times New Roman" w:cs="Times New Roman"/>
        </w:rPr>
      </w:pPr>
      <w:r w:rsidRPr="00596935">
        <w:rPr>
          <w:rStyle w:val="FootnoteReference"/>
          <w:rFonts w:ascii="Times New Roman" w:hAnsi="Times New Roman" w:cs="Times New Roman"/>
        </w:rPr>
        <w:footnoteRef/>
      </w:r>
      <w:r w:rsidRPr="00596935">
        <w:rPr>
          <w:rFonts w:ascii="Times New Roman" w:hAnsi="Times New Roman" w:cs="Times New Roman"/>
        </w:rPr>
        <w:t xml:space="preserve"> </w:t>
      </w:r>
      <w:r w:rsidRPr="00C526AC">
        <w:rPr>
          <w:rFonts w:ascii="Times New Roman" w:hAnsi="Times New Roman" w:cs="Times New Roman"/>
        </w:rPr>
        <w:t>Statement of the Treaty Alliance, ‘UN Treaty Must Address Corporate Capture’, Rio de Jan</w:t>
      </w:r>
      <w:r>
        <w:rPr>
          <w:rFonts w:ascii="Times New Roman" w:hAnsi="Times New Roman" w:cs="Times New Roman"/>
        </w:rPr>
        <w:t>eiro, Brazil, 2016. Available here</w:t>
      </w:r>
      <w:r w:rsidRPr="00C526AC">
        <w:rPr>
          <w:rFonts w:ascii="Times New Roman" w:hAnsi="Times New Roman" w:cs="Times New Roman"/>
        </w:rPr>
        <w:t xml:space="preserve">: </w:t>
      </w:r>
      <w:hyperlink r:id="rId3" w:history="1">
        <w:r w:rsidRPr="00596935">
          <w:rPr>
            <w:rStyle w:val="Hyperlink"/>
            <w:rFonts w:ascii="Times New Roman" w:hAnsi="Times New Roman" w:cs="Times New Roman"/>
          </w:rPr>
          <w:t>http://static1.squarespace.com/static/53da9e43e4b07d85121c5448/t/57354276746fb9f00f573dae/1463108241728/UN+Treaty+Must+Address+Corporate+Capture+FINAL+ENG.pdf</w:t>
        </w:r>
      </w:hyperlink>
      <w:hyperlink r:id="rId4">
        <w:r w:rsidRPr="00596935">
          <w:rPr>
            <w:rStyle w:val="InternetLink"/>
            <w:rFonts w:ascii="Times New Roman" w:hAnsi="Times New Roman" w:cs="Times New Roman"/>
          </w:rPr>
          <w:t>http://static1.squarespace.com/static/53da9e43e4b07d85121c5448/t/57354276746fb9f00f573dae/1463108241728/UN+Treaty+Must+Address+Corporate+Capture+FINAL+ENG.pdf</w:t>
        </w:r>
      </w:hyperlink>
      <w:r>
        <w:rPr>
          <w:rFonts w:ascii="Times New Roman" w:hAnsi="Times New Roman" w:cs="Times New Roman"/>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557436B"/>
    <w:multiLevelType w:val="multilevel"/>
    <w:tmpl w:val="6A6C43CA"/>
    <w:lvl w:ilvl="0">
      <w:start w:val="2"/>
      <w:numFmt w:val="decimal"/>
      <w:lvlText w:val="%1"/>
      <w:lvlJc w:val="left"/>
      <w:pPr>
        <w:ind w:left="360" w:hanging="360"/>
      </w:pPr>
      <w:rPr>
        <w:rFonts w:hint="default"/>
      </w:rPr>
    </w:lvl>
    <w:lvl w:ilvl="1">
      <w:start w:val="9"/>
      <w:numFmt w:val="decimal"/>
      <w:lvlText w:val="%1.%2"/>
      <w:lvlJc w:val="left"/>
      <w:pPr>
        <w:ind w:left="900" w:hanging="360"/>
      </w:pPr>
      <w:rPr>
        <w:rFonts w:hint="default"/>
      </w:rPr>
    </w:lvl>
    <w:lvl w:ilvl="2">
      <w:start w:val="1"/>
      <w:numFmt w:val="decimal"/>
      <w:lvlText w:val="%1.%2.%3"/>
      <w:lvlJc w:val="left"/>
      <w:pPr>
        <w:ind w:left="1800" w:hanging="720"/>
      </w:pPr>
      <w:rPr>
        <w:rFonts w:hint="default"/>
      </w:rPr>
    </w:lvl>
    <w:lvl w:ilvl="3">
      <w:start w:val="1"/>
      <w:numFmt w:val="decimal"/>
      <w:lvlText w:val="%1.%2.%3.%4"/>
      <w:lvlJc w:val="left"/>
      <w:pPr>
        <w:ind w:left="2340" w:hanging="72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3780" w:hanging="1080"/>
      </w:pPr>
      <w:rPr>
        <w:rFonts w:hint="default"/>
      </w:rPr>
    </w:lvl>
    <w:lvl w:ilvl="6">
      <w:start w:val="1"/>
      <w:numFmt w:val="decimal"/>
      <w:lvlText w:val="%1.%2.%3.%4.%5.%6.%7"/>
      <w:lvlJc w:val="left"/>
      <w:pPr>
        <w:ind w:left="4680" w:hanging="1440"/>
      </w:pPr>
      <w:rPr>
        <w:rFonts w:hint="default"/>
      </w:rPr>
    </w:lvl>
    <w:lvl w:ilvl="7">
      <w:start w:val="1"/>
      <w:numFmt w:val="decimal"/>
      <w:lvlText w:val="%1.%2.%3.%4.%5.%6.%7.%8"/>
      <w:lvlJc w:val="left"/>
      <w:pPr>
        <w:ind w:left="5220" w:hanging="1440"/>
      </w:pPr>
      <w:rPr>
        <w:rFonts w:hint="default"/>
      </w:rPr>
    </w:lvl>
    <w:lvl w:ilvl="8">
      <w:start w:val="1"/>
      <w:numFmt w:val="decimal"/>
      <w:lvlText w:val="%1.%2.%3.%4.%5.%6.%7.%8.%9"/>
      <w:lvlJc w:val="left"/>
      <w:pPr>
        <w:ind w:left="5760" w:hanging="1440"/>
      </w:pPr>
      <w:rPr>
        <w:rFonts w:hint="default"/>
      </w:rPr>
    </w:lvl>
  </w:abstractNum>
  <w:abstractNum w:abstractNumId="1" w15:restartNumberingAfterBreak="0">
    <w:nsid w:val="2CF31D83"/>
    <w:multiLevelType w:val="multilevel"/>
    <w:tmpl w:val="AC38730E"/>
    <w:lvl w:ilvl="0">
      <w:start w:val="1"/>
      <w:numFmt w:val="decimal"/>
      <w:lvlText w:val="%1."/>
      <w:lvlJc w:val="left"/>
      <w:pPr>
        <w:ind w:left="720" w:hanging="360"/>
      </w:pPr>
    </w:lvl>
    <w:lvl w:ilvl="1">
      <w:start w:val="1"/>
      <w:numFmt w:val="decimal"/>
      <w:isLgl/>
      <w:lvlText w:val="%1.%2."/>
      <w:lvlJc w:val="left"/>
      <w:pPr>
        <w:ind w:left="720" w:hanging="360"/>
      </w:pPr>
      <w:rPr>
        <w:rFonts w:hint="default"/>
        <w:b/>
        <w:i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 w15:restartNumberingAfterBreak="0">
    <w:nsid w:val="369E1352"/>
    <w:multiLevelType w:val="hybridMultilevel"/>
    <w:tmpl w:val="2028E892"/>
    <w:lvl w:ilvl="0" w:tplc="C9D47602">
      <w:start w:val="1"/>
      <w:numFmt w:val="lowerLetter"/>
      <w:lvlText w:val="%1)"/>
      <w:lvlJc w:val="left"/>
      <w:pPr>
        <w:ind w:left="1080" w:hanging="360"/>
      </w:pPr>
      <w:rPr>
        <w:rFonts w:ascii="Times New Roman" w:eastAsiaTheme="minorHAnsi" w:hAnsi="Times New Roman" w:cs="Times New Roman"/>
        <w:b/>
        <w:i w:val="0"/>
      </w:rPr>
    </w:lvl>
    <w:lvl w:ilvl="1" w:tplc="A66C14B4">
      <w:start w:val="1"/>
      <w:numFmt w:val="lowerRoman"/>
      <w:lvlText w:val="%2."/>
      <w:lvlJc w:val="left"/>
      <w:pPr>
        <w:ind w:left="1800" w:hanging="360"/>
      </w:pPr>
      <w:rPr>
        <w:rFonts w:ascii="Times New Roman" w:eastAsiaTheme="minorHAnsi" w:hAnsi="Times New Roman" w:cs="Times New Roman"/>
        <w:b/>
      </w:r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7">
      <w:start w:val="1"/>
      <w:numFmt w:val="lowerLetter"/>
      <w:lvlText w:val="%6)"/>
      <w:lvlJc w:val="left"/>
      <w:pPr>
        <w:ind w:left="54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3" w15:restartNumberingAfterBreak="0">
    <w:nsid w:val="446D45A7"/>
    <w:multiLevelType w:val="hybridMultilevel"/>
    <w:tmpl w:val="B1242B6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664400F4"/>
    <w:multiLevelType w:val="multilevel"/>
    <w:tmpl w:val="739C9686"/>
    <w:lvl w:ilvl="0">
      <w:start w:val="2"/>
      <w:numFmt w:val="decimal"/>
      <w:lvlText w:val="%1."/>
      <w:lvlJc w:val="left"/>
      <w:pPr>
        <w:ind w:left="444" w:hanging="444"/>
      </w:pPr>
      <w:rPr>
        <w:rFonts w:hint="default"/>
      </w:rPr>
    </w:lvl>
    <w:lvl w:ilvl="1">
      <w:start w:val="11"/>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68AE3590"/>
    <w:multiLevelType w:val="hybridMultilevel"/>
    <w:tmpl w:val="5990714C"/>
    <w:lvl w:ilvl="0" w:tplc="81422028">
      <w:start w:val="6"/>
      <w:numFmt w:val="lowerLetter"/>
      <w:lvlText w:val="%1)"/>
      <w:lvlJc w:val="left"/>
      <w:pPr>
        <w:ind w:left="720" w:hanging="360"/>
      </w:pPr>
      <w:rPr>
        <w:rFonts w:hint="default"/>
      </w:rPr>
    </w:lvl>
    <w:lvl w:ilvl="1" w:tplc="04090017">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7B84372D"/>
    <w:multiLevelType w:val="hybridMultilevel"/>
    <w:tmpl w:val="51E2D750"/>
    <w:lvl w:ilvl="0" w:tplc="B4640ADE">
      <w:start w:val="1"/>
      <w:numFmt w:val="lowerLetter"/>
      <w:lvlText w:val="%1)"/>
      <w:lvlJc w:val="left"/>
      <w:pPr>
        <w:ind w:left="720" w:hanging="360"/>
      </w:pPr>
      <w:rPr>
        <w:rFonts w:hint="default"/>
        <w:b/>
        <w:i w:val="0"/>
      </w:rPr>
    </w:lvl>
    <w:lvl w:ilvl="1" w:tplc="0409001B">
      <w:start w:val="1"/>
      <w:numFmt w:val="lowerRoman"/>
      <w:lvlText w:val="%2."/>
      <w:lvlJc w:val="righ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1"/>
  </w:num>
  <w:num w:numId="3">
    <w:abstractNumId w:val="3"/>
  </w:num>
  <w:num w:numId="4">
    <w:abstractNumId w:val="6"/>
  </w:num>
  <w:num w:numId="5">
    <w:abstractNumId w:val="5"/>
  </w:num>
  <w:num w:numId="6">
    <w:abstractNumId w:val="4"/>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B32DB"/>
    <w:rsid w:val="000A3348"/>
    <w:rsid w:val="002075FB"/>
    <w:rsid w:val="008A1F04"/>
    <w:rsid w:val="00984C4C"/>
    <w:rsid w:val="00DB32D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38B967"/>
  <w15:chartTrackingRefBased/>
  <w15:docId w15:val="{C428B9F4-FBCD-47BF-9BA3-E4C46A5AFE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3">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DB32D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DB32DB"/>
    <w:rPr>
      <w:color w:val="0563C1" w:themeColor="hyperlink"/>
      <w:u w:val="single"/>
    </w:rPr>
  </w:style>
  <w:style w:type="paragraph" w:styleId="FootnoteText">
    <w:name w:val="footnote text"/>
    <w:aliases w:val="5_G,Footnote Text Char Char,Footnote Text Char Char Char Char Char,Footnote Text Char Char Char,Footnote Text Char Char Char Char Cha Char,Footnote Text Char1,Footnote Text Char1 Char Char,FOOTNOTES,fn,Car,single space,f"/>
    <w:basedOn w:val="Normal"/>
    <w:link w:val="FootnoteTextChar"/>
    <w:unhideWhenUsed/>
    <w:qFormat/>
    <w:rsid w:val="00DB32DB"/>
    <w:pPr>
      <w:spacing w:after="0" w:line="240" w:lineRule="auto"/>
    </w:pPr>
    <w:rPr>
      <w:sz w:val="20"/>
      <w:szCs w:val="20"/>
    </w:rPr>
  </w:style>
  <w:style w:type="character" w:customStyle="1" w:styleId="FootnoteTextChar">
    <w:name w:val="Footnote Text Char"/>
    <w:aliases w:val="5_G Char,Footnote Text Char Char Char1,Footnote Text Char Char Char Char Char Char,Footnote Text Char Char Char Char,Footnote Text Char Char Char Char Cha Char Char,Footnote Text Char1 Char,Footnote Text Char1 Char Char Char,fn Char"/>
    <w:basedOn w:val="DefaultParagraphFont"/>
    <w:link w:val="FootnoteText"/>
    <w:rsid w:val="00DB32DB"/>
    <w:rPr>
      <w:sz w:val="20"/>
      <w:szCs w:val="20"/>
    </w:rPr>
  </w:style>
  <w:style w:type="character" w:styleId="FootnoteReference">
    <w:name w:val="footnote reference"/>
    <w:aliases w:val="Footnote symbol Car Zchn Zchn Char,Footnote Car Zchn Zchn Char,Times 10 Point Car Zchn Zchn Char,Exposant 3 Point Car Zchn Zchn Char,Footnote Reference Superscript Car Zchn Zchn Char, Char Char Char Char Char Car Zchn Zchn Char,4_G Ch"/>
    <w:basedOn w:val="DefaultParagraphFont"/>
    <w:link w:val="FootnotesymbolCarZchnZchn"/>
    <w:uiPriority w:val="99"/>
    <w:unhideWhenUsed/>
    <w:qFormat/>
    <w:rsid w:val="00DB32DB"/>
    <w:rPr>
      <w:vertAlign w:val="superscript"/>
    </w:rPr>
  </w:style>
  <w:style w:type="paragraph" w:customStyle="1" w:styleId="FootnotesymbolCarZchnZchn">
    <w:name w:val="Footnote symbol Car Zchn Zchn"/>
    <w:aliases w:val="Footnote Car Zchn Zchn,Times 10 Point Car Zchn Zchn,Exposant 3 Point Car Zchn Zchn,Footnote Reference Superscript Car Zchn Zchn, Char Char Char Char Char Car Zchn Zchn,BVI fnr Car Zchn Zchn,4_G,ftref,Ref"/>
    <w:basedOn w:val="Normal"/>
    <w:link w:val="FootnoteReference"/>
    <w:uiPriority w:val="99"/>
    <w:qFormat/>
    <w:rsid w:val="00DB32DB"/>
    <w:pPr>
      <w:suppressAutoHyphens/>
      <w:spacing w:line="240" w:lineRule="exact"/>
      <w:jc w:val="both"/>
    </w:pPr>
    <w:rPr>
      <w:vertAlign w:val="superscript"/>
    </w:rPr>
  </w:style>
  <w:style w:type="character" w:customStyle="1" w:styleId="InternetLink">
    <w:name w:val="Internet Link"/>
    <w:basedOn w:val="DefaultParagraphFont"/>
    <w:uiPriority w:val="99"/>
    <w:unhideWhenUsed/>
    <w:rsid w:val="00DB32DB"/>
    <w:rPr>
      <w:color w:val="0563C1" w:themeColor="hyperlink"/>
      <w:u w:val="single"/>
    </w:rPr>
  </w:style>
  <w:style w:type="paragraph" w:styleId="ListParagraph">
    <w:name w:val="List Paragraph"/>
    <w:basedOn w:val="Normal"/>
    <w:uiPriority w:val="34"/>
    <w:qFormat/>
    <w:rsid w:val="002075FB"/>
    <w:pPr>
      <w:ind w:left="720"/>
      <w:contextualSpacing/>
    </w:pPr>
  </w:style>
  <w:style w:type="paragraph" w:styleId="CommentText">
    <w:name w:val="annotation text"/>
    <w:basedOn w:val="Normal"/>
    <w:link w:val="CommentTextChar"/>
    <w:uiPriority w:val="99"/>
    <w:unhideWhenUsed/>
    <w:rsid w:val="002075FB"/>
    <w:pPr>
      <w:spacing w:line="240" w:lineRule="auto"/>
    </w:pPr>
    <w:rPr>
      <w:sz w:val="20"/>
      <w:szCs w:val="20"/>
    </w:rPr>
  </w:style>
  <w:style w:type="character" w:customStyle="1" w:styleId="CommentTextChar">
    <w:name w:val="Comment Text Char"/>
    <w:basedOn w:val="DefaultParagraphFont"/>
    <w:link w:val="CommentText"/>
    <w:uiPriority w:val="99"/>
    <w:rsid w:val="002075FB"/>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escr-net.org/corporateaccountability/treatyinitiative" TargetMode="External"/><Relationship Id="rId13" Type="http://schemas.openxmlformats.org/officeDocument/2006/relationships/customXml" Target="../customXml/item1.xml"/><Relationship Id="rId3" Type="http://schemas.openxmlformats.org/officeDocument/2006/relationships/settings" Target="settings.xml"/><Relationship Id="rId7" Type="http://schemas.openxmlformats.org/officeDocument/2006/relationships/image" Target="media/image1.jp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customXml" Target="../customXml/item3.xml"/><Relationship Id="rId10" Type="http://schemas.openxmlformats.org/officeDocument/2006/relationships/hyperlink" Target="https://www.forum-asia.org/wp" TargetMode="External"/><Relationship Id="rId4" Type="http://schemas.openxmlformats.org/officeDocument/2006/relationships/webSettings" Target="webSettings.xml"/><Relationship Id="rId9" Type="http://schemas.openxmlformats.org/officeDocument/2006/relationships/hyperlink" Target="http://www.treatymovement.com/" TargetMode="External"/><Relationship Id="rId14" Type="http://schemas.openxmlformats.org/officeDocument/2006/relationships/customXml" Target="../customXml/item2.xml"/></Relationships>
</file>

<file path=word/_rels/footnotes.xml.rels><?xml version="1.0" encoding="UTF-8" standalone="yes"?>
<Relationships xmlns="http://schemas.openxmlformats.org/package/2006/relationships"><Relationship Id="rId3" Type="http://schemas.openxmlformats.org/officeDocument/2006/relationships/hyperlink" Target="http://static1.squarespace.com/static/53da9e43e4b07d85121c5448/t/57354276746fb9f00f573dae/1463108241728/UN+Treaty+Must+Address+Corporate+Capture+FINAL+ENG.pdf" TargetMode="External"/><Relationship Id="rId2" Type="http://schemas.openxmlformats.org/officeDocument/2006/relationships/hyperlink" Target="https://www.escr-net.org/corporateaccountability/treatyinitiative" TargetMode="External"/><Relationship Id="rId1" Type="http://schemas.openxmlformats.org/officeDocument/2006/relationships/hyperlink" Target="https://www.escr-net.org/corporate-accountability/treaty-initiative/materials" TargetMode="External"/><Relationship Id="rId4" Type="http://schemas.openxmlformats.org/officeDocument/2006/relationships/hyperlink" Target="http://static1.squarespace.com/static/53da9e43e4b07d85121c5448/t/57354276746fb9f00f573dae/1463108241728/UN+Treaty+Must+Address+Corporate+Capture+FINAL+ENG.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documentManagement>
    <PublishingExpirationDate xmlns="http://schemas.microsoft.com/sharepoint/v3" xsi:nil="true"/>
    <PublishingStartDate xmlns="http://schemas.microsoft.com/sharepoint/v3"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8822B9E06671B54FA89F14538B9B0FEA" ma:contentTypeVersion="1" ma:contentTypeDescription="Create a new document." ma:contentTypeScope="" ma:versionID="362711686602768b23db736653e4ac1a">
  <xsd:schema xmlns:xsd="http://www.w3.org/2001/XMLSchema" xmlns:xs="http://www.w3.org/2001/XMLSchema" xmlns:p="http://schemas.microsoft.com/office/2006/metadata/properties" xmlns:ns1="http://schemas.microsoft.com/sharepoint/v3" targetNamespace="http://schemas.microsoft.com/office/2006/metadata/properties" ma:root="true" ma:fieldsID="48c5b5cd9b8d25ff6dd15848836f427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787C467-3569-462F-8006-658433A1ECF7}"/>
</file>

<file path=customXml/itemProps2.xml><?xml version="1.0" encoding="utf-8"?>
<ds:datastoreItem xmlns:ds="http://schemas.openxmlformats.org/officeDocument/2006/customXml" ds:itemID="{34E4231A-0CFB-45C5-90AA-DAEB7F62B414}"/>
</file>

<file path=customXml/itemProps3.xml><?xml version="1.0" encoding="utf-8"?>
<ds:datastoreItem xmlns:ds="http://schemas.openxmlformats.org/officeDocument/2006/customXml" ds:itemID="{18407C75-862E-4FEF-B085-2F0EB6704171}"/>
</file>

<file path=docProps/app.xml><?xml version="1.0" encoding="utf-8"?>
<Properties xmlns="http://schemas.openxmlformats.org/officeDocument/2006/extended-properties" xmlns:vt="http://schemas.openxmlformats.org/officeDocument/2006/docPropsVTypes">
  <Template>Normal.dotm</Template>
  <TotalTime>10</TotalTime>
  <Pages>9</Pages>
  <Words>3141</Words>
  <Characters>19100</Characters>
  <Application>Microsoft Office Word</Application>
  <DocSecurity>0</DocSecurity>
  <Lines>367</Lines>
  <Paragraphs>176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22065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ESCR-Net.</dc:creator>
  <cp:keywords/>
  <dc:description/>
  <cp:lastModifiedBy>ESCR-Net.</cp:lastModifiedBy>
  <cp:revision>2</cp:revision>
  <dcterms:created xsi:type="dcterms:W3CDTF">2016-10-04T23:06:00Z</dcterms:created>
  <dcterms:modified xsi:type="dcterms:W3CDTF">2016-10-05T00:02:00Z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0x0101008822B9E06671B54FA89F14538B9B0FEA</vt:lpwstr>
  </property>
  <property fmtid="{D5CDD505-2E9C-101B-9397-08002B2CF9AE}" pid="3" name="Order">
    <vt:r8>3789300</vt:r8>
  </property>
  <property fmtid="{D5CDD505-2E9C-101B-9397-08002B2CF9AE}" pid="5" name="xd_ProgID">
    <vt:lpwstr/>
  </property>
  <property fmtid="{D5CDD505-2E9C-101B-9397-08002B2CF9AE}" pid="6" name="_SourceUrl">
    <vt:lpwstr/>
  </property>
  <property fmtid="{D5CDD505-2E9C-101B-9397-08002B2CF9AE}" pid="7" name="_SharedFileIndex">
    <vt:lpwstr/>
  </property>
  <property fmtid="{D5CDD505-2E9C-101B-9397-08002B2CF9AE}" pid="8" name="TemplateUrl">
    <vt:lpwstr/>
  </property>
</Properties>
</file>