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line="249" w:lineRule="auto" w:before="59"/>
        <w:ind w:left="124" w:right="119" w:firstLine="4"/>
        <w:jc w:val="both"/>
        <w:rPr>
          <w:b/>
          <w:sz w:val="23"/>
        </w:rPr>
      </w:pPr>
      <w:r>
        <w:rPr>
          <w:b/>
          <w:color w:val="3B3B3B"/>
          <w:w w:val="105"/>
          <w:sz w:val="23"/>
        </w:rPr>
        <w:t>European Union contribution in view of the second session of the Intergovernmental Working Group on Transnational Corporations and Other Enterprises with respect to human rights </w:t>
      </w:r>
      <w:r>
        <w:rPr>
          <w:b/>
          <w:color w:val="3B3B3B"/>
          <w:w w:val="165"/>
          <w:sz w:val="23"/>
        </w:rPr>
        <w:t>-</w:t>
      </w:r>
      <w:r>
        <w:rPr>
          <w:b/>
          <w:color w:val="3B3B3B"/>
          <w:spacing w:val="-67"/>
          <w:w w:val="165"/>
          <w:sz w:val="23"/>
        </w:rPr>
        <w:t> </w:t>
      </w:r>
      <w:r>
        <w:rPr>
          <w:b/>
          <w:color w:val="3B3B3B"/>
          <w:w w:val="105"/>
          <w:sz w:val="23"/>
        </w:rPr>
        <w:t>29 August 2016</w:t>
      </w:r>
    </w:p>
    <w:p>
      <w:pPr>
        <w:pStyle w:val="BodyText"/>
        <w:spacing w:before="2"/>
        <w:jc w:val="left"/>
        <w:rPr>
          <w:b/>
        </w:rPr>
      </w:pPr>
    </w:p>
    <w:p>
      <w:pPr>
        <w:pStyle w:val="BodyText"/>
        <w:spacing w:line="249" w:lineRule="auto"/>
        <w:ind w:left="120" w:right="130" w:firstLine="4"/>
      </w:pPr>
      <w:r>
        <w:rPr>
          <w:color w:val="3B3B3B"/>
        </w:rPr>
        <w:t>Following the Note Verbale dated  7 July 2016 requesting  written  contributions  in preparation  of the second session of the Intergovernmental Working Group on Transnational Corporations and Other Enterprises with respect to human rights, scheduled to take place on 24-28 October 2016, the European  Union would  like to provide the following  </w:t>
      </w:r>
      <w:r>
        <w:rPr>
          <w:color w:val="3B3B3B"/>
          <w:spacing w:val="12"/>
        </w:rPr>
        <w:t> </w:t>
      </w:r>
      <w:r>
        <w:rPr>
          <w:color w:val="3B3B3B"/>
        </w:rPr>
        <w:t>elements.</w:t>
      </w:r>
    </w:p>
    <w:p>
      <w:pPr>
        <w:pStyle w:val="BodyText"/>
        <w:spacing w:before="7"/>
        <w:jc w:val="left"/>
      </w:pPr>
    </w:p>
    <w:p>
      <w:pPr>
        <w:pStyle w:val="BodyText"/>
        <w:spacing w:line="242" w:lineRule="auto"/>
        <w:ind w:left="120" w:right="160" w:firstLine="23"/>
      </w:pPr>
      <w:r>
        <w:rPr>
          <w:color w:val="3B3B3B"/>
        </w:rPr>
        <w:t>I . The EU recalls its contribution to the first session of the Intergovernmental Working  Group  of July</w:t>
      </w:r>
      <w:r>
        <w:rPr>
          <w:color w:val="3B3B3B"/>
          <w:spacing w:val="32"/>
        </w:rPr>
        <w:t> </w:t>
      </w:r>
      <w:r>
        <w:rPr>
          <w:color w:val="3B3B3B"/>
        </w:rPr>
        <w:t>2015.</w:t>
      </w:r>
    </w:p>
    <w:p>
      <w:pPr>
        <w:pStyle w:val="BodyText"/>
        <w:spacing w:line="247" w:lineRule="auto" w:before="15"/>
        <w:ind w:left="120" w:right="199" w:firstLine="4"/>
      </w:pPr>
      <w:r>
        <w:rPr>
          <w:color w:val="3B3B3B"/>
          <w:u w:val="thick" w:color="000000"/>
        </w:rPr>
        <w:t>(</w:t>
      </w:r>
      <w:hyperlink r:id="rId5">
        <w:r>
          <w:rPr>
            <w:color w:val="3B3B3B"/>
            <w:u w:val="thick" w:color="000000"/>
          </w:rPr>
          <w:t>http://www.ohchr.org/EN/HRBodies/HRC/W GTransCorp/Session I/Pages/WrittenContri buti</w:t>
        </w:r>
      </w:hyperlink>
      <w:r>
        <w:rPr>
          <w:color w:val="3B3B3B"/>
          <w:u w:val="thick" w:color="000000"/>
        </w:rPr>
        <w:t> </w:t>
      </w:r>
      <w:r>
        <w:rPr>
          <w:color w:val="3B3B3B"/>
          <w:u w:val="single" w:color="000000"/>
        </w:rPr>
        <w:t>ons.aspx </w:t>
      </w:r>
      <w:r>
        <w:rPr>
          <w:color w:val="3B3B3B"/>
        </w:rPr>
        <w:t>).</w:t>
      </w:r>
    </w:p>
    <w:p>
      <w:pPr>
        <w:pStyle w:val="BodyText"/>
        <w:spacing w:before="9"/>
        <w:jc w:val="left"/>
      </w:pPr>
    </w:p>
    <w:p>
      <w:pPr>
        <w:pStyle w:val="ListParagraph"/>
        <w:numPr>
          <w:ilvl w:val="0"/>
          <w:numId w:val="1"/>
        </w:numPr>
        <w:tabs>
          <w:tab w:pos="379" w:val="left" w:leader="none"/>
        </w:tabs>
        <w:spacing w:line="249" w:lineRule="auto" w:before="0" w:after="0"/>
        <w:ind w:left="115" w:right="124" w:firstLine="5"/>
        <w:jc w:val="both"/>
        <w:rPr>
          <w:sz w:val="23"/>
        </w:rPr>
      </w:pPr>
      <w:r>
        <w:rPr>
          <w:color w:val="3B3B3B"/>
          <w:sz w:val="23"/>
        </w:rPr>
        <w:t>The European Union also expressed its position on the content of the  Chair-Rapporteur's  report on the first session in its statement under Item 3 at the 31st session of the Human Rights Council.</w:t>
      </w:r>
    </w:p>
    <w:p>
      <w:pPr>
        <w:pStyle w:val="BodyText"/>
        <w:spacing w:line="247" w:lineRule="auto" w:before="3"/>
        <w:ind w:left="120" w:right="215"/>
      </w:pPr>
      <w:r>
        <w:rPr>
          <w:color w:val="3B3B3B"/>
          <w:u w:val="single" w:color="000000"/>
        </w:rPr>
        <w:t>(</w:t>
      </w:r>
      <w:hyperlink r:id="rId6">
        <w:r>
          <w:rPr>
            <w:color w:val="3B3B3B"/>
            <w:u w:val="single" w:color="000000"/>
          </w:rPr>
          <w:t>http://eeas.europa.eu/archives/delegations/un       geneva/documents/eu     statments/human right/</w:t>
        </w:r>
      </w:hyperlink>
      <w:r>
        <w:rPr>
          <w:color w:val="3B3B3B"/>
          <w:u w:val="single" w:color="000000"/>
        </w:rPr>
        <w:t> </w:t>
      </w:r>
      <w:r>
        <w:rPr>
          <w:color w:val="3B3B3B"/>
          <w:u w:val="thick" w:color="000000"/>
        </w:rPr>
        <w:t>20160311   item   3.pdf </w:t>
      </w:r>
      <w:r>
        <w:rPr>
          <w:color w:val="3B3B3B"/>
        </w:rPr>
        <w:t>)</w:t>
      </w:r>
    </w:p>
    <w:p>
      <w:pPr>
        <w:pStyle w:val="BodyText"/>
        <w:spacing w:before="3"/>
        <w:jc w:val="left"/>
        <w:rPr>
          <w:sz w:val="24"/>
        </w:rPr>
      </w:pPr>
    </w:p>
    <w:p>
      <w:pPr>
        <w:pStyle w:val="ListParagraph"/>
        <w:numPr>
          <w:ilvl w:val="0"/>
          <w:numId w:val="1"/>
        </w:numPr>
        <w:tabs>
          <w:tab w:pos="398" w:val="left" w:leader="none"/>
        </w:tabs>
        <w:spacing w:line="249" w:lineRule="auto" w:before="0" w:after="0"/>
        <w:ind w:left="110" w:right="133" w:firstLine="10"/>
        <w:jc w:val="both"/>
        <w:rPr>
          <w:sz w:val="23"/>
        </w:rPr>
      </w:pPr>
      <w:r>
        <w:rPr>
          <w:color w:val="3B3B3B"/>
          <w:sz w:val="23"/>
        </w:rPr>
        <w:t>With regard to the preparation of the second session of the  Intergovernmental  Working Group, the EU remains eager to engage with the Chair-Rapporteur and all regional/political groups with a view to addressing outstanding  issues  as soon  as possible.  The EU  encourages the  Chair-Rapporteur  to call such consultations  at her earliest </w:t>
      </w:r>
      <w:r>
        <w:rPr>
          <w:color w:val="3B3B3B"/>
          <w:spacing w:val="31"/>
          <w:sz w:val="23"/>
        </w:rPr>
        <w:t> </w:t>
      </w:r>
      <w:r>
        <w:rPr>
          <w:color w:val="3B3B3B"/>
          <w:sz w:val="23"/>
        </w:rPr>
        <w:t>convenience.</w:t>
      </w:r>
    </w:p>
    <w:p>
      <w:pPr>
        <w:pStyle w:val="BodyText"/>
        <w:spacing w:before="5"/>
        <w:jc w:val="left"/>
        <w:rPr>
          <w:sz w:val="24"/>
        </w:rPr>
      </w:pPr>
    </w:p>
    <w:p>
      <w:pPr>
        <w:pStyle w:val="ListParagraph"/>
        <w:numPr>
          <w:ilvl w:val="0"/>
          <w:numId w:val="1"/>
        </w:numPr>
        <w:tabs>
          <w:tab w:pos="365" w:val="left" w:leader="none"/>
        </w:tabs>
        <w:spacing w:line="249" w:lineRule="auto" w:before="0" w:after="0"/>
        <w:ind w:left="105" w:right="114" w:firstLine="5"/>
        <w:jc w:val="both"/>
        <w:rPr>
          <w:sz w:val="23"/>
        </w:rPr>
      </w:pPr>
      <w:r>
        <w:rPr>
          <w:color w:val="3B3B3B"/>
          <w:sz w:val="23"/>
        </w:rPr>
        <w:t>While respecting resolution 26/9, the EU continues to believe that  it is important  to ensure  that the scope of the discussion and the Programme of Work are not limited to transnational corporations. The European Union also reiterates that the Programme of Work of the second session of the Intergovernmental Working Group should include a dedicated agenda Item to reaffirm the commitment by all States to  implementing  the  UN  Guiding  Principles  on  Business and Human Rights. Also, for a comprehensive discussion on  business  and  human rights, it remains important that all relevant  stakeholders,  including  NGOs,  trade  unions  and the business community, are given a chance to contribute their views and expertise. The EU position  is also supported by  a range  of countries  across different</w:t>
      </w:r>
      <w:r>
        <w:rPr>
          <w:color w:val="3B3B3B"/>
          <w:spacing w:val="29"/>
          <w:sz w:val="23"/>
        </w:rPr>
        <w:t> </w:t>
      </w:r>
      <w:r>
        <w:rPr>
          <w:color w:val="3B3B3B"/>
          <w:sz w:val="23"/>
        </w:rPr>
        <w:t>regions.</w:t>
      </w:r>
    </w:p>
    <w:p>
      <w:pPr>
        <w:pStyle w:val="BodyText"/>
        <w:spacing w:before="7"/>
        <w:jc w:val="left"/>
      </w:pPr>
    </w:p>
    <w:p>
      <w:pPr>
        <w:pStyle w:val="ListParagraph"/>
        <w:numPr>
          <w:ilvl w:val="0"/>
          <w:numId w:val="1"/>
        </w:numPr>
        <w:tabs>
          <w:tab w:pos="360" w:val="left" w:leader="none"/>
        </w:tabs>
        <w:spacing w:line="249" w:lineRule="auto" w:before="0" w:after="0"/>
        <w:ind w:left="105" w:right="121" w:firstLine="15"/>
        <w:jc w:val="both"/>
        <w:rPr>
          <w:sz w:val="23"/>
        </w:rPr>
      </w:pPr>
      <w:r>
        <w:rPr>
          <w:color w:val="3B3B3B"/>
          <w:sz w:val="23"/>
        </w:rPr>
        <w:t>The EU is pleased that consensus could be found on the Human Rights Council resolution "Business and Human Rights: improving accountability  and  access to  remedy"  presented  by the core group (Argentina, Ghana, Norway, Russian Federation) as a follow up to the High Commissioner's report A/HRC/32/19 and Add. I , which was adopted at the 32"d session of the Human Rights Council. Such a resolution shows that effective  and  pragmatic  steps  can  be taken to improve  accountability  and  access to</w:t>
      </w:r>
      <w:r>
        <w:rPr>
          <w:color w:val="3B3B3B"/>
          <w:spacing w:val="15"/>
          <w:sz w:val="23"/>
        </w:rPr>
        <w:t> </w:t>
      </w:r>
      <w:r>
        <w:rPr>
          <w:color w:val="3B3B3B"/>
          <w:sz w:val="23"/>
        </w:rPr>
        <w:t>remedy.</w:t>
      </w:r>
    </w:p>
    <w:p>
      <w:pPr>
        <w:pStyle w:val="BodyText"/>
        <w:jc w:val="left"/>
        <w:rPr>
          <w:sz w:val="24"/>
        </w:rPr>
      </w:pPr>
    </w:p>
    <w:p>
      <w:pPr>
        <w:pStyle w:val="ListParagraph"/>
        <w:numPr>
          <w:ilvl w:val="0"/>
          <w:numId w:val="1"/>
        </w:numPr>
        <w:tabs>
          <w:tab w:pos="432" w:val="left" w:leader="none"/>
        </w:tabs>
        <w:spacing w:line="252" w:lineRule="auto" w:before="0" w:after="0"/>
        <w:ind w:left="105" w:right="123" w:firstLine="5"/>
        <w:jc w:val="both"/>
        <w:rPr>
          <w:sz w:val="23"/>
        </w:rPr>
      </w:pPr>
      <w:r>
        <w:rPr>
          <w:color w:val="3B3B3B"/>
          <w:sz w:val="23"/>
        </w:rPr>
        <w:t>The European Union is making steady progress on  implementing  the  UN  Guiding  Principles on Business and Human Rights. The Council Conclusions of 20 June  2016  set out such progress and a clear direction of work, including as  regards  the  issue  of  access  to  remedy. </w:t>
      </w:r>
      <w:r>
        <w:rPr>
          <w:color w:val="3B3B3B"/>
          <w:sz w:val="23"/>
          <w:u w:val="single" w:color="000000"/>
        </w:rPr>
        <w:t>(</w:t>
      </w:r>
      <w:hyperlink r:id="rId7">
        <w:r>
          <w:rPr>
            <w:color w:val="3B3B3B"/>
            <w:sz w:val="23"/>
            <w:u w:val="single" w:color="000000"/>
          </w:rPr>
          <w:t>http://www.consilium.europa.eu/en/press/press-releases/2016/06/20-fac-business</w:t>
        </w:r>
      </w:hyperlink>
      <w:r>
        <w:rPr>
          <w:color w:val="3B3B3B"/>
          <w:sz w:val="23"/>
          <w:u w:val="single" w:color="000000"/>
        </w:rPr>
        <w:t>­ </w:t>
      </w:r>
      <w:r>
        <w:rPr>
          <w:color w:val="3B3B3B"/>
          <w:sz w:val="23"/>
          <w:u w:val="single" w:color="000000"/>
        </w:rPr>
        <w:t>human-rights-concl</w:t>
      </w:r>
      <w:r>
        <w:rPr>
          <w:color w:val="3B3B3B"/>
          <w:spacing w:val="26"/>
          <w:sz w:val="23"/>
          <w:u w:val="single" w:color="000000"/>
        </w:rPr>
        <w:t> </w:t>
      </w:r>
      <w:r>
        <w:rPr>
          <w:color w:val="3B3B3B"/>
          <w:sz w:val="23"/>
          <w:u w:val="single" w:color="000000"/>
        </w:rPr>
        <w:t>usions/)</w:t>
      </w:r>
      <w:r>
        <w:rPr>
          <w:color w:val="3B3B3B"/>
          <w:sz w:val="23"/>
        </w:rPr>
        <w:t>.</w:t>
      </w:r>
    </w:p>
    <w:sectPr>
      <w:type w:val="continuous"/>
      <w:pgSz w:w="11920" w:h="16840"/>
      <w:pgMar w:top="1280" w:bottom="280" w:left="134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115" w:hanging="259"/>
        <w:jc w:val="left"/>
      </w:pPr>
      <w:rPr>
        <w:rFonts w:hint="default" w:ascii="Times New Roman" w:hAnsi="Times New Roman" w:eastAsia="Times New Roman" w:cs="Times New Roman"/>
        <w:color w:val="3B3B3B"/>
        <w:w w:val="99"/>
        <w:sz w:val="23"/>
        <w:szCs w:val="23"/>
      </w:rPr>
    </w:lvl>
    <w:lvl w:ilvl="1">
      <w:start w:val="1"/>
      <w:numFmt w:val="bullet"/>
      <w:lvlText w:val="•"/>
      <w:lvlJc w:val="left"/>
      <w:pPr>
        <w:ind w:left="1036" w:hanging="259"/>
      </w:pPr>
      <w:rPr>
        <w:rFonts w:hint="default"/>
      </w:rPr>
    </w:lvl>
    <w:lvl w:ilvl="2">
      <w:start w:val="1"/>
      <w:numFmt w:val="bullet"/>
      <w:lvlText w:val="•"/>
      <w:lvlJc w:val="left"/>
      <w:pPr>
        <w:ind w:left="1952" w:hanging="259"/>
      </w:pPr>
      <w:rPr>
        <w:rFonts w:hint="default"/>
      </w:rPr>
    </w:lvl>
    <w:lvl w:ilvl="3">
      <w:start w:val="1"/>
      <w:numFmt w:val="bullet"/>
      <w:lvlText w:val="•"/>
      <w:lvlJc w:val="left"/>
      <w:pPr>
        <w:ind w:left="2868" w:hanging="259"/>
      </w:pPr>
      <w:rPr>
        <w:rFonts w:hint="default"/>
      </w:rPr>
    </w:lvl>
    <w:lvl w:ilvl="4">
      <w:start w:val="1"/>
      <w:numFmt w:val="bullet"/>
      <w:lvlText w:val="•"/>
      <w:lvlJc w:val="left"/>
      <w:pPr>
        <w:ind w:left="3784" w:hanging="259"/>
      </w:pPr>
      <w:rPr>
        <w:rFonts w:hint="default"/>
      </w:rPr>
    </w:lvl>
    <w:lvl w:ilvl="5">
      <w:start w:val="1"/>
      <w:numFmt w:val="bullet"/>
      <w:lvlText w:val="•"/>
      <w:lvlJc w:val="left"/>
      <w:pPr>
        <w:ind w:left="4700" w:hanging="259"/>
      </w:pPr>
      <w:rPr>
        <w:rFonts w:hint="default"/>
      </w:rPr>
    </w:lvl>
    <w:lvl w:ilvl="6">
      <w:start w:val="1"/>
      <w:numFmt w:val="bullet"/>
      <w:lvlText w:val="•"/>
      <w:lvlJc w:val="left"/>
      <w:pPr>
        <w:ind w:left="5616" w:hanging="259"/>
      </w:pPr>
      <w:rPr>
        <w:rFonts w:hint="default"/>
      </w:rPr>
    </w:lvl>
    <w:lvl w:ilvl="7">
      <w:start w:val="1"/>
      <w:numFmt w:val="bullet"/>
      <w:lvlText w:val="•"/>
      <w:lvlJc w:val="left"/>
      <w:pPr>
        <w:ind w:left="6532" w:hanging="259"/>
      </w:pPr>
      <w:rPr>
        <w:rFonts w:hint="default"/>
      </w:rPr>
    </w:lvl>
    <w:lvl w:ilvl="8">
      <w:start w:val="1"/>
      <w:numFmt w:val="bullet"/>
      <w:lvlText w:val="•"/>
      <w:lvlJc w:val="left"/>
      <w:pPr>
        <w:ind w:left="7448" w:hanging="25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jc w:val="both"/>
    </w:pPr>
    <w:rPr>
      <w:rFonts w:ascii="Times New Roman" w:hAnsi="Times New Roman" w:eastAsia="Times New Roman" w:cs="Times New Roman"/>
      <w:sz w:val="23"/>
      <w:szCs w:val="23"/>
    </w:rPr>
  </w:style>
  <w:style w:styleId="ListParagraph" w:type="paragraph">
    <w:name w:val="List Paragraph"/>
    <w:basedOn w:val="Normal"/>
    <w:uiPriority w:val="1"/>
    <w:qFormat/>
    <w:pPr>
      <w:ind w:left="105" w:right="114" w:firstLine="5"/>
      <w:jc w:val="both"/>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3" Type="http://schemas.openxmlformats.org/officeDocument/2006/relationships/theme" Target="theme/theme1.xml"/><Relationship Id="rId7" Type="http://schemas.openxmlformats.org/officeDocument/2006/relationships/hyperlink" Target="http://www.consilium.europa.eu/en/press/press-releases/2016/06/20-fac-business" TargetMode="Externa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eas.europa.eu/archives/delegations/ungeneva/documents/eustatments/humanright/" TargetMode="External"/><Relationship Id="rId11" Type="http://schemas.openxmlformats.org/officeDocument/2006/relationships/customXml" Target="../customXml/item3.xml"/><Relationship Id="rId5" Type="http://schemas.openxmlformats.org/officeDocument/2006/relationships/hyperlink" Target="http://www.ohchr.org/EN/HRBodies/HRC/WGTransCorp/SessionI/Pages/WrittenContributi" TargetMode="Externa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7F61049-5D8E-4625-A115-4BDA21B985A0}"/>
</file>

<file path=customXml/itemProps2.xml><?xml version="1.0" encoding="utf-8"?>
<ds:datastoreItem xmlns:ds="http://schemas.openxmlformats.org/officeDocument/2006/customXml" ds:itemID="{51FCE85E-005F-4FC7-A704-E0EF64B3C60D}"/>
</file>

<file path=customXml/itemProps3.xml><?xml version="1.0" encoding="utf-8"?>
<ds:datastoreItem xmlns:ds="http://schemas.openxmlformats.org/officeDocument/2006/customXml" ds:itemID="{5BE4068C-BA26-4D6F-96B9-5265454E090C}"/>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2016-09-14T10:48:30Z</dcterms:created>
  <dcterms:modified xsi:type="dcterms:W3CDTF">2016-09-14T10:48:30Z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2016-08-30T00:00:00Z</vt:filetime>
  </property>
  <property fmtid="{D5CDD505-2E9C-101B-9397-08002B2CF9AE}" pid="3" name="Creator">
    <vt:lpwstr>Xerox WorkCentre 5875</vt:lpwstr>
  </property>
  <property fmtid="{D5CDD505-2E9C-101B-9397-08002B2CF9AE}" pid="4" name="LastSaved">
    <vt:filetime>2016-09-14T00:00:00Z</vt:filetime>
  </property>
  <property fmtid="{D5CDD505-2E9C-101B-9397-08002B2CF9AE}" pid="5" name="ContentTypeId">
    <vt:lpwstr>0x0101008822B9E06671B54FA89F14538B9B0FEA</vt:lpwstr>
  </property>
  <property fmtid="{D5CDD505-2E9C-101B-9397-08002B2CF9AE}" pid="6" name="Order">
    <vt:r8>3789200</vt:r8>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