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6072B" w14:textId="77777777" w:rsidR="00E74DBF" w:rsidRPr="00B23E66" w:rsidRDefault="00E74DBF" w:rsidP="00E514DD">
      <w:pPr>
        <w:spacing w:after="0" w:line="240" w:lineRule="auto"/>
        <w:jc w:val="center"/>
        <w:rPr>
          <w:rFonts w:ascii="Calibri" w:eastAsiaTheme="minorEastAsia" w:hAnsi="Calibri" w:cs="Calibri"/>
          <w:b/>
          <w:color w:val="343434"/>
          <w:sz w:val="24"/>
          <w:szCs w:val="24"/>
        </w:rPr>
      </w:pPr>
      <w:r w:rsidRPr="00B23E66">
        <w:rPr>
          <w:rFonts w:ascii="Calibri" w:eastAsiaTheme="minorEastAsia" w:hAnsi="Calibri" w:cs="Calibri"/>
          <w:b/>
          <w:color w:val="343434"/>
          <w:sz w:val="24"/>
          <w:szCs w:val="24"/>
        </w:rPr>
        <w:t xml:space="preserve">United Nations Human Rights Council Working Group on TNCs and other Business Enterprises with Respect to Human Rights </w:t>
      </w:r>
    </w:p>
    <w:p w14:paraId="109AED6C" w14:textId="3724A6D4" w:rsidR="007238CD" w:rsidRPr="00B23E66" w:rsidRDefault="00E74DBF" w:rsidP="00E514DD">
      <w:pPr>
        <w:spacing w:after="0" w:line="240" w:lineRule="auto"/>
        <w:jc w:val="center"/>
        <w:rPr>
          <w:rFonts w:ascii="Calibri" w:eastAsiaTheme="minorEastAsia" w:hAnsi="Calibri" w:cs="Calibri"/>
          <w:color w:val="343434"/>
          <w:sz w:val="24"/>
          <w:szCs w:val="24"/>
        </w:rPr>
      </w:pPr>
      <w:r w:rsidRPr="00B23E66">
        <w:rPr>
          <w:rFonts w:ascii="Calibri" w:eastAsiaTheme="minorEastAsia" w:hAnsi="Calibri" w:cs="Calibri"/>
          <w:color w:val="343434"/>
          <w:sz w:val="24"/>
          <w:szCs w:val="24"/>
        </w:rPr>
        <w:t>Palais des Nations, Room XX, 27 October 2016</w:t>
      </w:r>
    </w:p>
    <w:p w14:paraId="3CD96073" w14:textId="77777777" w:rsidR="00E74DBF" w:rsidRPr="00B23E66" w:rsidRDefault="00E74DBF" w:rsidP="00E514DD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9E69955" w14:textId="4EDD9736" w:rsidR="007238CD" w:rsidRPr="00B23E66" w:rsidRDefault="00E74DBF" w:rsidP="00E514DD">
      <w:pPr>
        <w:spacing w:after="0" w:line="240" w:lineRule="auto"/>
        <w:jc w:val="center"/>
        <w:rPr>
          <w:rFonts w:ascii="Calibri" w:eastAsiaTheme="minorEastAsia" w:hAnsi="Calibri" w:cs="Calibri"/>
          <w:color w:val="343434"/>
          <w:sz w:val="24"/>
          <w:szCs w:val="24"/>
        </w:rPr>
      </w:pPr>
      <w:r w:rsidRPr="00B23E66">
        <w:rPr>
          <w:rFonts w:ascii="Calibri" w:eastAsiaTheme="minorEastAsia" w:hAnsi="Calibri" w:cs="Calibri"/>
          <w:color w:val="343434"/>
          <w:sz w:val="24"/>
          <w:szCs w:val="24"/>
        </w:rPr>
        <w:t>Panel IV: "Open debate on different approaches and criteria for the future definition of the scope of the international legally binding instrument"</w:t>
      </w:r>
    </w:p>
    <w:p w14:paraId="25FED90C" w14:textId="77777777" w:rsidR="00E74DBF" w:rsidRPr="007238CD" w:rsidRDefault="00E74DBF" w:rsidP="00E514D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0BA039E" w14:textId="41F241BF" w:rsidR="00CB3D52" w:rsidRDefault="00CB3D52" w:rsidP="00E514DD">
      <w:pPr>
        <w:spacing w:line="24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24"/>
          <w:szCs w:val="24"/>
        </w:rPr>
        <w:t>Remarks by Khalil Hamdani</w:t>
      </w:r>
      <w:r w:rsidR="00A50B9B" w:rsidRPr="00A50B9B">
        <w:rPr>
          <w:rStyle w:val="FootnoteReference"/>
          <w:rFonts w:cs="Times New Roman"/>
          <w:sz w:val="32"/>
          <w:szCs w:val="32"/>
        </w:rPr>
        <w:footnoteReference w:customMarkFollows="1" w:id="1"/>
        <w:sym w:font="Symbol" w:char="F02A"/>
      </w:r>
    </w:p>
    <w:p w14:paraId="1E3C0A00" w14:textId="77777777" w:rsidR="00E514DD" w:rsidRDefault="00E514DD" w:rsidP="00E514DD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B32114D" w14:textId="19A6BCC0" w:rsidR="00EF7A0D" w:rsidRDefault="008951BE" w:rsidP="00F1276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="00F47C80">
        <w:rPr>
          <w:rFonts w:cs="Times New Roman"/>
          <w:sz w:val="24"/>
          <w:szCs w:val="24"/>
        </w:rPr>
        <w:t xml:space="preserve">he </w:t>
      </w:r>
      <w:r w:rsidR="00EF7A0D">
        <w:rPr>
          <w:rFonts w:cs="Times New Roman"/>
          <w:sz w:val="24"/>
          <w:szCs w:val="24"/>
        </w:rPr>
        <w:t xml:space="preserve">scope of this working group is transnational corporations and other business enterprises. I find it curious that there is </w:t>
      </w:r>
      <w:r w:rsidR="00F47C80">
        <w:rPr>
          <w:rFonts w:cs="Times New Roman"/>
          <w:sz w:val="24"/>
          <w:szCs w:val="24"/>
        </w:rPr>
        <w:t xml:space="preserve">debate on the definition of </w:t>
      </w:r>
      <w:r w:rsidR="00EF7A0D">
        <w:rPr>
          <w:rFonts w:cs="Times New Roman"/>
          <w:sz w:val="24"/>
          <w:szCs w:val="24"/>
        </w:rPr>
        <w:t>other business enterprises</w:t>
      </w:r>
      <w:r w:rsidR="00EB394C">
        <w:rPr>
          <w:rFonts w:cs="Times New Roman"/>
          <w:sz w:val="24"/>
          <w:szCs w:val="24"/>
        </w:rPr>
        <w:t>,</w:t>
      </w:r>
      <w:r w:rsidR="008E7FD9">
        <w:rPr>
          <w:rFonts w:cs="Times New Roman"/>
          <w:sz w:val="24"/>
          <w:szCs w:val="24"/>
        </w:rPr>
        <w:t xml:space="preserve"> </w:t>
      </w:r>
      <w:r w:rsidR="00EB394C">
        <w:rPr>
          <w:rFonts w:cs="Times New Roman"/>
          <w:sz w:val="24"/>
          <w:szCs w:val="24"/>
        </w:rPr>
        <w:t xml:space="preserve">and very little debate on the definition of </w:t>
      </w:r>
      <w:r w:rsidR="008E7FD9">
        <w:rPr>
          <w:rFonts w:cs="Times New Roman"/>
          <w:sz w:val="24"/>
          <w:szCs w:val="24"/>
        </w:rPr>
        <w:t>TNCs</w:t>
      </w:r>
      <w:r w:rsidR="00EF7A0D">
        <w:rPr>
          <w:rFonts w:cs="Times New Roman"/>
          <w:sz w:val="24"/>
          <w:szCs w:val="24"/>
        </w:rPr>
        <w:t>.</w:t>
      </w:r>
      <w:r w:rsidR="008E7FD9">
        <w:rPr>
          <w:rFonts w:cs="Times New Roman"/>
          <w:sz w:val="24"/>
          <w:szCs w:val="24"/>
        </w:rPr>
        <w:t xml:space="preserve"> </w:t>
      </w:r>
      <w:r w:rsidR="00EF7A0D">
        <w:rPr>
          <w:rFonts w:cs="Times New Roman"/>
          <w:sz w:val="24"/>
          <w:szCs w:val="24"/>
        </w:rPr>
        <w:t xml:space="preserve"> </w:t>
      </w:r>
    </w:p>
    <w:p w14:paraId="11E613A1" w14:textId="1173871E" w:rsidR="00624723" w:rsidRDefault="00FB0555" w:rsidP="00F1276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There</w:t>
      </w:r>
      <w:r w:rsidR="00A3265D">
        <w:rPr>
          <w:rFonts w:cs="Times New Roman"/>
          <w:sz w:val="24"/>
          <w:szCs w:val="24"/>
        </w:rPr>
        <w:t xml:space="preserve"> is no </w:t>
      </w:r>
      <w:r>
        <w:rPr>
          <w:rFonts w:cs="Times New Roman"/>
          <w:sz w:val="24"/>
          <w:szCs w:val="24"/>
        </w:rPr>
        <w:t xml:space="preserve">precise </w:t>
      </w:r>
      <w:r w:rsidR="00A3265D">
        <w:rPr>
          <w:rFonts w:cs="Times New Roman"/>
          <w:sz w:val="24"/>
          <w:szCs w:val="24"/>
        </w:rPr>
        <w:t xml:space="preserve">legal definition of a transnational corporation. </w:t>
      </w:r>
      <w:r w:rsidR="002A655D">
        <w:rPr>
          <w:rFonts w:cs="Times New Roman"/>
          <w:sz w:val="24"/>
          <w:szCs w:val="24"/>
        </w:rPr>
        <w:t xml:space="preserve">In </w:t>
      </w:r>
      <w:r w:rsidR="000741A5">
        <w:rPr>
          <w:rFonts w:cs="Times New Roman"/>
          <w:sz w:val="24"/>
          <w:szCs w:val="24"/>
        </w:rPr>
        <w:t>other disciplines as well</w:t>
      </w:r>
      <w:r w:rsidR="002A655D">
        <w:rPr>
          <w:rFonts w:cs="Times New Roman"/>
          <w:sz w:val="24"/>
          <w:szCs w:val="24"/>
        </w:rPr>
        <w:t>, the</w:t>
      </w:r>
      <w:r w:rsidR="00A3265D">
        <w:rPr>
          <w:rFonts w:cs="Times New Roman"/>
          <w:sz w:val="24"/>
          <w:szCs w:val="24"/>
        </w:rPr>
        <w:t xml:space="preserve"> changing character of the transnational corporation has made past definitions obsolete. And</w:t>
      </w:r>
      <w:r>
        <w:rPr>
          <w:rFonts w:cs="Times New Roman"/>
          <w:sz w:val="24"/>
          <w:szCs w:val="24"/>
        </w:rPr>
        <w:t>,</w:t>
      </w:r>
      <w:r w:rsidR="00A3265D">
        <w:rPr>
          <w:rFonts w:cs="Times New Roman"/>
          <w:sz w:val="24"/>
          <w:szCs w:val="24"/>
        </w:rPr>
        <w:t xml:space="preserve"> I have no doubt that any current definition w</w:t>
      </w:r>
      <w:r>
        <w:rPr>
          <w:rFonts w:cs="Times New Roman"/>
          <w:sz w:val="24"/>
          <w:szCs w:val="24"/>
        </w:rPr>
        <w:t xml:space="preserve">ill be outdated in the future. </w:t>
      </w:r>
      <w:r w:rsidR="00DC3E18">
        <w:rPr>
          <w:rFonts w:cs="Times New Roman"/>
          <w:sz w:val="24"/>
          <w:szCs w:val="24"/>
        </w:rPr>
        <w:t>For this reason, the OECD stated 40 years ago:</w:t>
      </w:r>
      <w:r>
        <w:rPr>
          <w:rFonts w:cs="Times New Roman"/>
          <w:sz w:val="24"/>
          <w:szCs w:val="24"/>
        </w:rPr>
        <w:t xml:space="preserve"> </w:t>
      </w:r>
      <w:r w:rsidR="00624723">
        <w:rPr>
          <w:rFonts w:cs="Times New Roman"/>
          <w:sz w:val="24"/>
          <w:szCs w:val="24"/>
        </w:rPr>
        <w:t>“A precise legal definition of multinational enterprises is not required for the purpose of the Guidelines”.</w:t>
      </w:r>
      <w:r w:rsidR="00DC3E18">
        <w:rPr>
          <w:rStyle w:val="FootnoteReference"/>
          <w:rFonts w:cs="Times New Roman"/>
          <w:sz w:val="24"/>
          <w:szCs w:val="24"/>
        </w:rPr>
        <w:footnoteReference w:id="2"/>
      </w:r>
      <w:r w:rsidR="00B7020F">
        <w:rPr>
          <w:rFonts w:cs="Times New Roman"/>
          <w:sz w:val="24"/>
          <w:szCs w:val="24"/>
        </w:rPr>
        <w:t xml:space="preserve"> </w:t>
      </w:r>
      <w:r w:rsidR="000F4A7D">
        <w:rPr>
          <w:rFonts w:cs="Times New Roman"/>
          <w:sz w:val="24"/>
          <w:szCs w:val="24"/>
        </w:rPr>
        <w:t>In that pragmatic spirit</w:t>
      </w:r>
      <w:r w:rsidR="00B7020F">
        <w:rPr>
          <w:rFonts w:cs="Times New Roman"/>
          <w:sz w:val="24"/>
          <w:szCs w:val="24"/>
        </w:rPr>
        <w:t xml:space="preserve">, it seems reasonable that if a definition of TNCs is not required, then a definition of other business enterprises is </w:t>
      </w:r>
      <w:r w:rsidR="0038640F">
        <w:rPr>
          <w:rFonts w:cs="Times New Roman"/>
          <w:sz w:val="24"/>
          <w:szCs w:val="24"/>
        </w:rPr>
        <w:t>also</w:t>
      </w:r>
      <w:r w:rsidR="00B7020F">
        <w:rPr>
          <w:rFonts w:cs="Times New Roman"/>
          <w:sz w:val="24"/>
          <w:szCs w:val="24"/>
        </w:rPr>
        <w:t xml:space="preserve"> not required. </w:t>
      </w:r>
    </w:p>
    <w:p w14:paraId="46021C83" w14:textId="0DAB8E2A" w:rsidR="00EA69B9" w:rsidRDefault="00FB0555" w:rsidP="00AD694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Anyhow, even if the net is cast broadly, </w:t>
      </w:r>
      <w:r w:rsidR="00C96CBC">
        <w:rPr>
          <w:rFonts w:cs="Times New Roman"/>
          <w:sz w:val="24"/>
          <w:szCs w:val="24"/>
        </w:rPr>
        <w:t>the search</w:t>
      </w:r>
      <w:r>
        <w:rPr>
          <w:rFonts w:cs="Times New Roman"/>
          <w:sz w:val="24"/>
          <w:szCs w:val="24"/>
        </w:rPr>
        <w:t xml:space="preserve"> will soon </w:t>
      </w:r>
      <w:r w:rsidR="00351F46">
        <w:rPr>
          <w:rFonts w:cs="Times New Roman"/>
          <w:sz w:val="24"/>
          <w:szCs w:val="24"/>
        </w:rPr>
        <w:t>narrow</w:t>
      </w:r>
      <w:r>
        <w:rPr>
          <w:rFonts w:cs="Times New Roman"/>
          <w:sz w:val="24"/>
          <w:szCs w:val="24"/>
        </w:rPr>
        <w:t xml:space="preserve">. </w:t>
      </w:r>
      <w:r w:rsidR="00351F46">
        <w:rPr>
          <w:rFonts w:cs="Times New Roman"/>
          <w:sz w:val="24"/>
          <w:szCs w:val="24"/>
        </w:rPr>
        <w:t xml:space="preserve">Consider the </w:t>
      </w:r>
      <w:r w:rsidR="000F4A7D">
        <w:rPr>
          <w:rFonts w:cs="Times New Roman"/>
          <w:sz w:val="24"/>
          <w:szCs w:val="24"/>
        </w:rPr>
        <w:t xml:space="preserve">available </w:t>
      </w:r>
      <w:r w:rsidR="00351F46">
        <w:rPr>
          <w:rFonts w:cs="Times New Roman"/>
          <w:sz w:val="24"/>
          <w:szCs w:val="24"/>
        </w:rPr>
        <w:t xml:space="preserve">facts. </w:t>
      </w:r>
      <w:r w:rsidR="00E8562A">
        <w:rPr>
          <w:rFonts w:cs="Times New Roman"/>
          <w:sz w:val="24"/>
          <w:szCs w:val="24"/>
        </w:rPr>
        <w:t xml:space="preserve">The universe of business is upwards of </w:t>
      </w:r>
      <w:r w:rsidR="00EB465A">
        <w:rPr>
          <w:rFonts w:cs="Times New Roman"/>
          <w:sz w:val="24"/>
          <w:szCs w:val="24"/>
        </w:rPr>
        <w:t>200</w:t>
      </w:r>
      <w:r w:rsidR="00E8562A">
        <w:rPr>
          <w:rFonts w:cs="Times New Roman"/>
          <w:sz w:val="24"/>
          <w:szCs w:val="24"/>
        </w:rPr>
        <w:t xml:space="preserve"> million </w:t>
      </w:r>
      <w:r w:rsidR="00D96553">
        <w:rPr>
          <w:rFonts w:cs="Times New Roman"/>
          <w:sz w:val="24"/>
          <w:szCs w:val="24"/>
        </w:rPr>
        <w:t xml:space="preserve">registered </w:t>
      </w:r>
      <w:r w:rsidR="00E8562A">
        <w:rPr>
          <w:rFonts w:cs="Times New Roman"/>
          <w:sz w:val="24"/>
          <w:szCs w:val="24"/>
        </w:rPr>
        <w:t>enterprises</w:t>
      </w:r>
      <w:r w:rsidR="003D56B5">
        <w:rPr>
          <w:rFonts w:cs="Times New Roman"/>
          <w:sz w:val="24"/>
          <w:szCs w:val="24"/>
        </w:rPr>
        <w:t xml:space="preserve"> worldwide</w:t>
      </w:r>
      <w:r w:rsidR="00E8562A">
        <w:rPr>
          <w:rFonts w:cs="Times New Roman"/>
          <w:sz w:val="24"/>
          <w:szCs w:val="24"/>
        </w:rPr>
        <w:t>.</w:t>
      </w:r>
      <w:r w:rsidR="00B9370A">
        <w:rPr>
          <w:rStyle w:val="FootnoteReference"/>
          <w:rFonts w:cs="Times New Roman"/>
          <w:sz w:val="24"/>
          <w:szCs w:val="24"/>
        </w:rPr>
        <w:footnoteReference w:id="3"/>
      </w:r>
      <w:r w:rsidR="00E8562A">
        <w:rPr>
          <w:rFonts w:cs="Times New Roman"/>
          <w:sz w:val="24"/>
          <w:szCs w:val="24"/>
        </w:rPr>
        <w:t xml:space="preserve"> </w:t>
      </w:r>
      <w:r w:rsidR="00D96553">
        <w:rPr>
          <w:rFonts w:cs="Times New Roman"/>
          <w:sz w:val="24"/>
          <w:szCs w:val="24"/>
        </w:rPr>
        <w:t xml:space="preserve">A very small fraction of this population has operations of a transnational character. UNCTAD </w:t>
      </w:r>
      <w:r w:rsidR="00351F46">
        <w:rPr>
          <w:rFonts w:cs="Times New Roman"/>
          <w:sz w:val="24"/>
          <w:szCs w:val="24"/>
        </w:rPr>
        <w:t xml:space="preserve">was able to identify </w:t>
      </w:r>
      <w:r w:rsidR="00E8562A" w:rsidRPr="00BC1A6D">
        <w:rPr>
          <w:rFonts w:cs="Times New Roman"/>
          <w:sz w:val="24"/>
          <w:szCs w:val="24"/>
        </w:rPr>
        <w:t>32</w:t>
      </w:r>
      <w:r w:rsidR="00E8562A">
        <w:rPr>
          <w:rFonts w:cs="Times New Roman"/>
          <w:sz w:val="24"/>
          <w:szCs w:val="24"/>
        </w:rPr>
        <w:t xml:space="preserve">0,000 </w:t>
      </w:r>
      <w:r w:rsidR="00351F46">
        <w:rPr>
          <w:rFonts w:cs="Times New Roman"/>
          <w:sz w:val="24"/>
          <w:szCs w:val="24"/>
        </w:rPr>
        <w:t xml:space="preserve">enterprises </w:t>
      </w:r>
      <w:r w:rsidR="00717C15">
        <w:rPr>
          <w:rFonts w:cs="Times New Roman"/>
          <w:sz w:val="24"/>
          <w:szCs w:val="24"/>
        </w:rPr>
        <w:t xml:space="preserve">that had </w:t>
      </w:r>
      <w:r w:rsidR="00E8562A">
        <w:rPr>
          <w:rFonts w:cs="Times New Roman"/>
          <w:sz w:val="24"/>
          <w:szCs w:val="24"/>
        </w:rPr>
        <w:t>at least one affiliate abroad</w:t>
      </w:r>
      <w:r w:rsidR="00717C15">
        <w:rPr>
          <w:rFonts w:cs="Times New Roman"/>
          <w:sz w:val="24"/>
          <w:szCs w:val="24"/>
        </w:rPr>
        <w:t>.</w:t>
      </w:r>
      <w:r w:rsidR="0046110A">
        <w:rPr>
          <w:rStyle w:val="FootnoteReference"/>
          <w:rFonts w:cs="Times New Roman"/>
          <w:sz w:val="24"/>
          <w:szCs w:val="24"/>
        </w:rPr>
        <w:footnoteReference w:id="4"/>
      </w:r>
      <w:r w:rsidR="00A440D6">
        <w:rPr>
          <w:rFonts w:cs="Times New Roman"/>
          <w:sz w:val="24"/>
          <w:szCs w:val="24"/>
        </w:rPr>
        <w:t xml:space="preserve"> </w:t>
      </w:r>
      <w:r w:rsidR="00351F46">
        <w:rPr>
          <w:rFonts w:cs="Times New Roman"/>
          <w:sz w:val="24"/>
          <w:szCs w:val="24"/>
        </w:rPr>
        <w:t>These</w:t>
      </w:r>
      <w:r w:rsidR="00717C15">
        <w:rPr>
          <w:rFonts w:cs="Times New Roman"/>
          <w:sz w:val="24"/>
          <w:szCs w:val="24"/>
        </w:rPr>
        <w:t xml:space="preserve"> </w:t>
      </w:r>
      <w:r w:rsidR="00351F46">
        <w:rPr>
          <w:rFonts w:cs="Times New Roman"/>
          <w:sz w:val="24"/>
          <w:szCs w:val="24"/>
        </w:rPr>
        <w:t xml:space="preserve">TNCs </w:t>
      </w:r>
      <w:r w:rsidR="00717C15">
        <w:rPr>
          <w:rFonts w:cs="Times New Roman"/>
          <w:sz w:val="24"/>
          <w:szCs w:val="24"/>
        </w:rPr>
        <w:t xml:space="preserve">have </w:t>
      </w:r>
      <w:r w:rsidR="00A440D6">
        <w:rPr>
          <w:rFonts w:cs="Times New Roman"/>
          <w:sz w:val="24"/>
          <w:szCs w:val="24"/>
        </w:rPr>
        <w:t xml:space="preserve">some </w:t>
      </w:r>
      <w:r w:rsidR="00717C15">
        <w:rPr>
          <w:rFonts w:cs="Times New Roman"/>
          <w:sz w:val="24"/>
          <w:szCs w:val="24"/>
        </w:rPr>
        <w:t xml:space="preserve">1.1 million affiliates. </w:t>
      </w:r>
      <w:r w:rsidR="00EA69B9">
        <w:rPr>
          <w:rFonts w:cs="Times New Roman"/>
          <w:sz w:val="24"/>
          <w:szCs w:val="24"/>
        </w:rPr>
        <w:t xml:space="preserve">Together, </w:t>
      </w:r>
      <w:r w:rsidR="00351F46">
        <w:rPr>
          <w:rFonts w:cs="Times New Roman"/>
          <w:sz w:val="24"/>
          <w:szCs w:val="24"/>
        </w:rPr>
        <w:t>they</w:t>
      </w:r>
      <w:r w:rsidR="00EA69B9">
        <w:rPr>
          <w:rFonts w:cs="Times New Roman"/>
          <w:sz w:val="24"/>
          <w:szCs w:val="24"/>
        </w:rPr>
        <w:t xml:space="preserve"> account for </w:t>
      </w:r>
      <w:r w:rsidR="00EB465A">
        <w:rPr>
          <w:rFonts w:cs="Times New Roman"/>
          <w:sz w:val="24"/>
          <w:szCs w:val="24"/>
        </w:rPr>
        <w:t>less</w:t>
      </w:r>
      <w:r w:rsidR="00A440D6">
        <w:rPr>
          <w:rFonts w:cs="Times New Roman"/>
          <w:sz w:val="24"/>
          <w:szCs w:val="24"/>
        </w:rPr>
        <w:t xml:space="preserve"> </w:t>
      </w:r>
      <w:r w:rsidR="00EB465A">
        <w:rPr>
          <w:rFonts w:cs="Times New Roman"/>
          <w:sz w:val="24"/>
          <w:szCs w:val="24"/>
        </w:rPr>
        <w:t xml:space="preserve">than </w:t>
      </w:r>
      <w:r w:rsidR="00A440D6">
        <w:rPr>
          <w:rFonts w:cs="Times New Roman"/>
          <w:sz w:val="24"/>
          <w:szCs w:val="24"/>
        </w:rPr>
        <w:t xml:space="preserve">1 percent of all registered enterprises. </w:t>
      </w:r>
      <w:r w:rsidR="00351F46">
        <w:rPr>
          <w:rFonts w:cs="Times New Roman"/>
          <w:sz w:val="24"/>
          <w:szCs w:val="24"/>
        </w:rPr>
        <w:t>Now</w:t>
      </w:r>
      <w:r w:rsidR="00AD6948">
        <w:rPr>
          <w:rFonts w:cs="Times New Roman"/>
          <w:sz w:val="24"/>
          <w:szCs w:val="24"/>
        </w:rPr>
        <w:t xml:space="preserve">, </w:t>
      </w:r>
      <w:r w:rsidR="00EA69B9">
        <w:rPr>
          <w:rFonts w:cs="Times New Roman"/>
          <w:sz w:val="24"/>
          <w:szCs w:val="24"/>
        </w:rPr>
        <w:t>OECD country data</w:t>
      </w:r>
      <w:r w:rsidR="003474A5">
        <w:rPr>
          <w:rFonts w:cs="Times New Roman"/>
          <w:sz w:val="24"/>
          <w:szCs w:val="24"/>
        </w:rPr>
        <w:t xml:space="preserve"> show</w:t>
      </w:r>
      <w:r w:rsidR="00EA69B9">
        <w:rPr>
          <w:rFonts w:cs="Times New Roman"/>
          <w:sz w:val="24"/>
          <w:szCs w:val="24"/>
        </w:rPr>
        <w:t xml:space="preserve"> that the remaining 99 percent </w:t>
      </w:r>
      <w:r w:rsidR="003474A5">
        <w:rPr>
          <w:rFonts w:cs="Times New Roman"/>
          <w:sz w:val="24"/>
          <w:szCs w:val="24"/>
        </w:rPr>
        <w:t xml:space="preserve">of registered firms </w:t>
      </w:r>
      <w:r w:rsidR="00EA69B9">
        <w:rPr>
          <w:rFonts w:cs="Times New Roman"/>
          <w:sz w:val="24"/>
          <w:szCs w:val="24"/>
        </w:rPr>
        <w:t>in all its member</w:t>
      </w:r>
      <w:r w:rsidR="00D4520E">
        <w:rPr>
          <w:rFonts w:cs="Times New Roman"/>
          <w:sz w:val="24"/>
          <w:szCs w:val="24"/>
        </w:rPr>
        <w:t xml:space="preserve"> State</w:t>
      </w:r>
      <w:r w:rsidR="00EA69B9">
        <w:rPr>
          <w:rFonts w:cs="Times New Roman"/>
          <w:sz w:val="24"/>
          <w:szCs w:val="24"/>
        </w:rPr>
        <w:t>s are small- and medium-size enterprises.</w:t>
      </w:r>
      <w:r w:rsidR="000A1F37">
        <w:rPr>
          <w:rStyle w:val="FootnoteReference"/>
          <w:rFonts w:cs="Times New Roman"/>
          <w:sz w:val="24"/>
          <w:szCs w:val="24"/>
        </w:rPr>
        <w:footnoteReference w:id="5"/>
      </w:r>
      <w:r w:rsidR="00EA69B9">
        <w:rPr>
          <w:rFonts w:cs="Times New Roman"/>
          <w:sz w:val="24"/>
          <w:szCs w:val="24"/>
        </w:rPr>
        <w:t xml:space="preserve"> </w:t>
      </w:r>
      <w:r w:rsidR="00777490">
        <w:rPr>
          <w:rFonts w:cs="Times New Roman"/>
          <w:sz w:val="24"/>
          <w:szCs w:val="24"/>
        </w:rPr>
        <w:t xml:space="preserve">These are largely local </w:t>
      </w:r>
      <w:r w:rsidR="002010EB" w:rsidRPr="002010EB">
        <w:rPr>
          <w:rFonts w:cs="Times New Roman"/>
          <w:sz w:val="24"/>
          <w:szCs w:val="24"/>
        </w:rPr>
        <w:t xml:space="preserve">businesses with fewer than 10 employees and as such it is very doubtful that a significant number would have transnational operations. </w:t>
      </w:r>
      <w:r w:rsidR="0030712C">
        <w:rPr>
          <w:rFonts w:cs="Times New Roman"/>
          <w:sz w:val="24"/>
          <w:szCs w:val="24"/>
        </w:rPr>
        <w:t xml:space="preserve">Thus, even at this highly aggregate level, </w:t>
      </w:r>
      <w:r w:rsidR="00DB4F7A">
        <w:rPr>
          <w:rFonts w:cs="Times New Roman"/>
          <w:sz w:val="24"/>
          <w:szCs w:val="24"/>
        </w:rPr>
        <w:t>TNCs</w:t>
      </w:r>
      <w:r w:rsidR="00777490">
        <w:rPr>
          <w:rFonts w:cs="Times New Roman"/>
          <w:sz w:val="24"/>
          <w:szCs w:val="24"/>
        </w:rPr>
        <w:t xml:space="preserve"> and their affiliates</w:t>
      </w:r>
      <w:r w:rsidR="00DB4F7A">
        <w:rPr>
          <w:rFonts w:cs="Times New Roman"/>
          <w:sz w:val="24"/>
          <w:szCs w:val="24"/>
        </w:rPr>
        <w:t xml:space="preserve"> are a distinct grouping within the larger universe</w:t>
      </w:r>
      <w:r w:rsidR="00777490">
        <w:rPr>
          <w:rFonts w:cs="Times New Roman"/>
          <w:sz w:val="24"/>
          <w:szCs w:val="24"/>
        </w:rPr>
        <w:t xml:space="preserve"> of business enterprise.</w:t>
      </w:r>
      <w:r w:rsidR="00C96CBC">
        <w:rPr>
          <w:rFonts w:cs="Times New Roman"/>
          <w:sz w:val="24"/>
          <w:szCs w:val="24"/>
        </w:rPr>
        <w:t xml:space="preserve"> </w:t>
      </w:r>
    </w:p>
    <w:p w14:paraId="0205014F" w14:textId="720AFB1E" w:rsidR="00375586" w:rsidRDefault="00D173E5" w:rsidP="00F1276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Now, the rationale for special attention to TNCs </w:t>
      </w:r>
      <w:r w:rsidR="00030DAA">
        <w:rPr>
          <w:rFonts w:cs="Times New Roman"/>
          <w:sz w:val="24"/>
          <w:szCs w:val="24"/>
        </w:rPr>
        <w:t>is</w:t>
      </w:r>
      <w:r w:rsidR="007C7781">
        <w:rPr>
          <w:rFonts w:cs="Times New Roman"/>
          <w:sz w:val="24"/>
          <w:szCs w:val="24"/>
        </w:rPr>
        <w:t xml:space="preserve"> well</w:t>
      </w:r>
      <w:r>
        <w:rPr>
          <w:rFonts w:cs="Times New Roman"/>
          <w:sz w:val="24"/>
          <w:szCs w:val="24"/>
        </w:rPr>
        <w:t xml:space="preserve"> accepted. </w:t>
      </w:r>
      <w:r w:rsidR="00EC4D7C">
        <w:rPr>
          <w:rFonts w:cs="Times New Roman"/>
          <w:sz w:val="24"/>
          <w:szCs w:val="24"/>
        </w:rPr>
        <w:t>While t</w:t>
      </w:r>
      <w:r w:rsidR="00EA2BF6">
        <w:rPr>
          <w:rFonts w:cs="Times New Roman"/>
          <w:sz w:val="24"/>
          <w:szCs w:val="24"/>
        </w:rPr>
        <w:t xml:space="preserve">he different units that make up a TNC are registered domestically in one country or another, their operations </w:t>
      </w:r>
      <w:r w:rsidR="00C842E6">
        <w:rPr>
          <w:rFonts w:cs="Times New Roman"/>
          <w:sz w:val="24"/>
          <w:szCs w:val="24"/>
        </w:rPr>
        <w:t xml:space="preserve">are internalized within a corporate structure that </w:t>
      </w:r>
      <w:r w:rsidR="005369BB">
        <w:rPr>
          <w:rFonts w:cs="Times New Roman"/>
          <w:sz w:val="24"/>
          <w:szCs w:val="24"/>
        </w:rPr>
        <w:t>functions</w:t>
      </w:r>
      <w:r w:rsidR="00C842E6">
        <w:rPr>
          <w:rFonts w:cs="Times New Roman"/>
          <w:sz w:val="24"/>
          <w:szCs w:val="24"/>
        </w:rPr>
        <w:t xml:space="preserve"> outside the </w:t>
      </w:r>
      <w:r w:rsidR="00705EB8">
        <w:rPr>
          <w:rFonts w:cs="Times New Roman"/>
          <w:sz w:val="24"/>
          <w:szCs w:val="24"/>
        </w:rPr>
        <w:t xml:space="preserve">full </w:t>
      </w:r>
      <w:r w:rsidR="00C842E6">
        <w:rPr>
          <w:rFonts w:cs="Times New Roman"/>
          <w:sz w:val="24"/>
          <w:szCs w:val="24"/>
        </w:rPr>
        <w:t>scrutiny</w:t>
      </w:r>
      <w:r w:rsidR="00107F68">
        <w:rPr>
          <w:rFonts w:cs="Times New Roman"/>
          <w:sz w:val="24"/>
          <w:szCs w:val="24"/>
        </w:rPr>
        <w:t>,</w:t>
      </w:r>
      <w:r w:rsidR="00C842E6">
        <w:rPr>
          <w:rFonts w:cs="Times New Roman"/>
          <w:sz w:val="24"/>
          <w:szCs w:val="24"/>
        </w:rPr>
        <w:t xml:space="preserve"> </w:t>
      </w:r>
      <w:r w:rsidR="00107F68">
        <w:rPr>
          <w:rFonts w:cs="Times New Roman"/>
          <w:sz w:val="24"/>
          <w:szCs w:val="24"/>
        </w:rPr>
        <w:t xml:space="preserve">protection and regulation </w:t>
      </w:r>
      <w:r w:rsidR="00C842E6">
        <w:rPr>
          <w:rFonts w:cs="Times New Roman"/>
          <w:sz w:val="24"/>
          <w:szCs w:val="24"/>
        </w:rPr>
        <w:t xml:space="preserve">of </w:t>
      </w:r>
      <w:r w:rsidR="005369BB">
        <w:rPr>
          <w:rFonts w:cs="Times New Roman"/>
          <w:sz w:val="24"/>
          <w:szCs w:val="24"/>
        </w:rPr>
        <w:t xml:space="preserve">individual </w:t>
      </w:r>
      <w:r w:rsidR="00C842E6">
        <w:rPr>
          <w:rFonts w:cs="Times New Roman"/>
          <w:sz w:val="24"/>
          <w:szCs w:val="24"/>
        </w:rPr>
        <w:t xml:space="preserve">national legal regimes. </w:t>
      </w:r>
      <w:r w:rsidR="00214CF6">
        <w:rPr>
          <w:rFonts w:cs="Times New Roman"/>
          <w:sz w:val="24"/>
          <w:szCs w:val="24"/>
        </w:rPr>
        <w:t>These operations are generally beneficial, but when thes</w:t>
      </w:r>
      <w:r w:rsidR="00EC4D7C">
        <w:rPr>
          <w:rFonts w:cs="Times New Roman"/>
          <w:sz w:val="24"/>
          <w:szCs w:val="24"/>
        </w:rPr>
        <w:t xml:space="preserve">e operations </w:t>
      </w:r>
      <w:r w:rsidR="00214CF6">
        <w:rPr>
          <w:rFonts w:cs="Times New Roman"/>
          <w:sz w:val="24"/>
          <w:szCs w:val="24"/>
        </w:rPr>
        <w:t xml:space="preserve">evade, contravene or </w:t>
      </w:r>
      <w:r w:rsidR="00EC4D7C">
        <w:rPr>
          <w:rFonts w:cs="Times New Roman"/>
          <w:sz w:val="24"/>
          <w:szCs w:val="24"/>
        </w:rPr>
        <w:t xml:space="preserve">run afoul of </w:t>
      </w:r>
      <w:r w:rsidR="00214CF6">
        <w:rPr>
          <w:rFonts w:cs="Times New Roman"/>
          <w:sz w:val="24"/>
          <w:szCs w:val="24"/>
        </w:rPr>
        <w:t>national measures</w:t>
      </w:r>
      <w:r w:rsidR="00C40D0F">
        <w:rPr>
          <w:rFonts w:cs="Times New Roman"/>
          <w:sz w:val="24"/>
          <w:szCs w:val="24"/>
        </w:rPr>
        <w:t xml:space="preserve"> or objectives</w:t>
      </w:r>
      <w:r w:rsidR="00EC4D7C">
        <w:rPr>
          <w:rFonts w:cs="Times New Roman"/>
          <w:sz w:val="24"/>
          <w:szCs w:val="24"/>
        </w:rPr>
        <w:t xml:space="preserve">, </w:t>
      </w:r>
      <w:r w:rsidR="0092602E">
        <w:rPr>
          <w:rFonts w:cs="Times New Roman"/>
          <w:sz w:val="24"/>
          <w:szCs w:val="24"/>
        </w:rPr>
        <w:t xml:space="preserve">States can take unilateral or extraterritorial actions, or </w:t>
      </w:r>
      <w:r>
        <w:rPr>
          <w:rFonts w:cs="Times New Roman"/>
          <w:sz w:val="24"/>
          <w:szCs w:val="24"/>
        </w:rPr>
        <w:t xml:space="preserve">they can </w:t>
      </w:r>
      <w:r w:rsidR="0092602E">
        <w:rPr>
          <w:rFonts w:cs="Times New Roman"/>
          <w:sz w:val="24"/>
          <w:szCs w:val="24"/>
        </w:rPr>
        <w:t>jointly agree on a code of conduct</w:t>
      </w:r>
      <w:r w:rsidR="00C40D0F">
        <w:rPr>
          <w:rFonts w:cs="Times New Roman"/>
          <w:sz w:val="24"/>
          <w:szCs w:val="24"/>
        </w:rPr>
        <w:t xml:space="preserve"> based on guiding principles and binding treaties</w:t>
      </w:r>
      <w:r w:rsidR="0092602E">
        <w:rPr>
          <w:rFonts w:cs="Times New Roman"/>
          <w:sz w:val="24"/>
          <w:szCs w:val="24"/>
        </w:rPr>
        <w:t xml:space="preserve">. </w:t>
      </w:r>
      <w:r w:rsidR="00C40D0F">
        <w:rPr>
          <w:rFonts w:cs="Times New Roman"/>
          <w:sz w:val="24"/>
          <w:szCs w:val="24"/>
        </w:rPr>
        <w:t>There is a vast canon of soft and hard law on the activities of transnational corporations. Neverthel</w:t>
      </w:r>
      <w:r w:rsidR="004619B2">
        <w:rPr>
          <w:rFonts w:cs="Times New Roman"/>
          <w:sz w:val="24"/>
          <w:szCs w:val="24"/>
        </w:rPr>
        <w:t xml:space="preserve">ess, there are weaknesses, evidenced by instances of transnational activities that are harmful </w:t>
      </w:r>
      <w:r w:rsidR="004619B2" w:rsidRPr="00375586">
        <w:rPr>
          <w:rFonts w:cs="Times New Roman"/>
          <w:sz w:val="24"/>
          <w:szCs w:val="24"/>
        </w:rPr>
        <w:t xml:space="preserve">of fundamental rights </w:t>
      </w:r>
      <w:r w:rsidR="004619B2">
        <w:rPr>
          <w:rFonts w:cs="Times New Roman"/>
          <w:sz w:val="24"/>
          <w:szCs w:val="24"/>
        </w:rPr>
        <w:t xml:space="preserve">and the </w:t>
      </w:r>
      <w:r w:rsidR="00817CE3">
        <w:rPr>
          <w:rFonts w:cs="Times New Roman"/>
          <w:sz w:val="24"/>
          <w:szCs w:val="24"/>
        </w:rPr>
        <w:t>inability</w:t>
      </w:r>
      <w:r w:rsidR="004619B2">
        <w:rPr>
          <w:rFonts w:cs="Times New Roman"/>
          <w:sz w:val="24"/>
          <w:szCs w:val="24"/>
        </w:rPr>
        <w:t xml:space="preserve"> of </w:t>
      </w:r>
      <w:r w:rsidR="00375586" w:rsidRPr="00375586">
        <w:rPr>
          <w:rFonts w:cs="Times New Roman"/>
          <w:sz w:val="24"/>
          <w:szCs w:val="24"/>
        </w:rPr>
        <w:t xml:space="preserve">arbitrations to </w:t>
      </w:r>
      <w:r w:rsidR="006577F6">
        <w:rPr>
          <w:rFonts w:cs="Times New Roman"/>
          <w:sz w:val="24"/>
          <w:szCs w:val="24"/>
        </w:rPr>
        <w:t>assign</w:t>
      </w:r>
      <w:r w:rsidR="00817CE3">
        <w:rPr>
          <w:rFonts w:cs="Times New Roman"/>
          <w:sz w:val="24"/>
          <w:szCs w:val="24"/>
        </w:rPr>
        <w:t xml:space="preserve"> </w:t>
      </w:r>
      <w:r w:rsidR="004619B2">
        <w:rPr>
          <w:rFonts w:cs="Times New Roman"/>
          <w:sz w:val="24"/>
          <w:szCs w:val="24"/>
        </w:rPr>
        <w:t xml:space="preserve">accountability </w:t>
      </w:r>
      <w:r w:rsidR="00817CE3">
        <w:rPr>
          <w:rFonts w:cs="Times New Roman"/>
          <w:sz w:val="24"/>
          <w:szCs w:val="24"/>
        </w:rPr>
        <w:t xml:space="preserve">and provide </w:t>
      </w:r>
      <w:r w:rsidR="004619B2">
        <w:rPr>
          <w:rFonts w:cs="Times New Roman"/>
          <w:sz w:val="24"/>
          <w:szCs w:val="24"/>
        </w:rPr>
        <w:t>remedy</w:t>
      </w:r>
      <w:r w:rsidR="00375586" w:rsidRPr="00375586">
        <w:rPr>
          <w:rFonts w:cs="Times New Roman"/>
          <w:sz w:val="24"/>
          <w:szCs w:val="24"/>
        </w:rPr>
        <w:t xml:space="preserve">. </w:t>
      </w:r>
    </w:p>
    <w:p w14:paraId="5FCA5577" w14:textId="2FBE51A3" w:rsidR="003A52B7" w:rsidRDefault="000F2E8A" w:rsidP="00F1276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Of course, h</w:t>
      </w:r>
      <w:r w:rsidR="00B05CBD">
        <w:rPr>
          <w:rFonts w:cs="Times New Roman"/>
          <w:sz w:val="24"/>
          <w:szCs w:val="24"/>
        </w:rPr>
        <w:t>uman rights are universal</w:t>
      </w:r>
      <w:r w:rsidR="000D10B7">
        <w:rPr>
          <w:rFonts w:cs="Times New Roman"/>
          <w:sz w:val="24"/>
          <w:szCs w:val="24"/>
        </w:rPr>
        <w:t xml:space="preserve"> </w:t>
      </w:r>
      <w:r w:rsidR="00B05CBD">
        <w:rPr>
          <w:rFonts w:cs="Times New Roman"/>
          <w:sz w:val="24"/>
          <w:szCs w:val="24"/>
        </w:rPr>
        <w:t xml:space="preserve">and </w:t>
      </w:r>
      <w:r w:rsidR="000D10B7">
        <w:rPr>
          <w:rFonts w:cs="Times New Roman"/>
          <w:sz w:val="24"/>
          <w:szCs w:val="24"/>
        </w:rPr>
        <w:t xml:space="preserve">applicable to all. </w:t>
      </w:r>
      <w:r w:rsidR="00E35AA9">
        <w:rPr>
          <w:rFonts w:cs="Times New Roman"/>
          <w:sz w:val="24"/>
          <w:szCs w:val="24"/>
        </w:rPr>
        <w:t xml:space="preserve">The draft code of conduct on TNCs that was negotiated in the 1970s and 80s contained </w:t>
      </w:r>
      <w:r w:rsidR="000D10B7">
        <w:rPr>
          <w:rFonts w:cs="Times New Roman"/>
          <w:sz w:val="24"/>
          <w:szCs w:val="24"/>
        </w:rPr>
        <w:t xml:space="preserve">international </w:t>
      </w:r>
      <w:r w:rsidR="00E35AA9">
        <w:rPr>
          <w:rFonts w:cs="Times New Roman"/>
          <w:sz w:val="24"/>
          <w:szCs w:val="24"/>
        </w:rPr>
        <w:t xml:space="preserve">standards for the respect for </w:t>
      </w:r>
      <w:r w:rsidR="003A52B7">
        <w:rPr>
          <w:rFonts w:cs="Times New Roman"/>
          <w:sz w:val="24"/>
          <w:szCs w:val="24"/>
        </w:rPr>
        <w:t xml:space="preserve">human rights </w:t>
      </w:r>
      <w:r w:rsidR="00D4520E">
        <w:rPr>
          <w:rFonts w:cs="Times New Roman"/>
          <w:sz w:val="24"/>
          <w:szCs w:val="24"/>
        </w:rPr>
        <w:t>and fundamental freedoms.</w:t>
      </w:r>
      <w:r w:rsidR="00DC3E18">
        <w:rPr>
          <w:rStyle w:val="FootnoteReference"/>
          <w:rFonts w:cs="Times New Roman"/>
          <w:sz w:val="24"/>
          <w:szCs w:val="24"/>
        </w:rPr>
        <w:footnoteReference w:id="6"/>
      </w:r>
      <w:r w:rsidR="00D4520E">
        <w:rPr>
          <w:rFonts w:cs="Times New Roman"/>
          <w:sz w:val="24"/>
          <w:szCs w:val="24"/>
        </w:rPr>
        <w:t xml:space="preserve"> </w:t>
      </w:r>
      <w:r w:rsidR="003B3CC0">
        <w:rPr>
          <w:rFonts w:cs="Times New Roman"/>
          <w:sz w:val="24"/>
          <w:szCs w:val="24"/>
        </w:rPr>
        <w:t xml:space="preserve">Although the code </w:t>
      </w:r>
      <w:r w:rsidR="00D4520E">
        <w:rPr>
          <w:rFonts w:cs="Times New Roman"/>
          <w:sz w:val="24"/>
          <w:szCs w:val="24"/>
        </w:rPr>
        <w:t xml:space="preserve">of conduct </w:t>
      </w:r>
      <w:r w:rsidR="00685BAE">
        <w:rPr>
          <w:rFonts w:cs="Times New Roman"/>
          <w:sz w:val="24"/>
          <w:szCs w:val="24"/>
        </w:rPr>
        <w:t>was</w:t>
      </w:r>
      <w:r w:rsidR="003B3CC0">
        <w:rPr>
          <w:rFonts w:cs="Times New Roman"/>
          <w:sz w:val="24"/>
          <w:szCs w:val="24"/>
        </w:rPr>
        <w:t xml:space="preserve"> </w:t>
      </w:r>
      <w:r w:rsidR="00685BAE">
        <w:rPr>
          <w:rFonts w:cs="Times New Roman"/>
          <w:sz w:val="24"/>
          <w:szCs w:val="24"/>
        </w:rPr>
        <w:t xml:space="preserve">on </w:t>
      </w:r>
      <w:r w:rsidR="003B3CC0">
        <w:rPr>
          <w:rFonts w:cs="Times New Roman"/>
          <w:sz w:val="24"/>
          <w:szCs w:val="24"/>
        </w:rPr>
        <w:t xml:space="preserve">TNCs, </w:t>
      </w:r>
      <w:r w:rsidR="005B351E">
        <w:rPr>
          <w:rFonts w:cs="Times New Roman"/>
          <w:sz w:val="24"/>
          <w:szCs w:val="24"/>
        </w:rPr>
        <w:t>human</w:t>
      </w:r>
      <w:r w:rsidR="003B3CC0">
        <w:rPr>
          <w:rFonts w:cs="Times New Roman"/>
          <w:sz w:val="24"/>
          <w:szCs w:val="24"/>
        </w:rPr>
        <w:t xml:space="preserve"> rights were seen as </w:t>
      </w:r>
      <w:r w:rsidR="00E35AA9">
        <w:rPr>
          <w:rFonts w:cs="Times New Roman"/>
          <w:sz w:val="24"/>
          <w:szCs w:val="24"/>
        </w:rPr>
        <w:t xml:space="preserve">unequivocal </w:t>
      </w:r>
      <w:r w:rsidR="003B3CC0">
        <w:rPr>
          <w:rFonts w:cs="Times New Roman"/>
          <w:sz w:val="24"/>
          <w:szCs w:val="24"/>
        </w:rPr>
        <w:t>and applicable to all actors—State,</w:t>
      </w:r>
      <w:r w:rsidR="003A52B7">
        <w:rPr>
          <w:rFonts w:cs="Times New Roman"/>
          <w:sz w:val="24"/>
          <w:szCs w:val="24"/>
        </w:rPr>
        <w:t xml:space="preserve"> non-state and individual</w:t>
      </w:r>
      <w:r w:rsidR="003B3CC0">
        <w:rPr>
          <w:rFonts w:cs="Times New Roman"/>
          <w:sz w:val="24"/>
          <w:szCs w:val="24"/>
        </w:rPr>
        <w:t xml:space="preserve"> actor</w:t>
      </w:r>
      <w:r w:rsidR="003A52B7">
        <w:rPr>
          <w:rFonts w:cs="Times New Roman"/>
          <w:sz w:val="24"/>
          <w:szCs w:val="24"/>
        </w:rPr>
        <w:t>s.</w:t>
      </w:r>
      <w:r w:rsidR="003B3CC0">
        <w:rPr>
          <w:rFonts w:cs="Times New Roman"/>
          <w:sz w:val="24"/>
          <w:szCs w:val="24"/>
        </w:rPr>
        <w:t xml:space="preserve"> It was also recognized that there are other instruments to reach non-TNC actors. The code would not duplicate, overlap</w:t>
      </w:r>
      <w:r w:rsidR="00C172F8">
        <w:rPr>
          <w:rFonts w:cs="Times New Roman"/>
          <w:sz w:val="24"/>
          <w:szCs w:val="24"/>
        </w:rPr>
        <w:t xml:space="preserve"> or override such other instruments; instead, the code would extend their reach to encompass transnational activities. I would hope that this working group would follow a similar approach. </w:t>
      </w:r>
    </w:p>
    <w:p w14:paraId="374CC72C" w14:textId="0FD820D9" w:rsidR="00914109" w:rsidRDefault="005210A9" w:rsidP="00F1276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 should like to make </w:t>
      </w:r>
      <w:r w:rsidR="00245190">
        <w:rPr>
          <w:rFonts w:cs="Times New Roman"/>
          <w:sz w:val="24"/>
          <w:szCs w:val="24"/>
        </w:rPr>
        <w:t>three</w:t>
      </w:r>
      <w:r w:rsidR="00914109">
        <w:rPr>
          <w:rFonts w:cs="Times New Roman"/>
          <w:sz w:val="24"/>
          <w:szCs w:val="24"/>
        </w:rPr>
        <w:t xml:space="preserve"> </w:t>
      </w:r>
      <w:r w:rsidR="009A4D3B">
        <w:rPr>
          <w:rFonts w:cs="Times New Roman"/>
          <w:sz w:val="24"/>
          <w:szCs w:val="24"/>
        </w:rPr>
        <w:t>additional</w:t>
      </w:r>
      <w:r w:rsidR="00914109">
        <w:rPr>
          <w:rFonts w:cs="Times New Roman"/>
          <w:sz w:val="24"/>
          <w:szCs w:val="24"/>
        </w:rPr>
        <w:t xml:space="preserve"> comments</w:t>
      </w:r>
      <w:r w:rsidR="009A4D3B">
        <w:rPr>
          <w:rFonts w:cs="Times New Roman"/>
          <w:sz w:val="24"/>
          <w:szCs w:val="24"/>
        </w:rPr>
        <w:t xml:space="preserve"> on the approach of this working group </w:t>
      </w:r>
      <w:r w:rsidR="009A4D3B" w:rsidRPr="00F51BE4">
        <w:rPr>
          <w:rFonts w:cs="Times New Roman"/>
          <w:i/>
          <w:sz w:val="24"/>
          <w:szCs w:val="24"/>
        </w:rPr>
        <w:t>vis-à-vis</w:t>
      </w:r>
      <w:r w:rsidR="009A4D3B">
        <w:rPr>
          <w:rFonts w:cs="Times New Roman"/>
          <w:sz w:val="24"/>
          <w:szCs w:val="24"/>
        </w:rPr>
        <w:t xml:space="preserve"> that of international investment agreements</w:t>
      </w:r>
      <w:r w:rsidR="00914109">
        <w:rPr>
          <w:rFonts w:cs="Times New Roman"/>
          <w:sz w:val="24"/>
          <w:szCs w:val="24"/>
        </w:rPr>
        <w:t>.</w:t>
      </w:r>
    </w:p>
    <w:p w14:paraId="4B9D5CEA" w14:textId="7CAD869B" w:rsidR="00D06347" w:rsidRDefault="009A4D3B" w:rsidP="007E48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First, t</w:t>
      </w:r>
      <w:r w:rsidR="00822385">
        <w:rPr>
          <w:rFonts w:cs="Times New Roman"/>
          <w:sz w:val="24"/>
          <w:szCs w:val="24"/>
        </w:rPr>
        <w:t>he</w:t>
      </w:r>
      <w:r w:rsidR="00C259F5">
        <w:rPr>
          <w:rFonts w:cs="Times New Roman"/>
          <w:sz w:val="24"/>
          <w:szCs w:val="24"/>
        </w:rPr>
        <w:t xml:space="preserve"> </w:t>
      </w:r>
      <w:r w:rsidR="00A41C91">
        <w:rPr>
          <w:rFonts w:cs="Times New Roman"/>
          <w:sz w:val="24"/>
          <w:szCs w:val="24"/>
        </w:rPr>
        <w:t xml:space="preserve">focus in </w:t>
      </w:r>
      <w:r w:rsidR="00822385">
        <w:rPr>
          <w:rFonts w:cs="Times New Roman"/>
          <w:sz w:val="24"/>
          <w:szCs w:val="24"/>
        </w:rPr>
        <w:t xml:space="preserve">multilateral and bilateral agreements </w:t>
      </w:r>
      <w:r w:rsidR="00A41C91">
        <w:rPr>
          <w:rFonts w:cs="Times New Roman"/>
          <w:sz w:val="24"/>
          <w:szCs w:val="24"/>
        </w:rPr>
        <w:t xml:space="preserve">is on foreign direct investment, while the focus of this working group is on TNCs. These are two sides of the same coin. In both cases we are looking at the </w:t>
      </w:r>
      <w:r w:rsidR="003357F0">
        <w:rPr>
          <w:rFonts w:cs="Times New Roman"/>
          <w:sz w:val="24"/>
          <w:szCs w:val="24"/>
        </w:rPr>
        <w:t xml:space="preserve">management of the </w:t>
      </w:r>
      <w:r w:rsidR="00A41C91">
        <w:rPr>
          <w:rFonts w:cs="Times New Roman"/>
          <w:sz w:val="24"/>
          <w:szCs w:val="24"/>
        </w:rPr>
        <w:t xml:space="preserve">transnational relationship. FDI is defined as a </w:t>
      </w:r>
      <w:r w:rsidR="00685BAE">
        <w:rPr>
          <w:rFonts w:cs="Times New Roman"/>
          <w:sz w:val="24"/>
          <w:szCs w:val="24"/>
        </w:rPr>
        <w:t xml:space="preserve">minimum </w:t>
      </w:r>
      <w:r w:rsidR="00A41C91">
        <w:rPr>
          <w:rFonts w:cs="Times New Roman"/>
          <w:sz w:val="24"/>
          <w:szCs w:val="24"/>
        </w:rPr>
        <w:t xml:space="preserve">level of equity ownership that confers control </w:t>
      </w:r>
      <w:r w:rsidR="00774019">
        <w:rPr>
          <w:rFonts w:cs="Times New Roman"/>
          <w:sz w:val="24"/>
          <w:szCs w:val="24"/>
        </w:rPr>
        <w:t xml:space="preserve">of the business operations </w:t>
      </w:r>
      <w:r w:rsidR="00A41C91">
        <w:rPr>
          <w:rFonts w:cs="Times New Roman"/>
          <w:sz w:val="24"/>
          <w:szCs w:val="24"/>
        </w:rPr>
        <w:t xml:space="preserve">to the foreign entity. </w:t>
      </w:r>
      <w:r w:rsidR="0051472F">
        <w:rPr>
          <w:rFonts w:cs="Times New Roman"/>
          <w:sz w:val="24"/>
          <w:szCs w:val="24"/>
        </w:rPr>
        <w:t>However,</w:t>
      </w:r>
      <w:r w:rsidR="00774019">
        <w:rPr>
          <w:rFonts w:cs="Times New Roman"/>
          <w:sz w:val="24"/>
          <w:szCs w:val="24"/>
        </w:rPr>
        <w:t xml:space="preserve"> </w:t>
      </w:r>
      <w:r w:rsidR="004F0720">
        <w:rPr>
          <w:rFonts w:cs="Times New Roman"/>
          <w:sz w:val="24"/>
          <w:szCs w:val="24"/>
        </w:rPr>
        <w:t xml:space="preserve">FDI does not capture the full obligation of TNCs, because </w:t>
      </w:r>
      <w:r w:rsidR="00774019">
        <w:rPr>
          <w:rFonts w:cs="Times New Roman"/>
          <w:sz w:val="24"/>
          <w:szCs w:val="24"/>
        </w:rPr>
        <w:t xml:space="preserve">control can be exerted through non-equity relationships, such as licensing, franchising and subcontracting through supply chains. </w:t>
      </w:r>
      <w:r w:rsidR="004F0720">
        <w:rPr>
          <w:rFonts w:cs="Times New Roman"/>
          <w:sz w:val="24"/>
          <w:szCs w:val="24"/>
        </w:rPr>
        <w:t xml:space="preserve">Also, when ownership structures are complex, tribunals look beyond equity ownership and consider other indicators of control such as involvement in </w:t>
      </w:r>
      <w:r w:rsidR="005B7AD1">
        <w:rPr>
          <w:rFonts w:cs="Times New Roman"/>
          <w:sz w:val="24"/>
          <w:szCs w:val="24"/>
        </w:rPr>
        <w:t>substantial business activity</w:t>
      </w:r>
      <w:r w:rsidR="004F0720">
        <w:rPr>
          <w:rFonts w:cs="Times New Roman"/>
          <w:sz w:val="24"/>
          <w:szCs w:val="24"/>
        </w:rPr>
        <w:t xml:space="preserve">. </w:t>
      </w:r>
      <w:r w:rsidR="005B7AD1">
        <w:rPr>
          <w:rFonts w:cs="Times New Roman"/>
          <w:sz w:val="24"/>
          <w:szCs w:val="24"/>
        </w:rPr>
        <w:t>In all cases</w:t>
      </w:r>
      <w:r w:rsidR="004F0720">
        <w:rPr>
          <w:rFonts w:cs="Times New Roman"/>
          <w:sz w:val="24"/>
          <w:szCs w:val="24"/>
        </w:rPr>
        <w:t xml:space="preserve">, control is the key, for in control lies responsibility. </w:t>
      </w:r>
      <w:r w:rsidR="003357F0">
        <w:rPr>
          <w:rFonts w:cs="Times New Roman"/>
          <w:sz w:val="24"/>
          <w:szCs w:val="24"/>
        </w:rPr>
        <w:t>It is through c</w:t>
      </w:r>
      <w:r w:rsidR="007E48FB">
        <w:rPr>
          <w:rFonts w:cs="Times New Roman"/>
          <w:sz w:val="24"/>
          <w:szCs w:val="24"/>
        </w:rPr>
        <w:t>ontrol</w:t>
      </w:r>
      <w:r w:rsidR="003357F0">
        <w:rPr>
          <w:rFonts w:cs="Times New Roman"/>
          <w:sz w:val="24"/>
          <w:szCs w:val="24"/>
        </w:rPr>
        <w:t xml:space="preserve"> that a </w:t>
      </w:r>
      <w:r w:rsidR="007E48FB">
        <w:rPr>
          <w:rFonts w:cs="Times New Roman"/>
          <w:sz w:val="24"/>
          <w:szCs w:val="24"/>
        </w:rPr>
        <w:t xml:space="preserve">TNC or foreign investor </w:t>
      </w:r>
      <w:r w:rsidR="003357F0">
        <w:rPr>
          <w:rFonts w:cs="Times New Roman"/>
          <w:sz w:val="24"/>
          <w:szCs w:val="24"/>
        </w:rPr>
        <w:t xml:space="preserve">shapes </w:t>
      </w:r>
      <w:r w:rsidR="007E48FB">
        <w:rPr>
          <w:rFonts w:cs="Times New Roman"/>
          <w:sz w:val="24"/>
          <w:szCs w:val="24"/>
        </w:rPr>
        <w:t>decision-making</w:t>
      </w:r>
      <w:r w:rsidR="003357F0">
        <w:rPr>
          <w:rFonts w:cs="Times New Roman"/>
          <w:sz w:val="24"/>
          <w:szCs w:val="24"/>
        </w:rPr>
        <w:t>,</w:t>
      </w:r>
      <w:r w:rsidR="007E48FB">
        <w:rPr>
          <w:rFonts w:cs="Times New Roman"/>
          <w:sz w:val="24"/>
          <w:szCs w:val="24"/>
        </w:rPr>
        <w:t xml:space="preserve"> </w:t>
      </w:r>
      <w:r w:rsidR="003357F0">
        <w:rPr>
          <w:rFonts w:cs="Times New Roman"/>
          <w:sz w:val="24"/>
          <w:szCs w:val="24"/>
        </w:rPr>
        <w:t>sets</w:t>
      </w:r>
      <w:r w:rsidR="007E48FB">
        <w:rPr>
          <w:rFonts w:cs="Times New Roman"/>
          <w:sz w:val="24"/>
          <w:szCs w:val="24"/>
        </w:rPr>
        <w:t xml:space="preserve"> policies </w:t>
      </w:r>
      <w:r w:rsidR="005B7AD1">
        <w:rPr>
          <w:rFonts w:cs="Times New Roman"/>
          <w:sz w:val="24"/>
          <w:szCs w:val="24"/>
        </w:rPr>
        <w:t xml:space="preserve">and practice, </w:t>
      </w:r>
      <w:r w:rsidR="003357F0">
        <w:rPr>
          <w:rFonts w:cs="Times New Roman"/>
          <w:sz w:val="24"/>
          <w:szCs w:val="24"/>
        </w:rPr>
        <w:t xml:space="preserve">and has </w:t>
      </w:r>
      <w:r>
        <w:rPr>
          <w:rFonts w:cs="Times New Roman"/>
          <w:sz w:val="24"/>
          <w:szCs w:val="24"/>
        </w:rPr>
        <w:t xml:space="preserve">ultimate </w:t>
      </w:r>
      <w:r w:rsidR="007E48FB" w:rsidRPr="007E48FB">
        <w:rPr>
          <w:rFonts w:cs="Times New Roman"/>
          <w:sz w:val="24"/>
          <w:szCs w:val="24"/>
        </w:rPr>
        <w:t>respons</w:t>
      </w:r>
      <w:r w:rsidR="003357F0">
        <w:rPr>
          <w:rFonts w:cs="Times New Roman"/>
          <w:sz w:val="24"/>
          <w:szCs w:val="24"/>
        </w:rPr>
        <w:t>ibility to respect human rights</w:t>
      </w:r>
      <w:r w:rsidR="00D06347">
        <w:rPr>
          <w:rFonts w:cs="Times New Roman"/>
          <w:sz w:val="24"/>
          <w:szCs w:val="24"/>
        </w:rPr>
        <w:t xml:space="preserve"> in companywide operations. Thus, the broader approach of this </w:t>
      </w:r>
      <w:r w:rsidR="003357F0">
        <w:rPr>
          <w:rFonts w:cs="Times New Roman"/>
          <w:sz w:val="24"/>
          <w:szCs w:val="24"/>
        </w:rPr>
        <w:t>working group</w:t>
      </w:r>
      <w:r w:rsidR="00D06347">
        <w:rPr>
          <w:rFonts w:cs="Times New Roman"/>
          <w:sz w:val="24"/>
          <w:szCs w:val="24"/>
        </w:rPr>
        <w:t xml:space="preserve"> on TNCs as actors, rather than investment as an activity, provides a more comprehensive framework for prescribing principles for transnational behavior and conduct with respect to human rights. </w:t>
      </w:r>
    </w:p>
    <w:p w14:paraId="48548E4C" w14:textId="260424E5" w:rsidR="00D06347" w:rsidRPr="006F7A03" w:rsidRDefault="009A4D3B" w:rsidP="007E48F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Second, t</w:t>
      </w:r>
      <w:r w:rsidR="00D06347">
        <w:rPr>
          <w:rFonts w:cs="Times New Roman"/>
          <w:sz w:val="24"/>
          <w:szCs w:val="24"/>
        </w:rPr>
        <w:t xml:space="preserve">he emphasis in multilateral and bilateral agreements is on </w:t>
      </w:r>
      <w:r w:rsidR="006F7A03">
        <w:rPr>
          <w:rFonts w:cs="Times New Roman"/>
          <w:sz w:val="24"/>
          <w:szCs w:val="24"/>
        </w:rPr>
        <w:t xml:space="preserve">treatment, while the emphasis of the working group is on responsibility. </w:t>
      </w:r>
      <w:r w:rsidR="00840875">
        <w:rPr>
          <w:rFonts w:cs="Times New Roman"/>
          <w:sz w:val="24"/>
          <w:szCs w:val="24"/>
        </w:rPr>
        <w:t xml:space="preserve">These are also two sides of the same coin. </w:t>
      </w:r>
      <w:r w:rsidR="00006A6C">
        <w:rPr>
          <w:rFonts w:cs="Times New Roman"/>
          <w:sz w:val="24"/>
          <w:szCs w:val="24"/>
        </w:rPr>
        <w:t>Rights</w:t>
      </w:r>
      <w:r w:rsidR="006F1F24">
        <w:rPr>
          <w:rFonts w:cs="Times New Roman"/>
          <w:sz w:val="24"/>
          <w:szCs w:val="24"/>
        </w:rPr>
        <w:t xml:space="preserve"> and responsibilities are </w:t>
      </w:r>
      <w:r w:rsidR="00006A6C">
        <w:rPr>
          <w:rFonts w:cs="Times New Roman"/>
          <w:sz w:val="24"/>
          <w:szCs w:val="24"/>
        </w:rPr>
        <w:t>the</w:t>
      </w:r>
      <w:r w:rsidR="006F1F24">
        <w:rPr>
          <w:rFonts w:cs="Times New Roman"/>
          <w:sz w:val="24"/>
          <w:szCs w:val="24"/>
        </w:rPr>
        <w:t xml:space="preserve"> </w:t>
      </w:r>
      <w:r w:rsidR="006F1F24" w:rsidRPr="00D119A0">
        <w:rPr>
          <w:rFonts w:cs="Times New Roman"/>
          <w:i/>
          <w:sz w:val="24"/>
          <w:szCs w:val="24"/>
        </w:rPr>
        <w:t>quid pro quo</w:t>
      </w:r>
      <w:r w:rsidR="006F1F24">
        <w:rPr>
          <w:rFonts w:cs="Times New Roman"/>
          <w:sz w:val="24"/>
          <w:szCs w:val="24"/>
        </w:rPr>
        <w:t xml:space="preserve"> </w:t>
      </w:r>
      <w:r w:rsidR="00006A6C">
        <w:rPr>
          <w:rFonts w:cs="Times New Roman"/>
          <w:sz w:val="24"/>
          <w:szCs w:val="24"/>
        </w:rPr>
        <w:t xml:space="preserve">of a social contract </w:t>
      </w:r>
      <w:r w:rsidR="006F1F24">
        <w:rPr>
          <w:rFonts w:cs="Times New Roman"/>
          <w:sz w:val="24"/>
          <w:szCs w:val="24"/>
        </w:rPr>
        <w:t xml:space="preserve">where one is contingent upon the other. </w:t>
      </w:r>
      <w:r w:rsidR="00840875">
        <w:rPr>
          <w:rFonts w:cs="Times New Roman"/>
          <w:sz w:val="24"/>
          <w:szCs w:val="24"/>
        </w:rPr>
        <w:t xml:space="preserve">There are </w:t>
      </w:r>
      <w:r w:rsidR="005452EC">
        <w:rPr>
          <w:rFonts w:cs="Times New Roman"/>
          <w:sz w:val="24"/>
          <w:szCs w:val="24"/>
        </w:rPr>
        <w:t>3,321</w:t>
      </w:r>
      <w:r w:rsidR="00840875">
        <w:rPr>
          <w:rFonts w:cs="Times New Roman"/>
          <w:sz w:val="24"/>
          <w:szCs w:val="24"/>
        </w:rPr>
        <w:t xml:space="preserve"> </w:t>
      </w:r>
      <w:r w:rsidR="005452EC">
        <w:rPr>
          <w:rFonts w:cs="Times New Roman"/>
          <w:sz w:val="24"/>
          <w:szCs w:val="24"/>
        </w:rPr>
        <w:t>treaties</w:t>
      </w:r>
      <w:r w:rsidR="00840875">
        <w:rPr>
          <w:rFonts w:cs="Times New Roman"/>
          <w:sz w:val="24"/>
          <w:szCs w:val="24"/>
        </w:rPr>
        <w:t xml:space="preserve"> </w:t>
      </w:r>
      <w:r w:rsidR="00006A6C">
        <w:rPr>
          <w:rFonts w:cs="Times New Roman"/>
          <w:sz w:val="24"/>
          <w:szCs w:val="24"/>
        </w:rPr>
        <w:t xml:space="preserve">that </w:t>
      </w:r>
      <w:r w:rsidR="006F1F24">
        <w:rPr>
          <w:rFonts w:cs="Times New Roman"/>
          <w:sz w:val="24"/>
          <w:szCs w:val="24"/>
        </w:rPr>
        <w:t>establish</w:t>
      </w:r>
      <w:r w:rsidR="00C74AC6" w:rsidRPr="006F7A03">
        <w:rPr>
          <w:rFonts w:cs="Times New Roman"/>
          <w:sz w:val="24"/>
          <w:szCs w:val="24"/>
        </w:rPr>
        <w:t xml:space="preserve"> mandatory standards for the </w:t>
      </w:r>
      <w:r w:rsidR="006F1F24">
        <w:rPr>
          <w:rFonts w:cs="Times New Roman"/>
          <w:sz w:val="24"/>
          <w:szCs w:val="24"/>
        </w:rPr>
        <w:t xml:space="preserve">protection and </w:t>
      </w:r>
      <w:r w:rsidR="00C74AC6" w:rsidRPr="006F7A03">
        <w:rPr>
          <w:rFonts w:cs="Times New Roman"/>
          <w:sz w:val="24"/>
          <w:szCs w:val="24"/>
        </w:rPr>
        <w:t>treatment of foreign investors by host governments</w:t>
      </w:r>
      <w:r w:rsidR="00400D35" w:rsidRPr="006F7A03">
        <w:rPr>
          <w:rFonts w:cs="Times New Roman"/>
          <w:sz w:val="24"/>
          <w:szCs w:val="24"/>
        </w:rPr>
        <w:t>.</w:t>
      </w:r>
      <w:r w:rsidR="005452EC">
        <w:rPr>
          <w:rStyle w:val="FootnoteReference"/>
          <w:rFonts w:cs="Times New Roman"/>
          <w:sz w:val="24"/>
          <w:szCs w:val="24"/>
        </w:rPr>
        <w:footnoteReference w:id="7"/>
      </w:r>
      <w:r w:rsidR="00400D35" w:rsidRPr="006F7A03">
        <w:rPr>
          <w:rFonts w:cs="Times New Roman"/>
          <w:sz w:val="24"/>
          <w:szCs w:val="24"/>
        </w:rPr>
        <w:t xml:space="preserve"> </w:t>
      </w:r>
      <w:r w:rsidR="00840875">
        <w:rPr>
          <w:rFonts w:cs="Times New Roman"/>
          <w:sz w:val="24"/>
          <w:szCs w:val="24"/>
        </w:rPr>
        <w:t xml:space="preserve">An equally </w:t>
      </w:r>
      <w:r w:rsidR="008E5088">
        <w:rPr>
          <w:rFonts w:cs="Times New Roman"/>
          <w:sz w:val="24"/>
          <w:szCs w:val="24"/>
        </w:rPr>
        <w:t xml:space="preserve">prescriptive and </w:t>
      </w:r>
      <w:r w:rsidR="00840875">
        <w:rPr>
          <w:rFonts w:cs="Times New Roman"/>
          <w:sz w:val="24"/>
          <w:szCs w:val="24"/>
        </w:rPr>
        <w:t xml:space="preserve">energetic effort is needed on the responsibility front. </w:t>
      </w:r>
      <w:r w:rsidR="008E5088">
        <w:rPr>
          <w:rFonts w:cs="Times New Roman"/>
          <w:sz w:val="24"/>
          <w:szCs w:val="24"/>
        </w:rPr>
        <w:t xml:space="preserve">If not, there would be a pushback on the other front and commitments on protection and treatment would weaken. </w:t>
      </w:r>
      <w:r w:rsidR="005210A9" w:rsidRPr="00087C6B">
        <w:rPr>
          <w:rFonts w:cs="Times New Roman"/>
          <w:sz w:val="24"/>
          <w:szCs w:val="24"/>
        </w:rPr>
        <w:t>This would be a setback for the international investment framework.</w:t>
      </w:r>
      <w:r w:rsidR="005210A9">
        <w:rPr>
          <w:rFonts w:cs="Times New Roman"/>
          <w:sz w:val="24"/>
          <w:szCs w:val="24"/>
        </w:rPr>
        <w:t xml:space="preserve"> </w:t>
      </w:r>
      <w:r w:rsidRPr="006F7A03">
        <w:rPr>
          <w:rFonts w:cs="Times New Roman"/>
          <w:sz w:val="24"/>
          <w:szCs w:val="24"/>
        </w:rPr>
        <w:t>T</w:t>
      </w:r>
      <w:r w:rsidR="00D119A0">
        <w:rPr>
          <w:rFonts w:cs="Times New Roman"/>
          <w:sz w:val="24"/>
          <w:szCs w:val="24"/>
        </w:rPr>
        <w:t>hus, t</w:t>
      </w:r>
      <w:r w:rsidRPr="006F7A03">
        <w:rPr>
          <w:rFonts w:cs="Times New Roman"/>
          <w:sz w:val="24"/>
          <w:szCs w:val="24"/>
        </w:rPr>
        <w:t xml:space="preserve">his </w:t>
      </w:r>
      <w:r w:rsidR="005B351E" w:rsidRPr="006F7A03">
        <w:rPr>
          <w:rFonts w:cs="Times New Roman"/>
          <w:sz w:val="24"/>
          <w:szCs w:val="24"/>
        </w:rPr>
        <w:t xml:space="preserve">working group </w:t>
      </w:r>
      <w:r w:rsidR="005210A9">
        <w:rPr>
          <w:rFonts w:cs="Times New Roman"/>
          <w:sz w:val="24"/>
          <w:szCs w:val="24"/>
        </w:rPr>
        <w:t>has an important role to play in restoring</w:t>
      </w:r>
      <w:r w:rsidR="008E5088">
        <w:rPr>
          <w:rFonts w:cs="Times New Roman"/>
          <w:sz w:val="24"/>
          <w:szCs w:val="24"/>
        </w:rPr>
        <w:t xml:space="preserve"> the </w:t>
      </w:r>
      <w:r w:rsidR="005B351E" w:rsidRPr="006F7A03">
        <w:rPr>
          <w:rFonts w:cs="Times New Roman"/>
          <w:sz w:val="24"/>
          <w:szCs w:val="24"/>
        </w:rPr>
        <w:t>balance between rights and responsibilities</w:t>
      </w:r>
      <w:r w:rsidR="005210A9">
        <w:rPr>
          <w:rFonts w:cs="Times New Roman"/>
          <w:sz w:val="24"/>
          <w:szCs w:val="24"/>
        </w:rPr>
        <w:t xml:space="preserve"> </w:t>
      </w:r>
      <w:r w:rsidR="00D119A0">
        <w:rPr>
          <w:rFonts w:cs="Times New Roman"/>
          <w:sz w:val="24"/>
          <w:szCs w:val="24"/>
        </w:rPr>
        <w:t>at a high level</w:t>
      </w:r>
      <w:r w:rsidR="005210A9">
        <w:rPr>
          <w:rFonts w:cs="Times New Roman"/>
          <w:sz w:val="24"/>
          <w:szCs w:val="24"/>
        </w:rPr>
        <w:t>,</w:t>
      </w:r>
      <w:r w:rsidR="00D119A0">
        <w:rPr>
          <w:rFonts w:cs="Times New Roman"/>
          <w:sz w:val="24"/>
          <w:szCs w:val="24"/>
        </w:rPr>
        <w:t xml:space="preserve"> without lowering of standards on either side. </w:t>
      </w:r>
      <w:r w:rsidR="008E5088">
        <w:rPr>
          <w:rFonts w:cs="Times New Roman"/>
          <w:sz w:val="24"/>
          <w:szCs w:val="24"/>
        </w:rPr>
        <w:t xml:space="preserve">That is </w:t>
      </w:r>
      <w:r w:rsidR="00D119A0">
        <w:rPr>
          <w:rFonts w:cs="Times New Roman"/>
          <w:sz w:val="24"/>
          <w:szCs w:val="24"/>
        </w:rPr>
        <w:t>surely in the interest of TNCs as well</w:t>
      </w:r>
      <w:r w:rsidR="00C74AC6" w:rsidRPr="006F7A03">
        <w:rPr>
          <w:rFonts w:cs="Times New Roman"/>
          <w:sz w:val="24"/>
          <w:szCs w:val="24"/>
        </w:rPr>
        <w:t xml:space="preserve">. </w:t>
      </w:r>
    </w:p>
    <w:p w14:paraId="7F7BE115" w14:textId="70186CE7" w:rsidR="00DB3218" w:rsidRDefault="00D618C6" w:rsidP="00E72FF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Third, and finally, </w:t>
      </w:r>
      <w:r w:rsidR="00D30433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 w:rsidR="00D30433">
        <w:rPr>
          <w:rFonts w:cs="Times New Roman"/>
          <w:sz w:val="24"/>
          <w:szCs w:val="24"/>
        </w:rPr>
        <w:t xml:space="preserve">major challenge for </w:t>
      </w:r>
      <w:r>
        <w:rPr>
          <w:rFonts w:cs="Times New Roman"/>
          <w:sz w:val="24"/>
          <w:szCs w:val="24"/>
        </w:rPr>
        <w:t xml:space="preserve">world investment is </w:t>
      </w:r>
      <w:r w:rsidR="00D30433">
        <w:rPr>
          <w:rFonts w:cs="Times New Roman"/>
          <w:sz w:val="24"/>
          <w:szCs w:val="24"/>
        </w:rPr>
        <w:t>to</w:t>
      </w:r>
      <w:r>
        <w:rPr>
          <w:rFonts w:cs="Times New Roman"/>
          <w:sz w:val="24"/>
          <w:szCs w:val="24"/>
        </w:rPr>
        <w:t xml:space="preserve"> </w:t>
      </w:r>
      <w:r w:rsidR="00D30433">
        <w:rPr>
          <w:rFonts w:cs="Times New Roman"/>
          <w:sz w:val="24"/>
          <w:szCs w:val="24"/>
        </w:rPr>
        <w:t>create</w:t>
      </w:r>
      <w:r w:rsidR="00C83F2D" w:rsidRPr="00C83F2D">
        <w:rPr>
          <w:rFonts w:cs="Times New Roman"/>
          <w:sz w:val="24"/>
          <w:szCs w:val="24"/>
        </w:rPr>
        <w:t xml:space="preserve"> shared value for all stakeholders.</w:t>
      </w:r>
      <w:r w:rsidR="005D4EA7">
        <w:rPr>
          <w:rStyle w:val="FootnoteReference"/>
          <w:rFonts w:cs="Times New Roman"/>
          <w:sz w:val="24"/>
          <w:szCs w:val="24"/>
        </w:rPr>
        <w:footnoteReference w:id="8"/>
      </w:r>
      <w:r w:rsidR="00C83F2D">
        <w:rPr>
          <w:rFonts w:cs="Times New Roman"/>
          <w:sz w:val="24"/>
          <w:szCs w:val="24"/>
        </w:rPr>
        <w:t xml:space="preserve"> </w:t>
      </w:r>
      <w:r w:rsidR="00C83F2D" w:rsidRPr="00C83F2D">
        <w:rPr>
          <w:rFonts w:cs="Times New Roman"/>
          <w:sz w:val="24"/>
          <w:szCs w:val="24"/>
        </w:rPr>
        <w:t>The S</w:t>
      </w:r>
      <w:r w:rsidR="00D30433">
        <w:rPr>
          <w:rFonts w:cs="Times New Roman"/>
          <w:sz w:val="24"/>
          <w:szCs w:val="24"/>
        </w:rPr>
        <w:t xml:space="preserve">ustainable </w:t>
      </w:r>
      <w:r w:rsidR="00C83F2D" w:rsidRPr="00C83F2D">
        <w:rPr>
          <w:rFonts w:cs="Times New Roman"/>
          <w:sz w:val="24"/>
          <w:szCs w:val="24"/>
        </w:rPr>
        <w:t>D</w:t>
      </w:r>
      <w:r w:rsidR="00D30433">
        <w:rPr>
          <w:rFonts w:cs="Times New Roman"/>
          <w:sz w:val="24"/>
          <w:szCs w:val="24"/>
        </w:rPr>
        <w:t xml:space="preserve">evelopment </w:t>
      </w:r>
      <w:r w:rsidR="00C83F2D" w:rsidRPr="00C83F2D">
        <w:rPr>
          <w:rFonts w:cs="Times New Roman"/>
          <w:sz w:val="24"/>
          <w:szCs w:val="24"/>
        </w:rPr>
        <w:t>G</w:t>
      </w:r>
      <w:r w:rsidR="00D30433">
        <w:rPr>
          <w:rFonts w:cs="Times New Roman"/>
          <w:sz w:val="24"/>
          <w:szCs w:val="24"/>
        </w:rPr>
        <w:t>oal</w:t>
      </w:r>
      <w:r w:rsidR="00C83F2D" w:rsidRPr="00C83F2D">
        <w:rPr>
          <w:rFonts w:cs="Times New Roman"/>
          <w:sz w:val="24"/>
          <w:szCs w:val="24"/>
        </w:rPr>
        <w:t>s will require significant investment, well beyond current levels</w:t>
      </w:r>
      <w:r w:rsidR="00E72FF9">
        <w:rPr>
          <w:rFonts w:cs="Times New Roman"/>
          <w:sz w:val="24"/>
          <w:szCs w:val="24"/>
        </w:rPr>
        <w:t>.</w:t>
      </w:r>
      <w:r w:rsidR="00BD78A5">
        <w:rPr>
          <w:rStyle w:val="FootnoteReference"/>
          <w:rFonts w:cs="Times New Roman"/>
          <w:sz w:val="24"/>
          <w:szCs w:val="24"/>
        </w:rPr>
        <w:footnoteReference w:id="9"/>
      </w:r>
      <w:r w:rsidR="00E72FF9" w:rsidRPr="00E72FF9">
        <w:rPr>
          <w:rFonts w:cs="Times New Roman"/>
          <w:sz w:val="24"/>
          <w:szCs w:val="24"/>
        </w:rPr>
        <w:t xml:space="preserve"> </w:t>
      </w:r>
      <w:r w:rsidR="00DB3218" w:rsidRPr="00C83F2D">
        <w:rPr>
          <w:rFonts w:cs="Times New Roman"/>
          <w:sz w:val="24"/>
          <w:szCs w:val="24"/>
        </w:rPr>
        <w:t>Investments</w:t>
      </w:r>
      <w:r w:rsidR="00C83F2D" w:rsidRPr="00C83F2D">
        <w:rPr>
          <w:rFonts w:cs="Times New Roman"/>
          <w:sz w:val="24"/>
          <w:szCs w:val="24"/>
        </w:rPr>
        <w:t xml:space="preserve"> will be needed </w:t>
      </w:r>
      <w:r w:rsidR="00E72FF9">
        <w:rPr>
          <w:rFonts w:cs="Times New Roman"/>
          <w:sz w:val="24"/>
          <w:szCs w:val="24"/>
        </w:rPr>
        <w:t xml:space="preserve">also </w:t>
      </w:r>
      <w:r w:rsidR="00C83F2D" w:rsidRPr="00C83F2D">
        <w:rPr>
          <w:rFonts w:cs="Times New Roman"/>
          <w:sz w:val="24"/>
          <w:szCs w:val="24"/>
        </w:rPr>
        <w:t xml:space="preserve">in </w:t>
      </w:r>
      <w:r w:rsidR="00E72FF9">
        <w:rPr>
          <w:rFonts w:cs="Times New Roman"/>
          <w:sz w:val="24"/>
          <w:szCs w:val="24"/>
        </w:rPr>
        <w:t xml:space="preserve">social sectors and </w:t>
      </w:r>
      <w:r w:rsidR="00C83F2D" w:rsidRPr="00C83F2D">
        <w:rPr>
          <w:rFonts w:cs="Times New Roman"/>
          <w:sz w:val="24"/>
          <w:szCs w:val="24"/>
        </w:rPr>
        <w:t>areas traditionally earmarked for the public sector and development aid</w:t>
      </w:r>
      <w:r w:rsidR="00E72FF9">
        <w:rPr>
          <w:rFonts w:cs="Times New Roman"/>
          <w:sz w:val="24"/>
          <w:szCs w:val="24"/>
        </w:rPr>
        <w:t>.</w:t>
      </w:r>
      <w:r w:rsidR="00C83F2D" w:rsidRPr="00C83F2D">
        <w:rPr>
          <w:rFonts w:cs="Times New Roman"/>
          <w:sz w:val="24"/>
          <w:szCs w:val="24"/>
        </w:rPr>
        <w:t xml:space="preserve"> </w:t>
      </w:r>
      <w:r w:rsidR="00E72FF9">
        <w:rPr>
          <w:rFonts w:cs="Times New Roman"/>
          <w:sz w:val="24"/>
          <w:szCs w:val="24"/>
        </w:rPr>
        <w:t xml:space="preserve">This is not </w:t>
      </w:r>
      <w:r w:rsidR="00D30433">
        <w:rPr>
          <w:rFonts w:cs="Times New Roman"/>
          <w:sz w:val="24"/>
          <w:szCs w:val="24"/>
        </w:rPr>
        <w:t>simply</w:t>
      </w:r>
      <w:r w:rsidR="00E72FF9">
        <w:rPr>
          <w:rFonts w:cs="Times New Roman"/>
          <w:sz w:val="24"/>
          <w:szCs w:val="24"/>
        </w:rPr>
        <w:t xml:space="preserve"> a matter of investment promotion</w:t>
      </w:r>
      <w:r w:rsidR="005372AD">
        <w:rPr>
          <w:rFonts w:cs="Times New Roman"/>
          <w:sz w:val="24"/>
          <w:szCs w:val="24"/>
        </w:rPr>
        <w:t>,</w:t>
      </w:r>
      <w:r w:rsidR="00E72FF9">
        <w:rPr>
          <w:rFonts w:cs="Times New Roman"/>
          <w:sz w:val="24"/>
          <w:szCs w:val="24"/>
        </w:rPr>
        <w:t xml:space="preserve"> but of creating n</w:t>
      </w:r>
      <w:r w:rsidR="00E72FF9" w:rsidRPr="00E72FF9">
        <w:rPr>
          <w:rFonts w:cs="Times New Roman"/>
          <w:sz w:val="24"/>
          <w:szCs w:val="24"/>
        </w:rPr>
        <w:t xml:space="preserve">ew business models </w:t>
      </w:r>
      <w:r w:rsidR="00D30433">
        <w:rPr>
          <w:rFonts w:cs="Times New Roman"/>
          <w:sz w:val="24"/>
          <w:szCs w:val="24"/>
        </w:rPr>
        <w:t xml:space="preserve">for responsible investment that respect human rights and advance development, in partnership with </w:t>
      </w:r>
      <w:r w:rsidR="00E72FF9" w:rsidRPr="00E72FF9">
        <w:rPr>
          <w:rFonts w:cs="Times New Roman"/>
          <w:sz w:val="24"/>
          <w:szCs w:val="24"/>
        </w:rPr>
        <w:t>non-governmental organizations</w:t>
      </w:r>
      <w:r w:rsidR="00D30433">
        <w:rPr>
          <w:rFonts w:cs="Times New Roman"/>
          <w:sz w:val="24"/>
          <w:szCs w:val="24"/>
        </w:rPr>
        <w:t xml:space="preserve">, local communities and the </w:t>
      </w:r>
      <w:r w:rsidR="00E72FF9" w:rsidRPr="00E72FF9">
        <w:rPr>
          <w:rFonts w:cs="Times New Roman"/>
          <w:sz w:val="24"/>
          <w:szCs w:val="24"/>
        </w:rPr>
        <w:t>state</w:t>
      </w:r>
      <w:r w:rsidR="00E72FF9">
        <w:rPr>
          <w:rFonts w:cs="Times New Roman"/>
          <w:sz w:val="24"/>
          <w:szCs w:val="24"/>
        </w:rPr>
        <w:t>.</w:t>
      </w:r>
      <w:r w:rsidR="00946945">
        <w:rPr>
          <w:rFonts w:cs="Times New Roman"/>
          <w:sz w:val="24"/>
          <w:szCs w:val="24"/>
        </w:rPr>
        <w:t xml:space="preserve"> The </w:t>
      </w:r>
      <w:r w:rsidR="00946945" w:rsidRPr="00AC5E8B">
        <w:rPr>
          <w:rFonts w:cs="Times New Roman"/>
          <w:i/>
          <w:sz w:val="24"/>
          <w:szCs w:val="24"/>
        </w:rPr>
        <w:t>Guiding Principles on Business and Human Rights</w:t>
      </w:r>
      <w:r w:rsidR="00946945" w:rsidRPr="001A3BDA">
        <w:rPr>
          <w:rFonts w:cs="Times New Roman"/>
          <w:sz w:val="24"/>
          <w:szCs w:val="24"/>
        </w:rPr>
        <w:t xml:space="preserve"> </w:t>
      </w:r>
      <w:r w:rsidR="00AC5E8B">
        <w:rPr>
          <w:rFonts w:cs="Times New Roman"/>
          <w:sz w:val="24"/>
          <w:szCs w:val="24"/>
        </w:rPr>
        <w:t>is a</w:t>
      </w:r>
      <w:r w:rsidR="00946945">
        <w:rPr>
          <w:rFonts w:cs="Times New Roman"/>
          <w:sz w:val="24"/>
          <w:szCs w:val="24"/>
        </w:rPr>
        <w:t xml:space="preserve"> </w:t>
      </w:r>
      <w:r w:rsidR="00AC5E8B">
        <w:rPr>
          <w:rFonts w:cs="Times New Roman"/>
          <w:sz w:val="24"/>
          <w:szCs w:val="24"/>
        </w:rPr>
        <w:t xml:space="preserve">potentially </w:t>
      </w:r>
      <w:r w:rsidR="00B95C6C">
        <w:rPr>
          <w:rFonts w:cs="Times New Roman"/>
          <w:sz w:val="24"/>
          <w:szCs w:val="24"/>
        </w:rPr>
        <w:t xml:space="preserve">important </w:t>
      </w:r>
      <w:r w:rsidR="00946945">
        <w:rPr>
          <w:rFonts w:cs="Times New Roman"/>
          <w:sz w:val="24"/>
          <w:szCs w:val="24"/>
        </w:rPr>
        <w:t xml:space="preserve">instrument for </w:t>
      </w:r>
      <w:r w:rsidR="009C082E">
        <w:rPr>
          <w:rFonts w:cs="Times New Roman"/>
          <w:sz w:val="24"/>
          <w:szCs w:val="24"/>
        </w:rPr>
        <w:t xml:space="preserve">nurturing </w:t>
      </w:r>
      <w:r w:rsidR="00946945">
        <w:rPr>
          <w:rFonts w:cs="Times New Roman"/>
          <w:sz w:val="24"/>
          <w:szCs w:val="24"/>
        </w:rPr>
        <w:t>responsible business conduct</w:t>
      </w:r>
      <w:r w:rsidR="00AC5E8B">
        <w:rPr>
          <w:rFonts w:cs="Times New Roman"/>
          <w:sz w:val="24"/>
          <w:szCs w:val="24"/>
        </w:rPr>
        <w:t xml:space="preserve"> </w:t>
      </w:r>
      <w:r w:rsidR="009570A7">
        <w:rPr>
          <w:rFonts w:cs="Times New Roman"/>
          <w:sz w:val="24"/>
          <w:szCs w:val="24"/>
        </w:rPr>
        <w:t xml:space="preserve">that is </w:t>
      </w:r>
      <w:r w:rsidR="00AC5E8B">
        <w:rPr>
          <w:rFonts w:cs="Times New Roman"/>
          <w:sz w:val="24"/>
          <w:szCs w:val="24"/>
        </w:rPr>
        <w:t>supportive of sustainability and inclusiveness</w:t>
      </w:r>
      <w:r w:rsidR="001A3BDA">
        <w:rPr>
          <w:rFonts w:cs="Times New Roman"/>
          <w:sz w:val="24"/>
          <w:szCs w:val="24"/>
        </w:rPr>
        <w:t xml:space="preserve">. </w:t>
      </w:r>
      <w:r w:rsidR="001A3BDA" w:rsidRPr="001A3BDA">
        <w:rPr>
          <w:rFonts w:cs="Times New Roman"/>
          <w:sz w:val="24"/>
          <w:szCs w:val="24"/>
        </w:rPr>
        <w:t xml:space="preserve">The treaty initiative </w:t>
      </w:r>
      <w:r w:rsidR="00DB3218">
        <w:rPr>
          <w:rFonts w:cs="Times New Roman"/>
          <w:sz w:val="24"/>
          <w:szCs w:val="24"/>
        </w:rPr>
        <w:t>should</w:t>
      </w:r>
      <w:r w:rsidR="005372AD">
        <w:rPr>
          <w:rFonts w:cs="Times New Roman"/>
          <w:sz w:val="24"/>
          <w:szCs w:val="24"/>
        </w:rPr>
        <w:t xml:space="preserve"> </w:t>
      </w:r>
      <w:r w:rsidR="00AC5E8B">
        <w:rPr>
          <w:rFonts w:cs="Times New Roman"/>
          <w:sz w:val="24"/>
          <w:szCs w:val="24"/>
        </w:rPr>
        <w:t xml:space="preserve">be a complementary instrument </w:t>
      </w:r>
      <w:r w:rsidR="009570A7">
        <w:rPr>
          <w:rFonts w:cs="Times New Roman"/>
          <w:sz w:val="24"/>
          <w:szCs w:val="24"/>
        </w:rPr>
        <w:t xml:space="preserve">that commits states, TNCs and other business enterprises </w:t>
      </w:r>
      <w:r w:rsidR="005372AD">
        <w:rPr>
          <w:rFonts w:cs="Times New Roman"/>
          <w:sz w:val="24"/>
          <w:szCs w:val="24"/>
        </w:rPr>
        <w:t xml:space="preserve">to </w:t>
      </w:r>
      <w:r w:rsidR="001A3BDA" w:rsidRPr="001A3BDA">
        <w:rPr>
          <w:rFonts w:cs="Times New Roman"/>
          <w:sz w:val="24"/>
          <w:szCs w:val="24"/>
        </w:rPr>
        <w:t>p</w:t>
      </w:r>
      <w:r w:rsidR="005372AD">
        <w:rPr>
          <w:rFonts w:cs="Times New Roman"/>
          <w:sz w:val="24"/>
          <w:szCs w:val="24"/>
        </w:rPr>
        <w:t>ut the</w:t>
      </w:r>
      <w:r w:rsidR="009570A7">
        <w:rPr>
          <w:rFonts w:cs="Times New Roman"/>
          <w:sz w:val="24"/>
          <w:szCs w:val="24"/>
        </w:rPr>
        <w:t>se</w:t>
      </w:r>
      <w:r w:rsidR="005372AD">
        <w:rPr>
          <w:rFonts w:cs="Times New Roman"/>
          <w:sz w:val="24"/>
          <w:szCs w:val="24"/>
        </w:rPr>
        <w:t xml:space="preserve"> principles into practice.</w:t>
      </w:r>
      <w:r w:rsidR="001A3BDA" w:rsidRPr="001A3BDA">
        <w:rPr>
          <w:rFonts w:cs="Times New Roman"/>
          <w:sz w:val="24"/>
          <w:szCs w:val="24"/>
        </w:rPr>
        <w:t xml:space="preserve"> </w:t>
      </w:r>
    </w:p>
    <w:p w14:paraId="340D98C2" w14:textId="77777777" w:rsidR="00AC5E8B" w:rsidRPr="00E72FF9" w:rsidRDefault="00AC5E8B" w:rsidP="00E72FF9">
      <w:pPr>
        <w:jc w:val="both"/>
        <w:rPr>
          <w:rFonts w:cs="Times New Roman"/>
          <w:sz w:val="24"/>
          <w:szCs w:val="24"/>
        </w:rPr>
      </w:pPr>
    </w:p>
    <w:p w14:paraId="271E66D1" w14:textId="482D62E3" w:rsidR="009E1F1D" w:rsidRPr="00087C6B" w:rsidRDefault="00CB3D52" w:rsidP="009E1F1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 * *</w:t>
      </w:r>
    </w:p>
    <w:sectPr w:rsidR="009E1F1D" w:rsidRPr="00087C6B" w:rsidSect="005816D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DA9E5" w14:textId="77777777" w:rsidR="009570A7" w:rsidRDefault="009570A7" w:rsidP="00F12768">
      <w:pPr>
        <w:spacing w:after="0" w:line="240" w:lineRule="auto"/>
      </w:pPr>
      <w:r>
        <w:separator/>
      </w:r>
    </w:p>
  </w:endnote>
  <w:endnote w:type="continuationSeparator" w:id="0">
    <w:p w14:paraId="6203E394" w14:textId="77777777" w:rsidR="009570A7" w:rsidRDefault="009570A7" w:rsidP="00F1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A418E" w14:textId="77777777" w:rsidR="009570A7" w:rsidRDefault="009570A7" w:rsidP="003627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56757" w14:textId="77777777" w:rsidR="009570A7" w:rsidRDefault="009570A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9F106" w14:textId="77777777" w:rsidR="009570A7" w:rsidRDefault="009570A7" w:rsidP="003627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03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452931" w14:textId="77777777" w:rsidR="009570A7" w:rsidRDefault="009570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E3903" w14:textId="77777777" w:rsidR="009570A7" w:rsidRDefault="009570A7" w:rsidP="00F12768">
      <w:pPr>
        <w:spacing w:after="0" w:line="240" w:lineRule="auto"/>
      </w:pPr>
      <w:r>
        <w:separator/>
      </w:r>
    </w:p>
  </w:footnote>
  <w:footnote w:type="continuationSeparator" w:id="0">
    <w:p w14:paraId="24ABE061" w14:textId="77777777" w:rsidR="009570A7" w:rsidRDefault="009570A7" w:rsidP="00F12768">
      <w:pPr>
        <w:spacing w:after="0" w:line="240" w:lineRule="auto"/>
      </w:pPr>
      <w:r>
        <w:continuationSeparator/>
      </w:r>
    </w:p>
  </w:footnote>
  <w:footnote w:id="1">
    <w:p w14:paraId="05D1094E" w14:textId="4C64F079" w:rsidR="009570A7" w:rsidRPr="00A50B9B" w:rsidRDefault="009570A7" w:rsidP="00A50B9B">
      <w:pPr>
        <w:tabs>
          <w:tab w:val="center" w:pos="3865"/>
        </w:tabs>
        <w:spacing w:line="240" w:lineRule="auto"/>
        <w:rPr>
          <w:rFonts w:ascii="Times" w:hAnsi="Times"/>
          <w:sz w:val="24"/>
        </w:rPr>
      </w:pPr>
      <w:r w:rsidRPr="00A50B9B">
        <w:rPr>
          <w:rStyle w:val="FootnoteReference"/>
          <w:sz w:val="32"/>
          <w:szCs w:val="32"/>
        </w:rPr>
        <w:sym w:font="Symbol" w:char="F02A"/>
      </w:r>
      <w:r w:rsidRPr="00A50B9B">
        <w:rPr>
          <w:sz w:val="32"/>
          <w:szCs w:val="32"/>
        </w:rPr>
        <w:t xml:space="preserve"> </w:t>
      </w:r>
      <w:r w:rsidRPr="00A50B9B">
        <w:rPr>
          <w:sz w:val="24"/>
          <w:szCs w:val="24"/>
        </w:rPr>
        <w:t>Visiting Professor</w:t>
      </w:r>
      <w:r>
        <w:rPr>
          <w:sz w:val="24"/>
          <w:szCs w:val="24"/>
        </w:rPr>
        <w:t>,</w:t>
      </w:r>
      <w:r w:rsidRPr="00A50B9B">
        <w:rPr>
          <w:sz w:val="24"/>
          <w:szCs w:val="24"/>
        </w:rPr>
        <w:t xml:space="preserve"> Graduate Institute of Development Studies</w:t>
      </w:r>
      <w:r>
        <w:rPr>
          <w:sz w:val="24"/>
          <w:szCs w:val="24"/>
        </w:rPr>
        <w:t>,</w:t>
      </w:r>
      <w:r w:rsidRPr="00A50B9B">
        <w:rPr>
          <w:sz w:val="24"/>
          <w:szCs w:val="24"/>
        </w:rPr>
        <w:t xml:space="preserve"> Lahore School of Economics, Pakistan</w:t>
      </w:r>
      <w:r>
        <w:rPr>
          <w:sz w:val="24"/>
          <w:szCs w:val="24"/>
        </w:rPr>
        <w:t>.</w:t>
      </w:r>
    </w:p>
  </w:footnote>
  <w:footnote w:id="2">
    <w:p w14:paraId="07FF6159" w14:textId="4810EACC" w:rsidR="009570A7" w:rsidRDefault="009570A7">
      <w:pPr>
        <w:pStyle w:val="FootnoteText"/>
      </w:pPr>
      <w:r>
        <w:rPr>
          <w:rStyle w:val="FootnoteReference"/>
        </w:rPr>
        <w:footnoteRef/>
      </w:r>
      <w:r>
        <w:t xml:space="preserve"> OECD, </w:t>
      </w:r>
      <w:r w:rsidRPr="00DC3E18">
        <w:rPr>
          <w:rFonts w:cs="Times New Roman"/>
          <w:u w:val="single"/>
        </w:rPr>
        <w:t>OECD Guidelines for Multinational Enterprises</w:t>
      </w:r>
      <w:r>
        <w:rPr>
          <w:rFonts w:cs="Times New Roman"/>
        </w:rPr>
        <w:t xml:space="preserve"> (1976, and 2011 update).</w:t>
      </w:r>
    </w:p>
  </w:footnote>
  <w:footnote w:id="3">
    <w:p w14:paraId="56B880DA" w14:textId="77777777" w:rsidR="009570A7" w:rsidRDefault="009570A7" w:rsidP="00B9370A">
      <w:pPr>
        <w:pStyle w:val="FootnoteText"/>
      </w:pPr>
      <w:r>
        <w:rPr>
          <w:rStyle w:val="FootnoteReference"/>
        </w:rPr>
        <w:footnoteRef/>
      </w:r>
      <w:r>
        <w:t xml:space="preserve"> Orbis international corporate database, Bureau Van Dijk. See </w:t>
      </w:r>
      <w:hyperlink r:id="rId1" w:history="1">
        <w:r w:rsidRPr="005B3845">
          <w:rPr>
            <w:rStyle w:val="Hyperlink"/>
          </w:rPr>
          <w:t>http://www.bvdinfo.com/en-gb/our-products/company-information/international-products/orbis</w:t>
        </w:r>
      </w:hyperlink>
      <w:r>
        <w:t>.</w:t>
      </w:r>
    </w:p>
  </w:footnote>
  <w:footnote w:id="4">
    <w:p w14:paraId="4433786D" w14:textId="022E65CC" w:rsidR="009570A7" w:rsidRDefault="009570A7">
      <w:pPr>
        <w:pStyle w:val="FootnoteText"/>
      </w:pPr>
      <w:r>
        <w:rPr>
          <w:rStyle w:val="FootnoteReference"/>
        </w:rPr>
        <w:footnoteRef/>
      </w:r>
      <w:r>
        <w:t xml:space="preserve"> UNCTAD, </w:t>
      </w:r>
      <w:r w:rsidRPr="0046110A">
        <w:rPr>
          <w:u w:val="single"/>
        </w:rPr>
        <w:t>World Investment Report 2016</w:t>
      </w:r>
      <w:r>
        <w:t>, p. 1</w:t>
      </w:r>
      <w:r w:rsidR="00523038">
        <w:t>34</w:t>
      </w:r>
      <w:bookmarkStart w:id="0" w:name="_GoBack"/>
      <w:bookmarkEnd w:id="0"/>
      <w:r>
        <w:t>.</w:t>
      </w:r>
    </w:p>
  </w:footnote>
  <w:footnote w:id="5">
    <w:p w14:paraId="5DAFAEA0" w14:textId="77777777" w:rsidR="009570A7" w:rsidRDefault="009570A7" w:rsidP="000A1F37">
      <w:pPr>
        <w:pStyle w:val="FootnoteText"/>
      </w:pPr>
      <w:r>
        <w:rPr>
          <w:rStyle w:val="FootnoteReference"/>
        </w:rPr>
        <w:footnoteRef/>
      </w:r>
      <w:r>
        <w:t xml:space="preserve"> OECD,</w:t>
      </w:r>
      <w:r w:rsidRPr="007D43E3">
        <w:t xml:space="preserve"> </w:t>
      </w:r>
      <w:r w:rsidRPr="007D43E3">
        <w:rPr>
          <w:u w:val="single"/>
        </w:rPr>
        <w:t>Financing SMEs and Entrepreneurs 2015: An OECD Scoreboard</w:t>
      </w:r>
      <w:r w:rsidRPr="007D43E3">
        <w:t>.</w:t>
      </w:r>
    </w:p>
  </w:footnote>
  <w:footnote w:id="6">
    <w:p w14:paraId="334EAB37" w14:textId="281A8C5D" w:rsidR="009570A7" w:rsidRDefault="009570A7">
      <w:pPr>
        <w:pStyle w:val="FootnoteText"/>
      </w:pPr>
      <w:r>
        <w:rPr>
          <w:rStyle w:val="FootnoteReference"/>
        </w:rPr>
        <w:footnoteRef/>
      </w:r>
      <w:r>
        <w:t xml:space="preserve"> For background on the code of conduct, see Khalil Hamdani and Lorraine Ruffing, </w:t>
      </w:r>
      <w:r w:rsidRPr="00BD78A5">
        <w:rPr>
          <w:u w:val="single"/>
        </w:rPr>
        <w:t>United Nations Centre on Transnational Corporations: Corporate conduct and the public interest</w:t>
      </w:r>
      <w:r>
        <w:t xml:space="preserve"> (Routledge, 2015).</w:t>
      </w:r>
    </w:p>
  </w:footnote>
  <w:footnote w:id="7">
    <w:p w14:paraId="07D1BC9F" w14:textId="3F85E6AA" w:rsidR="009570A7" w:rsidRDefault="009570A7">
      <w:pPr>
        <w:pStyle w:val="FootnoteText"/>
      </w:pPr>
      <w:r>
        <w:rPr>
          <w:rStyle w:val="FootnoteReference"/>
        </w:rPr>
        <w:footnoteRef/>
      </w:r>
      <w:r>
        <w:t xml:space="preserve"> As of September 2016. See UNCTAD </w:t>
      </w:r>
      <w:hyperlink r:id="rId2" w:history="1">
        <w:r w:rsidRPr="005B3845">
          <w:rPr>
            <w:rStyle w:val="Hyperlink"/>
          </w:rPr>
          <w:t>http://investmentpolicyhub.unctad.org/IIA</w:t>
        </w:r>
      </w:hyperlink>
      <w:r>
        <w:t>.</w:t>
      </w:r>
    </w:p>
  </w:footnote>
  <w:footnote w:id="8">
    <w:p w14:paraId="564471AB" w14:textId="3F4A7D81" w:rsidR="009570A7" w:rsidRDefault="009570A7">
      <w:pPr>
        <w:pStyle w:val="FootnoteText"/>
      </w:pPr>
      <w:r>
        <w:rPr>
          <w:rStyle w:val="FootnoteReference"/>
        </w:rPr>
        <w:footnoteRef/>
      </w:r>
      <w:r>
        <w:t xml:space="preserve"> See Karl P. Sauvant and Khalil Hamdani, </w:t>
      </w:r>
      <w:r w:rsidRPr="004635F8">
        <w:rPr>
          <w:u w:val="single"/>
        </w:rPr>
        <w:t>An International Support Programme for Sustainable Investment Facilitation</w:t>
      </w:r>
      <w:r>
        <w:t xml:space="preserve"> (Geneva: E15 Initiative of the ICSTD and World Economic Forum, 28 July 2015) available at </w:t>
      </w:r>
      <w:hyperlink r:id="rId3" w:history="1">
        <w:r w:rsidRPr="005C5E54">
          <w:rPr>
            <w:rStyle w:val="Hyperlink"/>
          </w:rPr>
          <w:t>http://www.ictsd.org/sites/default/files/research/E15-Investment-Sauvant%20and%20Hamdani-FINAL.pdf</w:t>
        </w:r>
      </w:hyperlink>
      <w:r>
        <w:t xml:space="preserve">. </w:t>
      </w:r>
    </w:p>
  </w:footnote>
  <w:footnote w:id="9">
    <w:p w14:paraId="75ECA7B7" w14:textId="12EB11FE" w:rsidR="009570A7" w:rsidRPr="00B95C6C" w:rsidRDefault="009570A7" w:rsidP="0027622D">
      <w:pPr>
        <w:pStyle w:val="FootnoteText"/>
      </w:pPr>
      <w:r w:rsidRPr="008252D2">
        <w:rPr>
          <w:rStyle w:val="FootnoteReference"/>
        </w:rPr>
        <w:footnoteRef/>
      </w:r>
      <w:r w:rsidRPr="008252D2">
        <w:t xml:space="preserve"> According to UNCTAD, </w:t>
      </w:r>
      <w:r w:rsidRPr="008252D2">
        <w:rPr>
          <w:u w:val="single"/>
        </w:rPr>
        <w:t>World Investment Report 2014</w:t>
      </w:r>
      <w:r w:rsidRPr="008252D2">
        <w:t>, developing countries face an annual investment gap of $2.5 trillion for meeting the resource demands of the SDGs.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8"/>
    <w:rsid w:val="00006A6C"/>
    <w:rsid w:val="00030DAA"/>
    <w:rsid w:val="000442EC"/>
    <w:rsid w:val="000630AC"/>
    <w:rsid w:val="00070DA2"/>
    <w:rsid w:val="000741A5"/>
    <w:rsid w:val="00087C6B"/>
    <w:rsid w:val="000A1F37"/>
    <w:rsid w:val="000D10B7"/>
    <w:rsid w:val="000E650F"/>
    <w:rsid w:val="000F2E8A"/>
    <w:rsid w:val="000F431A"/>
    <w:rsid w:val="000F4A7D"/>
    <w:rsid w:val="00107F68"/>
    <w:rsid w:val="00122236"/>
    <w:rsid w:val="001529B2"/>
    <w:rsid w:val="00156A68"/>
    <w:rsid w:val="0017058A"/>
    <w:rsid w:val="001821BB"/>
    <w:rsid w:val="001A3BDA"/>
    <w:rsid w:val="001D718D"/>
    <w:rsid w:val="001E73DB"/>
    <w:rsid w:val="002010EB"/>
    <w:rsid w:val="002133CE"/>
    <w:rsid w:val="00214CF6"/>
    <w:rsid w:val="00245190"/>
    <w:rsid w:val="00247E7D"/>
    <w:rsid w:val="00260BB9"/>
    <w:rsid w:val="0026408C"/>
    <w:rsid w:val="0027622D"/>
    <w:rsid w:val="002771AD"/>
    <w:rsid w:val="002A4ABF"/>
    <w:rsid w:val="002A655D"/>
    <w:rsid w:val="002E7667"/>
    <w:rsid w:val="002F5CFD"/>
    <w:rsid w:val="0030712C"/>
    <w:rsid w:val="003247F3"/>
    <w:rsid w:val="003357F0"/>
    <w:rsid w:val="003474A5"/>
    <w:rsid w:val="00351B24"/>
    <w:rsid w:val="00351F46"/>
    <w:rsid w:val="0036278F"/>
    <w:rsid w:val="00375586"/>
    <w:rsid w:val="0038640F"/>
    <w:rsid w:val="003A52B7"/>
    <w:rsid w:val="003B3CC0"/>
    <w:rsid w:val="003D56B5"/>
    <w:rsid w:val="00400D35"/>
    <w:rsid w:val="004078C6"/>
    <w:rsid w:val="0046110A"/>
    <w:rsid w:val="004619B2"/>
    <w:rsid w:val="004635F8"/>
    <w:rsid w:val="00476F48"/>
    <w:rsid w:val="0048353E"/>
    <w:rsid w:val="004B5CD9"/>
    <w:rsid w:val="004F0720"/>
    <w:rsid w:val="00512713"/>
    <w:rsid w:val="0051472F"/>
    <w:rsid w:val="005210A9"/>
    <w:rsid w:val="00523038"/>
    <w:rsid w:val="005369BB"/>
    <w:rsid w:val="005372AD"/>
    <w:rsid w:val="005419FE"/>
    <w:rsid w:val="005452EC"/>
    <w:rsid w:val="005816DE"/>
    <w:rsid w:val="00582747"/>
    <w:rsid w:val="005B351E"/>
    <w:rsid w:val="005B7AD1"/>
    <w:rsid w:val="005D4EA7"/>
    <w:rsid w:val="005E0FD3"/>
    <w:rsid w:val="00612C8F"/>
    <w:rsid w:val="00622E90"/>
    <w:rsid w:val="00624723"/>
    <w:rsid w:val="006527AE"/>
    <w:rsid w:val="006577F6"/>
    <w:rsid w:val="00685BAE"/>
    <w:rsid w:val="006D3795"/>
    <w:rsid w:val="006F1F24"/>
    <w:rsid w:val="006F7A03"/>
    <w:rsid w:val="00705EB8"/>
    <w:rsid w:val="00717C15"/>
    <w:rsid w:val="007238CD"/>
    <w:rsid w:val="007243CA"/>
    <w:rsid w:val="00734B21"/>
    <w:rsid w:val="00737EDB"/>
    <w:rsid w:val="00767BD5"/>
    <w:rsid w:val="00774019"/>
    <w:rsid w:val="00777490"/>
    <w:rsid w:val="007957C2"/>
    <w:rsid w:val="007A1A3C"/>
    <w:rsid w:val="007C7781"/>
    <w:rsid w:val="007D43E3"/>
    <w:rsid w:val="007D4DB2"/>
    <w:rsid w:val="007E48FB"/>
    <w:rsid w:val="007E5A62"/>
    <w:rsid w:val="00817CE3"/>
    <w:rsid w:val="00822385"/>
    <w:rsid w:val="008252D2"/>
    <w:rsid w:val="00840875"/>
    <w:rsid w:val="008540AB"/>
    <w:rsid w:val="00871777"/>
    <w:rsid w:val="00885C1F"/>
    <w:rsid w:val="008951BE"/>
    <w:rsid w:val="008A381B"/>
    <w:rsid w:val="008A6C69"/>
    <w:rsid w:val="008E5088"/>
    <w:rsid w:val="008E7C87"/>
    <w:rsid w:val="008E7FD9"/>
    <w:rsid w:val="00905417"/>
    <w:rsid w:val="00910F4A"/>
    <w:rsid w:val="00914109"/>
    <w:rsid w:val="00925E0D"/>
    <w:rsid w:val="0092602E"/>
    <w:rsid w:val="00930387"/>
    <w:rsid w:val="00932AD1"/>
    <w:rsid w:val="00946945"/>
    <w:rsid w:val="009570A7"/>
    <w:rsid w:val="00976C93"/>
    <w:rsid w:val="009A4D3B"/>
    <w:rsid w:val="009C082E"/>
    <w:rsid w:val="009E1F1D"/>
    <w:rsid w:val="00A3265D"/>
    <w:rsid w:val="00A41C91"/>
    <w:rsid w:val="00A440D6"/>
    <w:rsid w:val="00A50B9B"/>
    <w:rsid w:val="00A5348F"/>
    <w:rsid w:val="00A759B2"/>
    <w:rsid w:val="00A81B79"/>
    <w:rsid w:val="00AB5E8C"/>
    <w:rsid w:val="00AC5E8B"/>
    <w:rsid w:val="00AD6948"/>
    <w:rsid w:val="00AE6E90"/>
    <w:rsid w:val="00AF4121"/>
    <w:rsid w:val="00AF54DB"/>
    <w:rsid w:val="00B05CBD"/>
    <w:rsid w:val="00B22B8A"/>
    <w:rsid w:val="00B23E66"/>
    <w:rsid w:val="00B26918"/>
    <w:rsid w:val="00B7020F"/>
    <w:rsid w:val="00B9370A"/>
    <w:rsid w:val="00B95C6C"/>
    <w:rsid w:val="00BC1A6D"/>
    <w:rsid w:val="00BD78A5"/>
    <w:rsid w:val="00BE3BCE"/>
    <w:rsid w:val="00BF518E"/>
    <w:rsid w:val="00C172F8"/>
    <w:rsid w:val="00C259F5"/>
    <w:rsid w:val="00C275D3"/>
    <w:rsid w:val="00C40D0F"/>
    <w:rsid w:val="00C56A1D"/>
    <w:rsid w:val="00C722B5"/>
    <w:rsid w:val="00C727D9"/>
    <w:rsid w:val="00C74AC6"/>
    <w:rsid w:val="00C83A35"/>
    <w:rsid w:val="00C83F2D"/>
    <w:rsid w:val="00C842E6"/>
    <w:rsid w:val="00C87F02"/>
    <w:rsid w:val="00C96CBC"/>
    <w:rsid w:val="00CB3D52"/>
    <w:rsid w:val="00CD4FB5"/>
    <w:rsid w:val="00CE34B0"/>
    <w:rsid w:val="00D06347"/>
    <w:rsid w:val="00D119A0"/>
    <w:rsid w:val="00D173E5"/>
    <w:rsid w:val="00D2691D"/>
    <w:rsid w:val="00D30433"/>
    <w:rsid w:val="00D4520E"/>
    <w:rsid w:val="00D618C6"/>
    <w:rsid w:val="00D96553"/>
    <w:rsid w:val="00DB3218"/>
    <w:rsid w:val="00DB4F7A"/>
    <w:rsid w:val="00DB52CF"/>
    <w:rsid w:val="00DC3E18"/>
    <w:rsid w:val="00DF6E86"/>
    <w:rsid w:val="00E11728"/>
    <w:rsid w:val="00E35AA9"/>
    <w:rsid w:val="00E514DD"/>
    <w:rsid w:val="00E72FF9"/>
    <w:rsid w:val="00E74DBF"/>
    <w:rsid w:val="00E8562A"/>
    <w:rsid w:val="00E97475"/>
    <w:rsid w:val="00EA1D3F"/>
    <w:rsid w:val="00EA2BF6"/>
    <w:rsid w:val="00EA69B9"/>
    <w:rsid w:val="00EB394C"/>
    <w:rsid w:val="00EB465A"/>
    <w:rsid w:val="00EC4D7C"/>
    <w:rsid w:val="00ED03F8"/>
    <w:rsid w:val="00EE6FCB"/>
    <w:rsid w:val="00EF7A0D"/>
    <w:rsid w:val="00F05C7A"/>
    <w:rsid w:val="00F12768"/>
    <w:rsid w:val="00F47C80"/>
    <w:rsid w:val="00F51BE4"/>
    <w:rsid w:val="00F65EF9"/>
    <w:rsid w:val="00F72229"/>
    <w:rsid w:val="00F976BD"/>
    <w:rsid w:val="00FA7708"/>
    <w:rsid w:val="00FB0555"/>
    <w:rsid w:val="00FC5836"/>
    <w:rsid w:val="00FD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B1A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6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87F02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F1276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768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F12768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AE6E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AE6E90"/>
    <w:rPr>
      <w:rFonts w:ascii="Times New Roman" w:eastAsiaTheme="minorHAnsi" w:hAnsi="Times New Roman" w:cs="Times New Roman"/>
    </w:rPr>
  </w:style>
  <w:style w:type="character" w:styleId="EndnoteReference">
    <w:name w:val="endnote reference"/>
    <w:basedOn w:val="DefaultParagraphFont"/>
    <w:unhideWhenUsed/>
    <w:rsid w:val="00AE6E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3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6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27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8F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627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68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C87F02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F1276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2768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F12768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AE6E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rsid w:val="00AE6E90"/>
    <w:rPr>
      <w:rFonts w:ascii="Times New Roman" w:eastAsiaTheme="minorHAnsi" w:hAnsi="Times New Roman" w:cs="Times New Roman"/>
    </w:rPr>
  </w:style>
  <w:style w:type="character" w:styleId="EndnoteReference">
    <w:name w:val="endnote reference"/>
    <w:basedOn w:val="DefaultParagraphFont"/>
    <w:unhideWhenUsed/>
    <w:rsid w:val="00AE6E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38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6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27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8F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6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dinfo.com/en-gb/our-products/company-information/international-products/orbis" TargetMode="External"/><Relationship Id="rId2" Type="http://schemas.openxmlformats.org/officeDocument/2006/relationships/hyperlink" Target="http://investmentpolicyhub.unctad.org/IIA" TargetMode="External"/><Relationship Id="rId3" Type="http://schemas.openxmlformats.org/officeDocument/2006/relationships/hyperlink" Target="http://www.ictsd.org/sites/default/files/research/E15-Investment-Sauvant%20and%20Hamdani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830695-AC54-4F25-93BA-59C38D30B57F}"/>
</file>

<file path=customXml/itemProps2.xml><?xml version="1.0" encoding="utf-8"?>
<ds:datastoreItem xmlns:ds="http://schemas.openxmlformats.org/officeDocument/2006/customXml" ds:itemID="{3C5BC394-2C92-443E-BAA3-A407F8174B23}"/>
</file>

<file path=customXml/itemProps3.xml><?xml version="1.0" encoding="utf-8"?>
<ds:datastoreItem xmlns:ds="http://schemas.openxmlformats.org/officeDocument/2006/customXml" ds:itemID="{1458CEB1-BAF7-4D98-B98E-DEBA822092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1041</Words>
  <Characters>5934</Characters>
  <Application>Microsoft Macintosh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 hamdani</dc:creator>
  <cp:keywords/>
  <dc:description/>
  <cp:lastModifiedBy>khalil hamdani</cp:lastModifiedBy>
  <cp:revision>9</cp:revision>
  <cp:lastPrinted>2016-10-24T15:55:00Z</cp:lastPrinted>
  <dcterms:created xsi:type="dcterms:W3CDTF">2016-10-24T16:07:00Z</dcterms:created>
  <dcterms:modified xsi:type="dcterms:W3CDTF">2016-10-28T10:08:00Z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3826900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