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17" w:rsidRPr="00DD0B9A" w:rsidRDefault="00AD2717" w:rsidP="00AD2717">
      <w:pPr>
        <w:pStyle w:val="Cuerpo"/>
        <w:spacing w:after="0" w:line="240" w:lineRule="auto"/>
        <w:jc w:val="both"/>
        <w:rPr>
          <w:rFonts w:ascii="Times New Roman" w:hAnsi="Times New Roman" w:cs="Times New Roman"/>
          <w:sz w:val="28"/>
          <w:szCs w:val="28"/>
        </w:rPr>
      </w:pPr>
      <w:r w:rsidRPr="00DD0B9A">
        <w:rPr>
          <w:rFonts w:ascii="Times New Roman" w:hAnsi="Times New Roman" w:cs="Times New Roman"/>
          <w:sz w:val="28"/>
          <w:szCs w:val="28"/>
          <w:u w:val="single"/>
        </w:rPr>
        <w:t>Intervention at Panel VI</w:t>
      </w:r>
      <w:r w:rsidRPr="00DD0B9A">
        <w:rPr>
          <w:rFonts w:ascii="Times New Roman" w:hAnsi="Times New Roman" w:cs="Times New Roman"/>
          <w:sz w:val="28"/>
          <w:szCs w:val="28"/>
        </w:rPr>
        <w:t xml:space="preserve">: Lessons learned and challenges to access to remedy (selected cases from different sectors and regions). </w:t>
      </w:r>
      <w:r w:rsidR="0039000D" w:rsidRPr="00DD0B9A">
        <w:rPr>
          <w:rFonts w:ascii="Times New Roman" w:hAnsi="Times New Roman" w:cs="Times New Roman"/>
          <w:b/>
          <w:sz w:val="28"/>
          <w:szCs w:val="28"/>
        </w:rPr>
        <w:t>Intervention by</w:t>
      </w:r>
      <w:r w:rsidR="0039000D" w:rsidRPr="00DD0B9A">
        <w:rPr>
          <w:rFonts w:ascii="Times New Roman" w:hAnsi="Times New Roman" w:cs="Times New Roman"/>
          <w:sz w:val="28"/>
          <w:szCs w:val="28"/>
        </w:rPr>
        <w:t xml:space="preserve"> </w:t>
      </w:r>
      <w:r w:rsidRPr="00DD0B9A">
        <w:rPr>
          <w:rFonts w:ascii="Times New Roman" w:hAnsi="Times New Roman" w:cs="Times New Roman"/>
          <w:b/>
          <w:sz w:val="28"/>
          <w:szCs w:val="28"/>
        </w:rPr>
        <w:t>Claudia Müller-Hoff, European Center for Constitutional and Human Rights</w:t>
      </w:r>
    </w:p>
    <w:p w:rsidR="00CB44A5" w:rsidRPr="00DD0B9A" w:rsidRDefault="00CB44A5">
      <w:pPr>
        <w:rPr>
          <w:sz w:val="28"/>
          <w:szCs w:val="28"/>
        </w:rPr>
      </w:pPr>
    </w:p>
    <w:p w:rsidR="007B2CB8" w:rsidRPr="00DD0B9A" w:rsidRDefault="00027BCA">
      <w:pPr>
        <w:rPr>
          <w:sz w:val="28"/>
          <w:szCs w:val="28"/>
        </w:rPr>
      </w:pPr>
      <w:r w:rsidRPr="00DD0B9A">
        <w:rPr>
          <w:sz w:val="28"/>
          <w:szCs w:val="28"/>
        </w:rPr>
        <w:t xml:space="preserve">Thank you very much </w:t>
      </w:r>
      <w:r w:rsidR="005E404B" w:rsidRPr="00DD0B9A">
        <w:rPr>
          <w:sz w:val="28"/>
          <w:szCs w:val="28"/>
        </w:rPr>
        <w:t>for t</w:t>
      </w:r>
      <w:r w:rsidRPr="00DD0B9A">
        <w:rPr>
          <w:sz w:val="28"/>
          <w:szCs w:val="28"/>
        </w:rPr>
        <w:t xml:space="preserve">he opportunity to share our experiences </w:t>
      </w:r>
      <w:r w:rsidR="00D516F2" w:rsidRPr="00DD0B9A">
        <w:rPr>
          <w:sz w:val="28"/>
          <w:szCs w:val="28"/>
        </w:rPr>
        <w:t>at the European Center for Constitutional and Human Rights, ECCHR. We conduct and support litigation and other legal intervention</w:t>
      </w:r>
      <w:r w:rsidR="0039000D" w:rsidRPr="00DD0B9A">
        <w:rPr>
          <w:sz w:val="28"/>
          <w:szCs w:val="28"/>
        </w:rPr>
        <w:t>s</w:t>
      </w:r>
      <w:r w:rsidR="00D516F2" w:rsidRPr="00DD0B9A">
        <w:rPr>
          <w:sz w:val="28"/>
          <w:szCs w:val="28"/>
        </w:rPr>
        <w:t xml:space="preserve"> in cases </w:t>
      </w:r>
      <w:r w:rsidR="0039000D" w:rsidRPr="00DD0B9A">
        <w:rPr>
          <w:sz w:val="28"/>
          <w:szCs w:val="28"/>
        </w:rPr>
        <w:t xml:space="preserve">about </w:t>
      </w:r>
      <w:r w:rsidR="00D516F2" w:rsidRPr="00DD0B9A">
        <w:rPr>
          <w:sz w:val="28"/>
          <w:szCs w:val="28"/>
        </w:rPr>
        <w:t>transnational corporations’ presumed involvement in human rights violations, in home and host states, on behalf of or in support of the victims. This includes criminal actions against a parent company; civil actions</w:t>
      </w:r>
      <w:r w:rsidR="006F71F5" w:rsidRPr="00DD0B9A">
        <w:rPr>
          <w:sz w:val="28"/>
          <w:szCs w:val="28"/>
        </w:rPr>
        <w:t>,</w:t>
      </w:r>
      <w:r w:rsidR="00D516F2" w:rsidRPr="00DD0B9A">
        <w:rPr>
          <w:sz w:val="28"/>
          <w:szCs w:val="28"/>
        </w:rPr>
        <w:t xml:space="preserve"> under tort law or under commercial law; administrative actions</w:t>
      </w:r>
      <w:r w:rsidR="000044A4" w:rsidRPr="00DD0B9A">
        <w:rPr>
          <w:sz w:val="28"/>
          <w:szCs w:val="28"/>
        </w:rPr>
        <w:t>;</w:t>
      </w:r>
      <w:r w:rsidR="00D516F2" w:rsidRPr="00DD0B9A">
        <w:rPr>
          <w:sz w:val="28"/>
          <w:szCs w:val="28"/>
        </w:rPr>
        <w:t xml:space="preserve"> amicus curiae interventions in host state legal proceedings or in international fora such the ICSID tribunals for investment disputes; reports and complaints to </w:t>
      </w:r>
      <w:r w:rsidR="00BB3305" w:rsidRPr="00DD0B9A">
        <w:rPr>
          <w:sz w:val="28"/>
          <w:szCs w:val="28"/>
        </w:rPr>
        <w:t xml:space="preserve">different </w:t>
      </w:r>
      <w:r w:rsidR="00D516F2" w:rsidRPr="00DD0B9A">
        <w:rPr>
          <w:sz w:val="28"/>
          <w:szCs w:val="28"/>
        </w:rPr>
        <w:t xml:space="preserve">UN </w:t>
      </w:r>
      <w:r w:rsidR="00BB3305" w:rsidRPr="00DD0B9A">
        <w:rPr>
          <w:sz w:val="28"/>
          <w:szCs w:val="28"/>
        </w:rPr>
        <w:t>instances</w:t>
      </w:r>
      <w:r w:rsidR="00D516F2" w:rsidRPr="00DD0B9A">
        <w:rPr>
          <w:sz w:val="28"/>
          <w:szCs w:val="28"/>
        </w:rPr>
        <w:t>, and also complaints under soft-law instruments such as the OECD-Guidelines for Multinationa</w:t>
      </w:r>
      <w:r w:rsidR="0039000D" w:rsidRPr="00DD0B9A">
        <w:rPr>
          <w:sz w:val="28"/>
          <w:szCs w:val="28"/>
        </w:rPr>
        <w:t>l Enterprises and Human Rights.</w:t>
      </w:r>
      <w:r w:rsidR="007B2CB8" w:rsidRPr="00DD0B9A">
        <w:rPr>
          <w:sz w:val="28"/>
          <w:szCs w:val="28"/>
        </w:rPr>
        <w:t xml:space="preserve"> </w:t>
      </w:r>
    </w:p>
    <w:p w:rsidR="0039000D" w:rsidRPr="00DD0B9A" w:rsidRDefault="00362025">
      <w:pPr>
        <w:rPr>
          <w:sz w:val="28"/>
          <w:szCs w:val="28"/>
        </w:rPr>
      </w:pPr>
      <w:r w:rsidRPr="00DD0B9A">
        <w:rPr>
          <w:sz w:val="28"/>
          <w:szCs w:val="28"/>
        </w:rPr>
        <w:t xml:space="preserve">Our </w:t>
      </w:r>
      <w:r w:rsidR="0039000D" w:rsidRPr="00DD0B9A">
        <w:rPr>
          <w:sz w:val="28"/>
          <w:szCs w:val="28"/>
        </w:rPr>
        <w:t>cases</w:t>
      </w:r>
      <w:r w:rsidRPr="00DD0B9A">
        <w:rPr>
          <w:sz w:val="28"/>
          <w:szCs w:val="28"/>
        </w:rPr>
        <w:t xml:space="preserve"> </w:t>
      </w:r>
      <w:r w:rsidR="0039000D" w:rsidRPr="00DD0B9A">
        <w:rPr>
          <w:sz w:val="28"/>
          <w:szCs w:val="28"/>
        </w:rPr>
        <w:t xml:space="preserve">ocurr </w:t>
      </w:r>
      <w:r w:rsidR="000044A4" w:rsidRPr="00DD0B9A">
        <w:rPr>
          <w:sz w:val="28"/>
          <w:szCs w:val="28"/>
        </w:rPr>
        <w:t xml:space="preserve">in countries </w:t>
      </w:r>
      <w:r w:rsidR="0039000D" w:rsidRPr="00DD0B9A">
        <w:rPr>
          <w:sz w:val="28"/>
          <w:szCs w:val="28"/>
        </w:rPr>
        <w:t>all over th</w:t>
      </w:r>
      <w:r w:rsidR="007B2CB8" w:rsidRPr="00DD0B9A">
        <w:rPr>
          <w:sz w:val="28"/>
          <w:szCs w:val="28"/>
        </w:rPr>
        <w:t>e</w:t>
      </w:r>
      <w:r w:rsidR="0039000D" w:rsidRPr="00DD0B9A">
        <w:rPr>
          <w:sz w:val="28"/>
          <w:szCs w:val="28"/>
        </w:rPr>
        <w:t xml:space="preserve"> world, </w:t>
      </w:r>
      <w:r w:rsidR="000044A4" w:rsidRPr="00DD0B9A">
        <w:rPr>
          <w:sz w:val="28"/>
          <w:szCs w:val="28"/>
        </w:rPr>
        <w:t xml:space="preserve">in the Americas, Africa, Asia and Europe. </w:t>
      </w:r>
    </w:p>
    <w:p w:rsidR="005633B2" w:rsidRPr="00DD0B9A" w:rsidRDefault="007B2CB8" w:rsidP="00DB01EF">
      <w:pPr>
        <w:rPr>
          <w:sz w:val="28"/>
          <w:szCs w:val="28"/>
        </w:rPr>
      </w:pPr>
      <w:r w:rsidRPr="00DD0B9A">
        <w:rPr>
          <w:sz w:val="28"/>
          <w:szCs w:val="28"/>
        </w:rPr>
        <w:t xml:space="preserve">Access to remedy is </w:t>
      </w:r>
      <w:r w:rsidR="00362025" w:rsidRPr="00DD0B9A">
        <w:rPr>
          <w:sz w:val="28"/>
          <w:szCs w:val="28"/>
        </w:rPr>
        <w:t xml:space="preserve">a necessary element if we want to end impunity. </w:t>
      </w:r>
      <w:r w:rsidRPr="00DD0B9A">
        <w:rPr>
          <w:sz w:val="28"/>
          <w:szCs w:val="28"/>
        </w:rPr>
        <w:t>However, in our experience, o</w:t>
      </w:r>
      <w:r w:rsidR="00DB01EF" w:rsidRPr="00DD0B9A">
        <w:rPr>
          <w:sz w:val="28"/>
          <w:szCs w:val="28"/>
        </w:rPr>
        <w:t xml:space="preserve">nly in a few of </w:t>
      </w:r>
      <w:r w:rsidRPr="00DD0B9A">
        <w:rPr>
          <w:sz w:val="28"/>
          <w:szCs w:val="28"/>
        </w:rPr>
        <w:t xml:space="preserve">our </w:t>
      </w:r>
      <w:r w:rsidR="00DB01EF" w:rsidRPr="00DD0B9A">
        <w:rPr>
          <w:sz w:val="28"/>
          <w:szCs w:val="28"/>
        </w:rPr>
        <w:t xml:space="preserve">cases are we able to include those affected actively and with formal standing in the proceedings: </w:t>
      </w:r>
      <w:r w:rsidRPr="00DD0B9A">
        <w:rPr>
          <w:sz w:val="28"/>
          <w:szCs w:val="28"/>
        </w:rPr>
        <w:t>And this is not a coincidence: corporate Human Rights violations tend to affect those most vulnerable, most marginalized by society and most disenfranchised</w:t>
      </w:r>
      <w:r w:rsidR="00362025" w:rsidRPr="00DD0B9A">
        <w:rPr>
          <w:sz w:val="28"/>
          <w:szCs w:val="28"/>
        </w:rPr>
        <w:t>, for whom access to justice is particularly difficult</w:t>
      </w:r>
      <w:r w:rsidRPr="00DD0B9A">
        <w:rPr>
          <w:sz w:val="28"/>
          <w:szCs w:val="28"/>
        </w:rPr>
        <w:t xml:space="preserve">: </w:t>
      </w:r>
      <w:r w:rsidR="006F71F5" w:rsidRPr="00DD0B9A">
        <w:rPr>
          <w:sz w:val="28"/>
          <w:szCs w:val="28"/>
        </w:rPr>
        <w:t>children, illiterate labourers, landless peasants, migrant labourers, rural population and displacede persons, trade unionists and political opponents in conditions of violent repression.</w:t>
      </w:r>
      <w:r w:rsidR="00362025" w:rsidRPr="00DD0B9A">
        <w:rPr>
          <w:sz w:val="28"/>
          <w:szCs w:val="28"/>
        </w:rPr>
        <w:t xml:space="preserve"> </w:t>
      </w:r>
    </w:p>
    <w:p w:rsidR="00712B98" w:rsidRPr="00DD0B9A" w:rsidRDefault="002B1D54" w:rsidP="00DB01EF">
      <w:pPr>
        <w:rPr>
          <w:sz w:val="28"/>
          <w:szCs w:val="28"/>
        </w:rPr>
      </w:pPr>
      <w:r w:rsidRPr="00DD0B9A">
        <w:rPr>
          <w:sz w:val="28"/>
          <w:szCs w:val="28"/>
        </w:rPr>
        <w:t xml:space="preserve">This </w:t>
      </w:r>
      <w:r w:rsidR="000044A4" w:rsidRPr="00DD0B9A">
        <w:rPr>
          <w:sz w:val="28"/>
          <w:szCs w:val="28"/>
        </w:rPr>
        <w:t xml:space="preserve">is </w:t>
      </w:r>
      <w:r w:rsidR="005633B2" w:rsidRPr="00DD0B9A">
        <w:rPr>
          <w:sz w:val="28"/>
          <w:szCs w:val="28"/>
        </w:rPr>
        <w:t>no coincidence, because corporations seek conditions where their investment involves least risks</w:t>
      </w:r>
      <w:r w:rsidR="006F71F5" w:rsidRPr="00DD0B9A">
        <w:rPr>
          <w:sz w:val="28"/>
          <w:szCs w:val="28"/>
        </w:rPr>
        <w:t xml:space="preserve">: </w:t>
      </w:r>
      <w:r w:rsidR="00712B98" w:rsidRPr="00DD0B9A">
        <w:rPr>
          <w:sz w:val="28"/>
          <w:szCs w:val="28"/>
        </w:rPr>
        <w:t>where natural resources can be accessed easily without the risk of high environmental standards or opposition by indigenous groups; where labour is cheap because labor rights are not enfor</w:t>
      </w:r>
      <w:r w:rsidR="009017AD" w:rsidRPr="00DD0B9A">
        <w:rPr>
          <w:sz w:val="28"/>
          <w:szCs w:val="28"/>
        </w:rPr>
        <w:t>c</w:t>
      </w:r>
      <w:r w:rsidR="00712B98" w:rsidRPr="00DD0B9A">
        <w:rPr>
          <w:sz w:val="28"/>
          <w:szCs w:val="28"/>
        </w:rPr>
        <w:t xml:space="preserve">ed and trade unions are suppressed; and where democratic opposition is effectively repressed. </w:t>
      </w:r>
    </w:p>
    <w:p w:rsidR="00D516F2" w:rsidRPr="00DD0B9A" w:rsidRDefault="002B1D54">
      <w:pPr>
        <w:rPr>
          <w:sz w:val="28"/>
          <w:szCs w:val="28"/>
        </w:rPr>
      </w:pPr>
      <w:r w:rsidRPr="00DD0B9A">
        <w:rPr>
          <w:sz w:val="28"/>
          <w:szCs w:val="28"/>
        </w:rPr>
        <w:t>W</w:t>
      </w:r>
      <w:r w:rsidR="00D516F2" w:rsidRPr="00DD0B9A">
        <w:rPr>
          <w:sz w:val="28"/>
          <w:szCs w:val="28"/>
        </w:rPr>
        <w:t>e identify several problems with effective access to remedies across different jurisdictions</w:t>
      </w:r>
      <w:r w:rsidR="000044A4" w:rsidRPr="00DD0B9A">
        <w:rPr>
          <w:sz w:val="28"/>
          <w:szCs w:val="28"/>
        </w:rPr>
        <w:t xml:space="preserve"> in our cases</w:t>
      </w:r>
      <w:r w:rsidR="00D516F2" w:rsidRPr="00DD0B9A">
        <w:rPr>
          <w:sz w:val="28"/>
          <w:szCs w:val="28"/>
        </w:rPr>
        <w:t xml:space="preserve">: </w:t>
      </w:r>
    </w:p>
    <w:p w:rsidR="00281B21" w:rsidRPr="00DD0B9A" w:rsidRDefault="006F71F5" w:rsidP="00281B21">
      <w:pPr>
        <w:pStyle w:val="Listenabsatz"/>
        <w:numPr>
          <w:ilvl w:val="0"/>
          <w:numId w:val="2"/>
        </w:numPr>
        <w:rPr>
          <w:b/>
          <w:sz w:val="28"/>
          <w:szCs w:val="28"/>
        </w:rPr>
      </w:pPr>
      <w:r w:rsidRPr="00DD0B9A">
        <w:rPr>
          <w:b/>
          <w:sz w:val="28"/>
          <w:szCs w:val="28"/>
        </w:rPr>
        <w:t>First, o</w:t>
      </w:r>
      <w:r w:rsidR="00281B21" w:rsidRPr="00DD0B9A">
        <w:rPr>
          <w:b/>
          <w:sz w:val="28"/>
          <w:szCs w:val="28"/>
        </w:rPr>
        <w:t xml:space="preserve">n the question of legal standing </w:t>
      </w:r>
    </w:p>
    <w:p w:rsidR="00281B21" w:rsidRPr="00DD0B9A" w:rsidRDefault="002B1D54" w:rsidP="002B1D54">
      <w:pPr>
        <w:rPr>
          <w:sz w:val="28"/>
          <w:szCs w:val="28"/>
        </w:rPr>
      </w:pPr>
      <w:r w:rsidRPr="00DD0B9A">
        <w:rPr>
          <w:sz w:val="28"/>
          <w:szCs w:val="28"/>
        </w:rPr>
        <w:t>A</w:t>
      </w:r>
      <w:r w:rsidR="00281B21" w:rsidRPr="00DD0B9A">
        <w:rPr>
          <w:sz w:val="28"/>
          <w:szCs w:val="28"/>
        </w:rPr>
        <w:t xml:space="preserve">ffected persons not only have practical difficulties to access the courts, they also often </w:t>
      </w:r>
      <w:r w:rsidR="00354872" w:rsidRPr="00DD0B9A">
        <w:rPr>
          <w:sz w:val="28"/>
          <w:szCs w:val="28"/>
        </w:rPr>
        <w:t xml:space="preserve">lack </w:t>
      </w:r>
      <w:r w:rsidR="00281B21" w:rsidRPr="00DD0B9A">
        <w:rPr>
          <w:i/>
          <w:sz w:val="28"/>
          <w:szCs w:val="28"/>
        </w:rPr>
        <w:t>legal</w:t>
      </w:r>
      <w:r w:rsidR="00281B21" w:rsidRPr="00DD0B9A">
        <w:rPr>
          <w:sz w:val="28"/>
          <w:szCs w:val="28"/>
        </w:rPr>
        <w:t xml:space="preserve"> </w:t>
      </w:r>
      <w:r w:rsidR="00281B21" w:rsidRPr="00DD0B9A">
        <w:rPr>
          <w:i/>
          <w:sz w:val="28"/>
          <w:szCs w:val="28"/>
        </w:rPr>
        <w:t>standing</w:t>
      </w:r>
      <w:r w:rsidR="00281B21" w:rsidRPr="00DD0B9A">
        <w:rPr>
          <w:sz w:val="28"/>
          <w:szCs w:val="28"/>
        </w:rPr>
        <w:t xml:space="preserve"> in the requested courts: </w:t>
      </w:r>
    </w:p>
    <w:p w:rsidR="001820B4" w:rsidRPr="00DD0B9A" w:rsidRDefault="001820B4" w:rsidP="00281B21">
      <w:pPr>
        <w:ind w:left="360"/>
        <w:rPr>
          <w:sz w:val="28"/>
          <w:szCs w:val="28"/>
        </w:rPr>
      </w:pPr>
      <w:r w:rsidRPr="00DD0B9A">
        <w:rPr>
          <w:sz w:val="28"/>
          <w:szCs w:val="28"/>
        </w:rPr>
        <w:t xml:space="preserve">For example, </w:t>
      </w:r>
    </w:p>
    <w:p w:rsidR="001820B4" w:rsidRPr="00DD0B9A" w:rsidRDefault="001820B4" w:rsidP="00354872">
      <w:pPr>
        <w:pStyle w:val="Listenabsatz"/>
        <w:numPr>
          <w:ilvl w:val="0"/>
          <w:numId w:val="6"/>
        </w:numPr>
        <w:ind w:left="714" w:hanging="357"/>
        <w:contextualSpacing w:val="0"/>
        <w:rPr>
          <w:sz w:val="28"/>
          <w:szCs w:val="28"/>
        </w:rPr>
      </w:pPr>
      <w:r w:rsidRPr="00DD0B9A">
        <w:rPr>
          <w:sz w:val="28"/>
          <w:szCs w:val="28"/>
        </w:rPr>
        <w:t xml:space="preserve">In a case about trade union persecution, the trade union, whose member was murdered by paramilitaries, did not have standing in the criminal </w:t>
      </w:r>
      <w:r w:rsidRPr="00DD0B9A">
        <w:rPr>
          <w:sz w:val="28"/>
          <w:szCs w:val="28"/>
        </w:rPr>
        <w:lastRenderedPageBreak/>
        <w:t xml:space="preserve">proceeding, as it was considered not directly affected by what was legally qualified as an individual homicide case; </w:t>
      </w:r>
    </w:p>
    <w:p w:rsidR="00281B21" w:rsidRPr="00DD0B9A" w:rsidRDefault="001820B4" w:rsidP="00354872">
      <w:pPr>
        <w:pStyle w:val="Listenabsatz"/>
        <w:numPr>
          <w:ilvl w:val="0"/>
          <w:numId w:val="1"/>
        </w:numPr>
        <w:ind w:left="714" w:hanging="357"/>
        <w:contextualSpacing w:val="0"/>
        <w:rPr>
          <w:sz w:val="28"/>
          <w:szCs w:val="28"/>
        </w:rPr>
      </w:pPr>
      <w:r w:rsidRPr="00DD0B9A">
        <w:rPr>
          <w:sz w:val="28"/>
          <w:szCs w:val="28"/>
        </w:rPr>
        <w:t xml:space="preserve">In </w:t>
      </w:r>
      <w:r w:rsidR="006F71F5" w:rsidRPr="00DD0B9A">
        <w:rPr>
          <w:sz w:val="28"/>
          <w:szCs w:val="28"/>
        </w:rPr>
        <w:t xml:space="preserve">a </w:t>
      </w:r>
      <w:r w:rsidRPr="00DD0B9A">
        <w:rPr>
          <w:sz w:val="28"/>
          <w:szCs w:val="28"/>
        </w:rPr>
        <w:t>case</w:t>
      </w:r>
      <w:r w:rsidR="006F71F5" w:rsidRPr="00DD0B9A">
        <w:rPr>
          <w:sz w:val="28"/>
          <w:szCs w:val="28"/>
        </w:rPr>
        <w:t>, where police force</w:t>
      </w:r>
      <w:r w:rsidR="00354872" w:rsidRPr="00DD0B9A">
        <w:rPr>
          <w:sz w:val="28"/>
          <w:szCs w:val="28"/>
        </w:rPr>
        <w:t xml:space="preserve">s shot at and killed </w:t>
      </w:r>
      <w:r w:rsidR="006F71F5" w:rsidRPr="00DD0B9A">
        <w:rPr>
          <w:sz w:val="28"/>
          <w:szCs w:val="28"/>
        </w:rPr>
        <w:t>stu</w:t>
      </w:r>
      <w:r w:rsidR="00354872" w:rsidRPr="00DD0B9A">
        <w:rPr>
          <w:sz w:val="28"/>
          <w:szCs w:val="28"/>
        </w:rPr>
        <w:t>dent protesters</w:t>
      </w:r>
      <w:r w:rsidRPr="00DD0B9A">
        <w:rPr>
          <w:sz w:val="28"/>
          <w:szCs w:val="28"/>
        </w:rPr>
        <w:t xml:space="preserve">, </w:t>
      </w:r>
      <w:r w:rsidR="00C13E57" w:rsidRPr="00DD0B9A">
        <w:rPr>
          <w:sz w:val="28"/>
          <w:szCs w:val="28"/>
        </w:rPr>
        <w:t>victims and their families have no standing in an action</w:t>
      </w:r>
      <w:r w:rsidR="005C11FF" w:rsidRPr="00DD0B9A">
        <w:rPr>
          <w:sz w:val="28"/>
          <w:szCs w:val="28"/>
        </w:rPr>
        <w:t xml:space="preserve"> to investigate whether the </w:t>
      </w:r>
      <w:r w:rsidR="00C65481" w:rsidRPr="00DD0B9A">
        <w:rPr>
          <w:sz w:val="28"/>
          <w:szCs w:val="28"/>
        </w:rPr>
        <w:t xml:space="preserve">transnational </w:t>
      </w:r>
      <w:r w:rsidR="005C11FF" w:rsidRPr="00DD0B9A">
        <w:rPr>
          <w:sz w:val="28"/>
          <w:szCs w:val="28"/>
        </w:rPr>
        <w:t xml:space="preserve">weapon sale was in accordance with export regulations, </w:t>
      </w:r>
      <w:r w:rsidRPr="00DD0B9A">
        <w:rPr>
          <w:sz w:val="28"/>
          <w:szCs w:val="28"/>
        </w:rPr>
        <w:t xml:space="preserve">as this is an administrative process, </w:t>
      </w:r>
      <w:r w:rsidR="00354872" w:rsidRPr="00DD0B9A">
        <w:rPr>
          <w:sz w:val="28"/>
          <w:szCs w:val="28"/>
        </w:rPr>
        <w:t>considered to concern</w:t>
      </w:r>
      <w:r w:rsidRPr="00DD0B9A">
        <w:rPr>
          <w:sz w:val="28"/>
          <w:szCs w:val="28"/>
        </w:rPr>
        <w:t xml:space="preserve"> the regulating state and the regulated corporation only;</w:t>
      </w:r>
      <w:r w:rsidR="00C13E57" w:rsidRPr="00DD0B9A">
        <w:rPr>
          <w:sz w:val="28"/>
          <w:szCs w:val="28"/>
        </w:rPr>
        <w:t xml:space="preserve"> </w:t>
      </w:r>
    </w:p>
    <w:p w:rsidR="001820B4" w:rsidRPr="00DD0B9A" w:rsidRDefault="00354872" w:rsidP="00354872">
      <w:pPr>
        <w:pStyle w:val="Listenabsatz"/>
        <w:numPr>
          <w:ilvl w:val="0"/>
          <w:numId w:val="1"/>
        </w:numPr>
        <w:ind w:left="714" w:hanging="357"/>
        <w:contextualSpacing w:val="0"/>
        <w:rPr>
          <w:sz w:val="28"/>
          <w:szCs w:val="28"/>
        </w:rPr>
      </w:pPr>
      <w:r w:rsidRPr="00DD0B9A">
        <w:rPr>
          <w:sz w:val="28"/>
          <w:szCs w:val="28"/>
        </w:rPr>
        <w:t>A</w:t>
      </w:r>
      <w:r w:rsidR="001820B4" w:rsidRPr="00DD0B9A">
        <w:rPr>
          <w:sz w:val="28"/>
          <w:szCs w:val="28"/>
        </w:rPr>
        <w:t xml:space="preserve"> commercial </w:t>
      </w:r>
      <w:r w:rsidR="005C11FF" w:rsidRPr="00DD0B9A">
        <w:rPr>
          <w:sz w:val="28"/>
          <w:szCs w:val="28"/>
        </w:rPr>
        <w:t xml:space="preserve">action </w:t>
      </w:r>
      <w:r w:rsidRPr="00DD0B9A">
        <w:rPr>
          <w:sz w:val="28"/>
          <w:szCs w:val="28"/>
        </w:rPr>
        <w:t xml:space="preserve">was brought </w:t>
      </w:r>
      <w:r w:rsidR="001820B4" w:rsidRPr="00DD0B9A">
        <w:rPr>
          <w:sz w:val="28"/>
          <w:szCs w:val="28"/>
        </w:rPr>
        <w:t>against a large retailer company, for misleading publicity</w:t>
      </w:r>
      <w:r w:rsidRPr="00DD0B9A">
        <w:rPr>
          <w:sz w:val="28"/>
          <w:szCs w:val="28"/>
        </w:rPr>
        <w:t xml:space="preserve">. It had </w:t>
      </w:r>
      <w:r w:rsidR="001820B4" w:rsidRPr="00DD0B9A">
        <w:rPr>
          <w:sz w:val="28"/>
          <w:szCs w:val="28"/>
        </w:rPr>
        <w:t>advertised that its products stemmed from labour-rights complying factories, when in fact the workers were exploited, underpaid, sexually harrassed, and trade unions were repressed; here the affected workers did not have standing, only competitors or consumer associations in the far-away marketing countries</w:t>
      </w:r>
      <w:r w:rsidRPr="00DD0B9A">
        <w:rPr>
          <w:sz w:val="28"/>
          <w:szCs w:val="28"/>
        </w:rPr>
        <w:t xml:space="preserve"> did</w:t>
      </w:r>
      <w:r w:rsidR="001820B4" w:rsidRPr="00DD0B9A">
        <w:rPr>
          <w:sz w:val="28"/>
          <w:szCs w:val="28"/>
        </w:rPr>
        <w:t xml:space="preserve">; </w:t>
      </w:r>
    </w:p>
    <w:p w:rsidR="001820B4" w:rsidRPr="00DD0B9A" w:rsidRDefault="001820B4" w:rsidP="00354872">
      <w:pPr>
        <w:pStyle w:val="Listenabsatz"/>
        <w:numPr>
          <w:ilvl w:val="0"/>
          <w:numId w:val="1"/>
        </w:numPr>
        <w:ind w:left="714" w:hanging="357"/>
        <w:contextualSpacing w:val="0"/>
        <w:rPr>
          <w:sz w:val="28"/>
          <w:szCs w:val="28"/>
        </w:rPr>
      </w:pPr>
      <w:r w:rsidRPr="00DD0B9A">
        <w:rPr>
          <w:sz w:val="28"/>
          <w:szCs w:val="28"/>
        </w:rPr>
        <w:t xml:space="preserve">In a </w:t>
      </w:r>
      <w:r w:rsidR="00AC6A58" w:rsidRPr="00DD0B9A">
        <w:rPr>
          <w:sz w:val="28"/>
          <w:szCs w:val="28"/>
        </w:rPr>
        <w:t xml:space="preserve">conflict between a timber company and a </w:t>
      </w:r>
      <w:r w:rsidR="00AC6A58" w:rsidRPr="00DD0B9A">
        <w:rPr>
          <w:sz w:val="28"/>
          <w:szCs w:val="28"/>
          <w:u w:val="single"/>
        </w:rPr>
        <w:t>government</w:t>
      </w:r>
      <w:r w:rsidR="00AC6A58" w:rsidRPr="00DD0B9A">
        <w:rPr>
          <w:sz w:val="28"/>
          <w:szCs w:val="28"/>
        </w:rPr>
        <w:t xml:space="preserve"> about access to land, the indigenous </w:t>
      </w:r>
      <w:r w:rsidR="007766B6" w:rsidRPr="00DD0B9A">
        <w:rPr>
          <w:sz w:val="28"/>
          <w:szCs w:val="28"/>
        </w:rPr>
        <w:t>groups</w:t>
      </w:r>
      <w:r w:rsidR="00AC6A58" w:rsidRPr="00DD0B9A">
        <w:rPr>
          <w:sz w:val="28"/>
          <w:szCs w:val="28"/>
        </w:rPr>
        <w:t xml:space="preserve"> inhabiting the land, did not have the right to intervene in the investor proceeding before the World banks arbitration tribunal ICSID; their Amicus Curiae Intervention was rejected, as they were considered </w:t>
      </w:r>
      <w:r w:rsidR="00354872" w:rsidRPr="00DD0B9A">
        <w:rPr>
          <w:sz w:val="28"/>
          <w:szCs w:val="28"/>
        </w:rPr>
        <w:t xml:space="preserve">not </w:t>
      </w:r>
      <w:r w:rsidR="00AC6A58" w:rsidRPr="00DD0B9A">
        <w:rPr>
          <w:sz w:val="28"/>
          <w:szCs w:val="28"/>
        </w:rPr>
        <w:t>impartial to the cas</w:t>
      </w:r>
      <w:r w:rsidR="007766B6" w:rsidRPr="00DD0B9A">
        <w:rPr>
          <w:sz w:val="28"/>
          <w:szCs w:val="28"/>
        </w:rPr>
        <w:t>e;</w:t>
      </w:r>
      <w:r w:rsidR="00AC6A58" w:rsidRPr="00DD0B9A">
        <w:rPr>
          <w:sz w:val="28"/>
          <w:szCs w:val="28"/>
        </w:rPr>
        <w:t xml:space="preserve"> </w:t>
      </w:r>
    </w:p>
    <w:p w:rsidR="007766B6" w:rsidRPr="00DD0B9A" w:rsidRDefault="007766B6" w:rsidP="00354872">
      <w:pPr>
        <w:pStyle w:val="Listenabsatz"/>
        <w:numPr>
          <w:ilvl w:val="0"/>
          <w:numId w:val="1"/>
        </w:numPr>
        <w:ind w:left="714" w:hanging="357"/>
        <w:contextualSpacing w:val="0"/>
        <w:rPr>
          <w:sz w:val="28"/>
          <w:szCs w:val="28"/>
        </w:rPr>
      </w:pPr>
      <w:r w:rsidRPr="00DD0B9A">
        <w:rPr>
          <w:sz w:val="28"/>
          <w:szCs w:val="28"/>
        </w:rPr>
        <w:t>In a case about forced displacement for a mega-dam project in Africa,  thousands of families were affected. A civil action in Europe against the dam engineering company was not possible, because the jurisdiction did not allow for class or group actions, so to bring individual claims for thousands of clients many of whom have no identity cards, are unable to read or to document their damages</w:t>
      </w:r>
      <w:r w:rsidR="00354872" w:rsidRPr="00DD0B9A">
        <w:rPr>
          <w:sz w:val="28"/>
          <w:szCs w:val="28"/>
        </w:rPr>
        <w:t>,</w:t>
      </w:r>
      <w:r w:rsidRPr="00DD0B9A">
        <w:rPr>
          <w:sz w:val="28"/>
          <w:szCs w:val="28"/>
        </w:rPr>
        <w:t xml:space="preserve"> was impossible.</w:t>
      </w:r>
      <w:r w:rsidR="009F697E" w:rsidRPr="00DD0B9A">
        <w:rPr>
          <w:sz w:val="28"/>
          <w:szCs w:val="28"/>
        </w:rPr>
        <w:t xml:space="preserve"> </w:t>
      </w:r>
    </w:p>
    <w:p w:rsidR="00297213" w:rsidRPr="00DD0B9A" w:rsidRDefault="001820B4" w:rsidP="001B76B7">
      <w:pPr>
        <w:ind w:left="360"/>
        <w:rPr>
          <w:sz w:val="28"/>
          <w:szCs w:val="28"/>
        </w:rPr>
      </w:pPr>
      <w:r w:rsidRPr="00DD0B9A">
        <w:rPr>
          <w:sz w:val="28"/>
          <w:szCs w:val="28"/>
        </w:rPr>
        <w:t>So,</w:t>
      </w:r>
      <w:r w:rsidR="009F697E" w:rsidRPr="00DD0B9A">
        <w:rPr>
          <w:sz w:val="28"/>
          <w:szCs w:val="28"/>
        </w:rPr>
        <w:t xml:space="preserve"> what </w:t>
      </w:r>
      <w:r w:rsidR="002D0D40" w:rsidRPr="00DD0B9A">
        <w:rPr>
          <w:sz w:val="28"/>
          <w:szCs w:val="28"/>
        </w:rPr>
        <w:t xml:space="preserve">is </w:t>
      </w:r>
      <w:r w:rsidR="005C11FF" w:rsidRPr="00DD0B9A">
        <w:rPr>
          <w:sz w:val="28"/>
          <w:szCs w:val="28"/>
        </w:rPr>
        <w:t xml:space="preserve">needed </w:t>
      </w:r>
      <w:r w:rsidR="00C65481" w:rsidRPr="00DD0B9A">
        <w:rPr>
          <w:sz w:val="28"/>
          <w:szCs w:val="28"/>
        </w:rPr>
        <w:t xml:space="preserve">here </w:t>
      </w:r>
      <w:r w:rsidR="002D0D40" w:rsidRPr="00DD0B9A">
        <w:rPr>
          <w:sz w:val="28"/>
          <w:szCs w:val="28"/>
        </w:rPr>
        <w:t xml:space="preserve">is </w:t>
      </w:r>
      <w:r w:rsidR="009F697E" w:rsidRPr="00DD0B9A">
        <w:rPr>
          <w:sz w:val="28"/>
          <w:szCs w:val="28"/>
        </w:rPr>
        <w:t xml:space="preserve">a </w:t>
      </w:r>
      <w:r w:rsidR="005C11FF" w:rsidRPr="00DD0B9A">
        <w:rPr>
          <w:sz w:val="28"/>
          <w:szCs w:val="28"/>
        </w:rPr>
        <w:t xml:space="preserve">broader definition of legal standing, based on a </w:t>
      </w:r>
      <w:r w:rsidR="009F697E" w:rsidRPr="00DD0B9A">
        <w:rPr>
          <w:sz w:val="28"/>
          <w:szCs w:val="28"/>
        </w:rPr>
        <w:t xml:space="preserve">contextualised understanding of affectedness in cases that effectively deal with human rights violations; </w:t>
      </w:r>
      <w:r w:rsidR="005C11FF" w:rsidRPr="00DD0B9A">
        <w:rPr>
          <w:sz w:val="28"/>
          <w:szCs w:val="28"/>
        </w:rPr>
        <w:t xml:space="preserve">as well as the possibility for </w:t>
      </w:r>
      <w:r w:rsidR="009F697E" w:rsidRPr="00DD0B9A">
        <w:rPr>
          <w:sz w:val="28"/>
          <w:szCs w:val="28"/>
        </w:rPr>
        <w:t xml:space="preserve">representative, class and group actions. </w:t>
      </w:r>
    </w:p>
    <w:p w:rsidR="00386FBE" w:rsidRPr="00DD0B9A" w:rsidRDefault="005C11FF" w:rsidP="00297213">
      <w:pPr>
        <w:pStyle w:val="Listenabsatz"/>
        <w:numPr>
          <w:ilvl w:val="0"/>
          <w:numId w:val="2"/>
        </w:numPr>
        <w:rPr>
          <w:b/>
          <w:sz w:val="28"/>
          <w:szCs w:val="28"/>
        </w:rPr>
      </w:pPr>
      <w:r w:rsidRPr="00DD0B9A">
        <w:rPr>
          <w:b/>
          <w:sz w:val="28"/>
          <w:szCs w:val="28"/>
        </w:rPr>
        <w:t>Second, o</w:t>
      </w:r>
      <w:r w:rsidR="00386FBE" w:rsidRPr="00DD0B9A">
        <w:rPr>
          <w:b/>
          <w:sz w:val="28"/>
          <w:szCs w:val="28"/>
        </w:rPr>
        <w:t xml:space="preserve">n the question of responsibility within </w:t>
      </w:r>
      <w:r w:rsidR="00912E14" w:rsidRPr="00DD0B9A">
        <w:rPr>
          <w:b/>
          <w:sz w:val="28"/>
          <w:szCs w:val="28"/>
        </w:rPr>
        <w:t xml:space="preserve">and across </w:t>
      </w:r>
      <w:r w:rsidR="00386FBE" w:rsidRPr="00DD0B9A">
        <w:rPr>
          <w:b/>
          <w:sz w:val="28"/>
          <w:szCs w:val="28"/>
        </w:rPr>
        <w:t>the corporate web</w:t>
      </w:r>
    </w:p>
    <w:p w:rsidR="005C11FF" w:rsidRPr="00DD0B9A" w:rsidRDefault="005C11FF" w:rsidP="00386FBE">
      <w:pPr>
        <w:ind w:left="360"/>
        <w:rPr>
          <w:sz w:val="28"/>
          <w:szCs w:val="28"/>
        </w:rPr>
      </w:pPr>
      <w:r w:rsidRPr="00DD0B9A">
        <w:rPr>
          <w:sz w:val="28"/>
          <w:szCs w:val="28"/>
        </w:rPr>
        <w:t xml:space="preserve">Access to remedy is not only a question of procedural law, but also of what qualifies as actionable set of facts, under substantial law. </w:t>
      </w:r>
    </w:p>
    <w:p w:rsidR="00386FBE" w:rsidRPr="00DD0B9A" w:rsidRDefault="00386FBE" w:rsidP="00386FBE">
      <w:pPr>
        <w:ind w:left="360"/>
        <w:rPr>
          <w:sz w:val="28"/>
          <w:szCs w:val="28"/>
        </w:rPr>
      </w:pPr>
      <w:r w:rsidRPr="00DD0B9A">
        <w:rPr>
          <w:sz w:val="28"/>
          <w:szCs w:val="28"/>
        </w:rPr>
        <w:t xml:space="preserve">I will not go so far as to argue here for the abolition of the corporate veil. </w:t>
      </w:r>
      <w:r w:rsidR="008A0C6B" w:rsidRPr="00DD0B9A">
        <w:rPr>
          <w:sz w:val="28"/>
          <w:szCs w:val="28"/>
        </w:rPr>
        <w:t>In practic</w:t>
      </w:r>
      <w:r w:rsidR="005C11FF" w:rsidRPr="00DD0B9A">
        <w:rPr>
          <w:sz w:val="28"/>
          <w:szCs w:val="28"/>
        </w:rPr>
        <w:t xml:space="preserve">e, we deal with </w:t>
      </w:r>
      <w:r w:rsidRPr="00DD0B9A">
        <w:rPr>
          <w:sz w:val="28"/>
          <w:szCs w:val="28"/>
        </w:rPr>
        <w:t>related, even complementary, but distinct responsibilities of paren</w:t>
      </w:r>
      <w:r w:rsidR="005C11FF" w:rsidRPr="00DD0B9A">
        <w:rPr>
          <w:sz w:val="28"/>
          <w:szCs w:val="28"/>
        </w:rPr>
        <w:t>t</w:t>
      </w:r>
      <w:r w:rsidRPr="00DD0B9A">
        <w:rPr>
          <w:sz w:val="28"/>
          <w:szCs w:val="28"/>
        </w:rPr>
        <w:t xml:space="preserve"> companies and their subsidiaries: for example, in </w:t>
      </w:r>
      <w:r w:rsidR="005C11FF" w:rsidRPr="00DD0B9A">
        <w:rPr>
          <w:sz w:val="28"/>
          <w:szCs w:val="28"/>
        </w:rPr>
        <w:t xml:space="preserve">a </w:t>
      </w:r>
      <w:r w:rsidRPr="00DD0B9A">
        <w:rPr>
          <w:sz w:val="28"/>
          <w:szCs w:val="28"/>
        </w:rPr>
        <w:t xml:space="preserve"> case</w:t>
      </w:r>
      <w:r w:rsidR="005C11FF" w:rsidRPr="00DD0B9A">
        <w:rPr>
          <w:sz w:val="28"/>
          <w:szCs w:val="28"/>
        </w:rPr>
        <w:t xml:space="preserve"> </w:t>
      </w:r>
      <w:r w:rsidRPr="00DD0B9A">
        <w:rPr>
          <w:sz w:val="28"/>
          <w:szCs w:val="28"/>
        </w:rPr>
        <w:t xml:space="preserve">about persecution of trade unionists, it was presumably the subsidiary, that slandered the trade unionist as a guerrilla fighter, knowing that this would expose him to attacks by anti-insurgent paramilitary groups. The subsidiary should have abstained from doing this. Whereas the parent company was informed of the failure of its 100% subsidiary and refused to </w:t>
      </w:r>
      <w:r w:rsidRPr="00DD0B9A">
        <w:rPr>
          <w:sz w:val="28"/>
          <w:szCs w:val="28"/>
        </w:rPr>
        <w:lastRenderedPageBreak/>
        <w:t>intervene with the local management. The parent company should have acted to prevent it</w:t>
      </w:r>
      <w:r w:rsidR="005C11FF" w:rsidRPr="00DD0B9A">
        <w:rPr>
          <w:sz w:val="28"/>
          <w:szCs w:val="28"/>
        </w:rPr>
        <w:t>s</w:t>
      </w:r>
      <w:r w:rsidRPr="00DD0B9A">
        <w:rPr>
          <w:sz w:val="28"/>
          <w:szCs w:val="28"/>
        </w:rPr>
        <w:t xml:space="preserve"> controlled company from getting involved in a crime. </w:t>
      </w:r>
    </w:p>
    <w:p w:rsidR="00500A4E" w:rsidRPr="00DD0B9A" w:rsidRDefault="00500A4E" w:rsidP="00386FBE">
      <w:pPr>
        <w:ind w:left="360"/>
        <w:rPr>
          <w:sz w:val="28"/>
          <w:szCs w:val="28"/>
        </w:rPr>
      </w:pPr>
      <w:r w:rsidRPr="00DD0B9A">
        <w:rPr>
          <w:sz w:val="28"/>
          <w:szCs w:val="28"/>
        </w:rPr>
        <w:t>In another case, 260 workers die</w:t>
      </w:r>
      <w:r w:rsidR="00DC0F2B" w:rsidRPr="00DD0B9A">
        <w:rPr>
          <w:sz w:val="28"/>
          <w:szCs w:val="28"/>
        </w:rPr>
        <w:t>d</w:t>
      </w:r>
      <w:r w:rsidRPr="00DD0B9A">
        <w:rPr>
          <w:sz w:val="28"/>
          <w:szCs w:val="28"/>
        </w:rPr>
        <w:t xml:space="preserve"> and 30 suffer</w:t>
      </w:r>
      <w:r w:rsidR="00DC0F2B" w:rsidRPr="00DD0B9A">
        <w:rPr>
          <w:sz w:val="28"/>
          <w:szCs w:val="28"/>
        </w:rPr>
        <w:t>ed</w:t>
      </w:r>
      <w:r w:rsidRPr="00DD0B9A">
        <w:rPr>
          <w:sz w:val="28"/>
          <w:szCs w:val="28"/>
        </w:rPr>
        <w:t xml:space="preserve"> serious injuries as a result of a textile factory fire</w:t>
      </w:r>
      <w:r w:rsidR="005C11FF" w:rsidRPr="00DD0B9A">
        <w:rPr>
          <w:sz w:val="28"/>
          <w:szCs w:val="28"/>
        </w:rPr>
        <w:t xml:space="preserve"> in Asia</w:t>
      </w:r>
      <w:r w:rsidRPr="00DD0B9A">
        <w:rPr>
          <w:sz w:val="28"/>
          <w:szCs w:val="28"/>
        </w:rPr>
        <w:t xml:space="preserve">. The principle client of this factory was a large European retailer company, that bought </w:t>
      </w:r>
      <w:r w:rsidR="00BB3305" w:rsidRPr="00DD0B9A">
        <w:rPr>
          <w:sz w:val="28"/>
          <w:szCs w:val="28"/>
        </w:rPr>
        <w:t>around 75% o</w:t>
      </w:r>
      <w:r w:rsidRPr="00DD0B9A">
        <w:rPr>
          <w:sz w:val="28"/>
          <w:szCs w:val="28"/>
        </w:rPr>
        <w:t xml:space="preserve">f its production. </w:t>
      </w:r>
      <w:r w:rsidR="00DC0F2B" w:rsidRPr="00DD0B9A">
        <w:rPr>
          <w:sz w:val="28"/>
          <w:szCs w:val="28"/>
        </w:rPr>
        <w:t>Here we have a supply chain of separate legal entities, but we also have presumably power of influence</w:t>
      </w:r>
      <w:r w:rsidR="00DC0F2B" w:rsidRPr="00DD0B9A">
        <w:rPr>
          <w:strike/>
          <w:sz w:val="28"/>
          <w:szCs w:val="28"/>
        </w:rPr>
        <w:t xml:space="preserve"> </w:t>
      </w:r>
      <w:r w:rsidR="00DC0F2B" w:rsidRPr="00DD0B9A">
        <w:rPr>
          <w:sz w:val="28"/>
          <w:szCs w:val="28"/>
        </w:rPr>
        <w:t xml:space="preserve">and power to prevent, for example through </w:t>
      </w:r>
      <w:r w:rsidR="009C353F" w:rsidRPr="00DD0B9A">
        <w:rPr>
          <w:sz w:val="28"/>
          <w:szCs w:val="28"/>
        </w:rPr>
        <w:t xml:space="preserve">contractually stipulated </w:t>
      </w:r>
      <w:r w:rsidR="00DC0F2B" w:rsidRPr="00DD0B9A">
        <w:rPr>
          <w:sz w:val="28"/>
          <w:szCs w:val="28"/>
        </w:rPr>
        <w:t xml:space="preserve">binding safety requirements and effective monitoring. </w:t>
      </w:r>
    </w:p>
    <w:p w:rsidR="00670A0D" w:rsidRPr="00DD0B9A" w:rsidRDefault="00DC0F2B" w:rsidP="00C65481">
      <w:pPr>
        <w:ind w:left="360"/>
        <w:rPr>
          <w:sz w:val="28"/>
          <w:szCs w:val="28"/>
        </w:rPr>
      </w:pPr>
      <w:r w:rsidRPr="00DD0B9A">
        <w:rPr>
          <w:sz w:val="28"/>
          <w:szCs w:val="28"/>
        </w:rPr>
        <w:t>So, with power come</w:t>
      </w:r>
      <w:r w:rsidR="00C65481" w:rsidRPr="00DD0B9A">
        <w:rPr>
          <w:sz w:val="28"/>
          <w:szCs w:val="28"/>
        </w:rPr>
        <w:t>s</w:t>
      </w:r>
      <w:r w:rsidRPr="00DD0B9A">
        <w:rPr>
          <w:sz w:val="28"/>
          <w:szCs w:val="28"/>
        </w:rPr>
        <w:t xml:space="preserve"> responsibility. </w:t>
      </w:r>
      <w:r w:rsidR="00C65481" w:rsidRPr="00DD0B9A">
        <w:rPr>
          <w:sz w:val="28"/>
          <w:szCs w:val="28"/>
        </w:rPr>
        <w:t xml:space="preserve">And accountability. </w:t>
      </w:r>
      <w:r w:rsidRPr="00DD0B9A">
        <w:rPr>
          <w:sz w:val="28"/>
          <w:szCs w:val="28"/>
        </w:rPr>
        <w:t xml:space="preserve">This should be clarified in the law. </w:t>
      </w:r>
      <w:r w:rsidR="008A0C6B" w:rsidRPr="00DD0B9A">
        <w:rPr>
          <w:sz w:val="28"/>
          <w:szCs w:val="28"/>
        </w:rPr>
        <w:t xml:space="preserve"> </w:t>
      </w:r>
      <w:r w:rsidR="00C65481" w:rsidRPr="00DD0B9A">
        <w:rPr>
          <w:sz w:val="28"/>
          <w:szCs w:val="28"/>
        </w:rPr>
        <w:t xml:space="preserve">And </w:t>
      </w:r>
      <w:r w:rsidR="00294A33" w:rsidRPr="00DD0B9A">
        <w:rPr>
          <w:sz w:val="28"/>
          <w:szCs w:val="28"/>
        </w:rPr>
        <w:t>safeguard</w:t>
      </w:r>
      <w:r w:rsidR="00BB3305" w:rsidRPr="00DD0B9A">
        <w:rPr>
          <w:sz w:val="28"/>
          <w:szCs w:val="28"/>
        </w:rPr>
        <w:t>ed</w:t>
      </w:r>
      <w:r w:rsidR="00294A33" w:rsidRPr="00DD0B9A">
        <w:rPr>
          <w:sz w:val="28"/>
          <w:szCs w:val="28"/>
        </w:rPr>
        <w:t xml:space="preserve"> </w:t>
      </w:r>
      <w:r w:rsidR="00C65481" w:rsidRPr="00DD0B9A">
        <w:rPr>
          <w:sz w:val="28"/>
          <w:szCs w:val="28"/>
        </w:rPr>
        <w:t xml:space="preserve">procedurally: </w:t>
      </w:r>
      <w:r w:rsidR="009C353F" w:rsidRPr="00DD0B9A">
        <w:rPr>
          <w:sz w:val="28"/>
          <w:szCs w:val="28"/>
        </w:rPr>
        <w:t>for example by shifting the burden of proof. I</w:t>
      </w:r>
      <w:r w:rsidR="00294A33" w:rsidRPr="00DD0B9A">
        <w:rPr>
          <w:sz w:val="28"/>
          <w:szCs w:val="28"/>
        </w:rPr>
        <w:t>t cannot be entirely up to those affected</w:t>
      </w:r>
      <w:r w:rsidR="007A57D5" w:rsidRPr="00DD0B9A">
        <w:rPr>
          <w:sz w:val="28"/>
          <w:szCs w:val="28"/>
        </w:rPr>
        <w:t>, as described,</w:t>
      </w:r>
      <w:r w:rsidR="00294A33" w:rsidRPr="00DD0B9A">
        <w:rPr>
          <w:sz w:val="28"/>
          <w:szCs w:val="28"/>
        </w:rPr>
        <w:t xml:space="preserve"> to investigate into the internal procedures inside a multi-layered business enterprise or its secret business </w:t>
      </w:r>
      <w:r w:rsidR="009017AD" w:rsidRPr="00DD0B9A">
        <w:rPr>
          <w:sz w:val="28"/>
          <w:szCs w:val="28"/>
        </w:rPr>
        <w:t>relations across borders</w:t>
      </w:r>
      <w:r w:rsidR="00294A33" w:rsidRPr="00DD0B9A">
        <w:rPr>
          <w:sz w:val="28"/>
          <w:szCs w:val="28"/>
        </w:rPr>
        <w:t xml:space="preserve">. </w:t>
      </w:r>
      <w:r w:rsidR="00670A0D" w:rsidRPr="00DD0B9A">
        <w:rPr>
          <w:sz w:val="28"/>
          <w:szCs w:val="28"/>
        </w:rPr>
        <w:t xml:space="preserve">Even the public prosecution authorities are reluctant to investigate </w:t>
      </w:r>
      <w:r w:rsidR="00C65481" w:rsidRPr="00DD0B9A">
        <w:rPr>
          <w:sz w:val="28"/>
          <w:szCs w:val="28"/>
        </w:rPr>
        <w:t xml:space="preserve">transnational corporate </w:t>
      </w:r>
      <w:r w:rsidR="00670A0D" w:rsidRPr="00DD0B9A">
        <w:rPr>
          <w:sz w:val="28"/>
          <w:szCs w:val="28"/>
        </w:rPr>
        <w:t>cases</w:t>
      </w:r>
      <w:r w:rsidR="007A57D5" w:rsidRPr="00DD0B9A">
        <w:rPr>
          <w:sz w:val="28"/>
          <w:szCs w:val="28"/>
        </w:rPr>
        <w:t xml:space="preserve"> of human rights violations.</w:t>
      </w:r>
      <w:r w:rsidR="007A57D5" w:rsidRPr="00DD0B9A">
        <w:rPr>
          <w:strike/>
          <w:sz w:val="28"/>
          <w:szCs w:val="28"/>
        </w:rPr>
        <w:t xml:space="preserve"> </w:t>
      </w:r>
    </w:p>
    <w:p w:rsidR="00294A33" w:rsidRPr="00DD0B9A" w:rsidRDefault="009C353F" w:rsidP="00294A33">
      <w:pPr>
        <w:ind w:left="360"/>
        <w:rPr>
          <w:sz w:val="28"/>
          <w:szCs w:val="28"/>
        </w:rPr>
      </w:pPr>
      <w:r w:rsidRPr="00DD0B9A">
        <w:rPr>
          <w:sz w:val="28"/>
          <w:szCs w:val="28"/>
        </w:rPr>
        <w:t>So, i</w:t>
      </w:r>
      <w:r w:rsidR="00670A0D" w:rsidRPr="00DD0B9A">
        <w:rPr>
          <w:sz w:val="28"/>
          <w:szCs w:val="28"/>
        </w:rPr>
        <w:t>n the case of Akzo</w:t>
      </w:r>
      <w:r w:rsidR="00C65481" w:rsidRPr="00DD0B9A">
        <w:rPr>
          <w:sz w:val="28"/>
          <w:szCs w:val="28"/>
        </w:rPr>
        <w:t xml:space="preserve"> Nob</w:t>
      </w:r>
      <w:r w:rsidR="0032187C" w:rsidRPr="00DD0B9A">
        <w:rPr>
          <w:sz w:val="28"/>
          <w:szCs w:val="28"/>
        </w:rPr>
        <w:t>el vs European Commission,</w:t>
      </w:r>
      <w:r w:rsidR="0032187C" w:rsidRPr="00DD0B9A">
        <w:rPr>
          <w:rStyle w:val="Funotenzeichen"/>
          <w:sz w:val="28"/>
          <w:szCs w:val="28"/>
        </w:rPr>
        <w:footnoteReference w:id="1"/>
      </w:r>
      <w:r w:rsidR="0032187C" w:rsidRPr="00DD0B9A">
        <w:rPr>
          <w:sz w:val="28"/>
          <w:szCs w:val="28"/>
        </w:rPr>
        <w:t xml:space="preserve">  the European Court of Justice for example assumed a</w:t>
      </w:r>
      <w:r w:rsidR="00294A33" w:rsidRPr="00DD0B9A">
        <w:rPr>
          <w:sz w:val="28"/>
          <w:szCs w:val="28"/>
        </w:rPr>
        <w:t xml:space="preserve"> rebuttable presumption of control by the parent company of</w:t>
      </w:r>
      <w:r w:rsidR="0032187C" w:rsidRPr="00DD0B9A">
        <w:rPr>
          <w:sz w:val="28"/>
          <w:szCs w:val="28"/>
        </w:rPr>
        <w:t xml:space="preserve"> </w:t>
      </w:r>
      <w:r w:rsidR="00294A33" w:rsidRPr="00DD0B9A">
        <w:rPr>
          <w:sz w:val="28"/>
          <w:szCs w:val="28"/>
        </w:rPr>
        <w:t>the subsidiary’s operations,</w:t>
      </w:r>
      <w:r w:rsidR="0032187C" w:rsidRPr="00DD0B9A">
        <w:rPr>
          <w:sz w:val="28"/>
          <w:szCs w:val="28"/>
        </w:rPr>
        <w:t xml:space="preserve"> if it owns 100% of its shares. Similar constructions could be developed </w:t>
      </w:r>
      <w:r w:rsidR="00670A0D" w:rsidRPr="00DD0B9A">
        <w:rPr>
          <w:sz w:val="28"/>
          <w:szCs w:val="28"/>
        </w:rPr>
        <w:t xml:space="preserve">where control relationships are built on </w:t>
      </w:r>
      <w:r w:rsidRPr="00DD0B9A">
        <w:rPr>
          <w:sz w:val="28"/>
          <w:szCs w:val="28"/>
        </w:rPr>
        <w:t xml:space="preserve">majority </w:t>
      </w:r>
      <w:r w:rsidR="00670A0D" w:rsidRPr="00DD0B9A">
        <w:rPr>
          <w:sz w:val="28"/>
          <w:szCs w:val="28"/>
        </w:rPr>
        <w:t xml:space="preserve">investment or </w:t>
      </w:r>
      <w:r w:rsidRPr="00DD0B9A">
        <w:rPr>
          <w:sz w:val="28"/>
          <w:szCs w:val="28"/>
        </w:rPr>
        <w:t xml:space="preserve">dominant </w:t>
      </w:r>
      <w:r w:rsidR="00670A0D" w:rsidRPr="00DD0B9A">
        <w:rPr>
          <w:sz w:val="28"/>
          <w:szCs w:val="28"/>
        </w:rPr>
        <w:t>supplier-client relations</w:t>
      </w:r>
      <w:r w:rsidR="0032187C" w:rsidRPr="00DD0B9A">
        <w:rPr>
          <w:sz w:val="28"/>
          <w:szCs w:val="28"/>
        </w:rPr>
        <w:t xml:space="preserve">. </w:t>
      </w:r>
      <w:r w:rsidR="00670A0D" w:rsidRPr="00DD0B9A">
        <w:rPr>
          <w:sz w:val="28"/>
          <w:szCs w:val="28"/>
        </w:rPr>
        <w:t>Where supply chains are long and multi-link, this becomes more difficult and care ne</w:t>
      </w:r>
      <w:r w:rsidRPr="00DD0B9A">
        <w:rPr>
          <w:sz w:val="28"/>
          <w:szCs w:val="28"/>
        </w:rPr>
        <w:t>e</w:t>
      </w:r>
      <w:r w:rsidR="00670A0D" w:rsidRPr="00DD0B9A">
        <w:rPr>
          <w:sz w:val="28"/>
          <w:szCs w:val="28"/>
        </w:rPr>
        <w:t>ds to</w:t>
      </w:r>
      <w:r w:rsidRPr="00DD0B9A">
        <w:rPr>
          <w:sz w:val="28"/>
          <w:szCs w:val="28"/>
        </w:rPr>
        <w:t xml:space="preserve"> b</w:t>
      </w:r>
      <w:r w:rsidR="00670A0D" w:rsidRPr="00DD0B9A">
        <w:rPr>
          <w:sz w:val="28"/>
          <w:szCs w:val="28"/>
        </w:rPr>
        <w:t>e taken to not open loop-hole</w:t>
      </w:r>
      <w:r w:rsidR="00BB3305" w:rsidRPr="00DD0B9A">
        <w:rPr>
          <w:sz w:val="28"/>
          <w:szCs w:val="28"/>
        </w:rPr>
        <w:t>s</w:t>
      </w:r>
      <w:r w:rsidRPr="00DD0B9A">
        <w:rPr>
          <w:sz w:val="28"/>
          <w:szCs w:val="28"/>
        </w:rPr>
        <w:t>.</w:t>
      </w:r>
      <w:r w:rsidR="00BB3305" w:rsidRPr="00DD0B9A">
        <w:rPr>
          <w:sz w:val="28"/>
          <w:szCs w:val="28"/>
        </w:rPr>
        <w:t xml:space="preserve"> Some bribery laws </w:t>
      </w:r>
      <w:r w:rsidR="00A6477E" w:rsidRPr="00DD0B9A">
        <w:rPr>
          <w:sz w:val="28"/>
          <w:szCs w:val="28"/>
        </w:rPr>
        <w:t>provide</w:t>
      </w:r>
      <w:r w:rsidR="00BB3305" w:rsidRPr="00DD0B9A">
        <w:rPr>
          <w:sz w:val="28"/>
          <w:szCs w:val="28"/>
        </w:rPr>
        <w:t xml:space="preserve"> possible models of accountability of a benefitting company for acts of an associated person, with association being defined according to all circumstances.</w:t>
      </w:r>
      <w:r w:rsidR="00BB3305" w:rsidRPr="00DD0B9A">
        <w:rPr>
          <w:rStyle w:val="Funotenzeichen"/>
          <w:sz w:val="28"/>
          <w:szCs w:val="28"/>
        </w:rPr>
        <w:footnoteReference w:id="2"/>
      </w:r>
    </w:p>
    <w:p w:rsidR="00066E4E" w:rsidRPr="00DD0B9A" w:rsidRDefault="00B32A85" w:rsidP="00066E4E">
      <w:pPr>
        <w:ind w:left="360"/>
        <w:rPr>
          <w:sz w:val="28"/>
          <w:szCs w:val="28"/>
        </w:rPr>
      </w:pPr>
      <w:r w:rsidRPr="00DD0B9A">
        <w:rPr>
          <w:sz w:val="28"/>
          <w:szCs w:val="28"/>
        </w:rPr>
        <w:t xml:space="preserve">With respect not only to scope but to standards of liability, it is important to be aware, </w:t>
      </w:r>
      <w:r w:rsidR="00DC0F2B" w:rsidRPr="00DD0B9A">
        <w:rPr>
          <w:sz w:val="28"/>
          <w:szCs w:val="28"/>
        </w:rPr>
        <w:t xml:space="preserve">that very often transnational corporations are engaging in particularly risky or risk-prone activities: </w:t>
      </w:r>
      <w:r w:rsidR="00DC420C" w:rsidRPr="00DD0B9A">
        <w:rPr>
          <w:sz w:val="28"/>
          <w:szCs w:val="28"/>
        </w:rPr>
        <w:t xml:space="preserve">for example, </w:t>
      </w:r>
      <w:r w:rsidR="00066E4E" w:rsidRPr="00DD0B9A">
        <w:rPr>
          <w:sz w:val="28"/>
          <w:szCs w:val="28"/>
        </w:rPr>
        <w:t>the mining and oil sector risk</w:t>
      </w:r>
      <w:r w:rsidR="00A6477E" w:rsidRPr="00DD0B9A">
        <w:rPr>
          <w:sz w:val="28"/>
          <w:szCs w:val="28"/>
        </w:rPr>
        <w:t>s</w:t>
      </w:r>
      <w:r w:rsidR="00066E4E" w:rsidRPr="00DD0B9A">
        <w:rPr>
          <w:sz w:val="28"/>
          <w:szCs w:val="28"/>
        </w:rPr>
        <w:t xml:space="preserve"> producing irreparable environmental damage; infrastructure and agro</w:t>
      </w:r>
      <w:r w:rsidR="00A6477E" w:rsidRPr="00DD0B9A">
        <w:rPr>
          <w:sz w:val="28"/>
          <w:szCs w:val="28"/>
        </w:rPr>
        <w:t>-</w:t>
      </w:r>
      <w:r w:rsidR="00066E4E" w:rsidRPr="00DD0B9A">
        <w:rPr>
          <w:sz w:val="28"/>
          <w:szCs w:val="28"/>
        </w:rPr>
        <w:t xml:space="preserve">industry risk producing displacement and social conflict; armament and surveillance technology may risk complicity in torture and crimes against humanity; pesticide manufacturers risk indiscriminate public health and environmental impacts;those doing business in a high-risk-zone or corruption-prone area risk fuelling violence and corruption; where trade unions are prohibited or repressed, a company risks complicity in labour rights violations. </w:t>
      </w:r>
    </w:p>
    <w:p w:rsidR="00D10867" w:rsidRPr="00DD0B9A" w:rsidRDefault="00D10867" w:rsidP="00B32A85">
      <w:pPr>
        <w:ind w:left="360"/>
        <w:rPr>
          <w:sz w:val="28"/>
          <w:szCs w:val="28"/>
        </w:rPr>
      </w:pPr>
      <w:r w:rsidRPr="00DD0B9A">
        <w:rPr>
          <w:sz w:val="28"/>
          <w:szCs w:val="28"/>
        </w:rPr>
        <w:t xml:space="preserve">In such situations of foreseeable risk, due diligence </w:t>
      </w:r>
      <w:r w:rsidR="00066E4E" w:rsidRPr="00DD0B9A">
        <w:rPr>
          <w:sz w:val="28"/>
          <w:szCs w:val="28"/>
        </w:rPr>
        <w:t xml:space="preserve">serves </w:t>
      </w:r>
      <w:r w:rsidRPr="00DD0B9A">
        <w:rPr>
          <w:sz w:val="28"/>
          <w:szCs w:val="28"/>
        </w:rPr>
        <w:t xml:space="preserve">as </w:t>
      </w:r>
      <w:r w:rsidR="00066E4E" w:rsidRPr="00DD0B9A">
        <w:rPr>
          <w:sz w:val="28"/>
          <w:szCs w:val="28"/>
        </w:rPr>
        <w:t xml:space="preserve">an </w:t>
      </w:r>
      <w:r w:rsidR="00DC420C" w:rsidRPr="00DD0B9A">
        <w:rPr>
          <w:sz w:val="28"/>
          <w:szCs w:val="28"/>
        </w:rPr>
        <w:t xml:space="preserve">analytical </w:t>
      </w:r>
      <w:r w:rsidR="00066E4E" w:rsidRPr="00DD0B9A">
        <w:rPr>
          <w:sz w:val="28"/>
          <w:szCs w:val="28"/>
        </w:rPr>
        <w:t xml:space="preserve">tool </w:t>
      </w:r>
      <w:r w:rsidR="00DC420C" w:rsidRPr="00DD0B9A">
        <w:rPr>
          <w:sz w:val="28"/>
          <w:szCs w:val="28"/>
        </w:rPr>
        <w:t xml:space="preserve">to manage human rights risks; </w:t>
      </w:r>
      <w:r w:rsidRPr="00DD0B9A">
        <w:rPr>
          <w:sz w:val="28"/>
          <w:szCs w:val="28"/>
        </w:rPr>
        <w:t xml:space="preserve">but </w:t>
      </w:r>
      <w:r w:rsidR="003043E2" w:rsidRPr="00DD0B9A">
        <w:rPr>
          <w:sz w:val="28"/>
          <w:szCs w:val="28"/>
        </w:rPr>
        <w:t xml:space="preserve">liability standards  should be informed more by </w:t>
      </w:r>
      <w:r w:rsidRPr="00DD0B9A">
        <w:rPr>
          <w:sz w:val="28"/>
          <w:szCs w:val="28"/>
        </w:rPr>
        <w:t>cate</w:t>
      </w:r>
      <w:r w:rsidR="00A6477E" w:rsidRPr="00DD0B9A">
        <w:rPr>
          <w:sz w:val="28"/>
          <w:szCs w:val="28"/>
        </w:rPr>
        <w:t>gories such as strict liability and</w:t>
      </w:r>
      <w:r w:rsidRPr="00DD0B9A">
        <w:rPr>
          <w:sz w:val="28"/>
          <w:szCs w:val="28"/>
        </w:rPr>
        <w:t xml:space="preserve"> precautionary principle, </w:t>
      </w:r>
      <w:r w:rsidR="00A6477E" w:rsidRPr="00DD0B9A">
        <w:rPr>
          <w:sz w:val="28"/>
          <w:szCs w:val="28"/>
        </w:rPr>
        <w:t xml:space="preserve">and </w:t>
      </w:r>
      <w:r w:rsidRPr="00DD0B9A">
        <w:rPr>
          <w:sz w:val="28"/>
          <w:szCs w:val="28"/>
        </w:rPr>
        <w:lastRenderedPageBreak/>
        <w:t>procedurally</w:t>
      </w:r>
      <w:r w:rsidR="00733034" w:rsidRPr="00DD0B9A">
        <w:rPr>
          <w:sz w:val="28"/>
          <w:szCs w:val="28"/>
        </w:rPr>
        <w:t xml:space="preserve"> </w:t>
      </w:r>
      <w:r w:rsidR="00A6477E" w:rsidRPr="00DD0B9A">
        <w:rPr>
          <w:sz w:val="28"/>
          <w:szCs w:val="28"/>
        </w:rPr>
        <w:t xml:space="preserve">be </w:t>
      </w:r>
      <w:r w:rsidR="00733034" w:rsidRPr="00DD0B9A">
        <w:rPr>
          <w:sz w:val="28"/>
          <w:szCs w:val="28"/>
        </w:rPr>
        <w:t>secured through, for example,</w:t>
      </w:r>
      <w:r w:rsidRPr="00DD0B9A">
        <w:rPr>
          <w:sz w:val="28"/>
          <w:szCs w:val="28"/>
        </w:rPr>
        <w:t xml:space="preserve"> the reversal of burden of proof and rebuttable presumptions.  </w:t>
      </w:r>
    </w:p>
    <w:p w:rsidR="00281B21" w:rsidRPr="00DD0B9A" w:rsidRDefault="00763BAB" w:rsidP="00281B21">
      <w:pPr>
        <w:pStyle w:val="Listenabsatz"/>
        <w:numPr>
          <w:ilvl w:val="0"/>
          <w:numId w:val="2"/>
        </w:numPr>
        <w:rPr>
          <w:b/>
          <w:sz w:val="28"/>
          <w:szCs w:val="28"/>
        </w:rPr>
      </w:pPr>
      <w:r w:rsidRPr="00DD0B9A">
        <w:rPr>
          <w:b/>
          <w:sz w:val="28"/>
          <w:szCs w:val="28"/>
        </w:rPr>
        <w:t>Thirdly, o</w:t>
      </w:r>
      <w:r w:rsidR="00281B21" w:rsidRPr="00DD0B9A">
        <w:rPr>
          <w:b/>
          <w:sz w:val="28"/>
          <w:szCs w:val="28"/>
        </w:rPr>
        <w:t xml:space="preserve">n the question of </w:t>
      </w:r>
      <w:r w:rsidR="00E75815" w:rsidRPr="00DD0B9A">
        <w:rPr>
          <w:b/>
          <w:sz w:val="28"/>
          <w:szCs w:val="28"/>
        </w:rPr>
        <w:t>jurisdictional scope</w:t>
      </w:r>
    </w:p>
    <w:p w:rsidR="0024429E" w:rsidRPr="00DD0B9A" w:rsidRDefault="00C92C61" w:rsidP="00281B21">
      <w:pPr>
        <w:ind w:left="360"/>
        <w:rPr>
          <w:sz w:val="28"/>
          <w:szCs w:val="28"/>
        </w:rPr>
      </w:pPr>
      <w:r w:rsidRPr="00DD0B9A">
        <w:rPr>
          <w:sz w:val="28"/>
          <w:szCs w:val="28"/>
        </w:rPr>
        <w:t>Jurisdictional scope needs to be able to respond to the c</w:t>
      </w:r>
      <w:r w:rsidR="00717063" w:rsidRPr="00DD0B9A">
        <w:rPr>
          <w:sz w:val="28"/>
          <w:szCs w:val="28"/>
        </w:rPr>
        <w:t xml:space="preserve">omplementary </w:t>
      </w:r>
      <w:r w:rsidRPr="00DD0B9A">
        <w:rPr>
          <w:sz w:val="28"/>
          <w:szCs w:val="28"/>
        </w:rPr>
        <w:t>responsibility of the various corporate actors. Limiting jurisdict</w:t>
      </w:r>
      <w:r w:rsidR="00A6477E" w:rsidRPr="00DD0B9A">
        <w:rPr>
          <w:sz w:val="28"/>
          <w:szCs w:val="28"/>
        </w:rPr>
        <w:t>i</w:t>
      </w:r>
      <w:r w:rsidRPr="00DD0B9A">
        <w:rPr>
          <w:sz w:val="28"/>
          <w:szCs w:val="28"/>
        </w:rPr>
        <w:t xml:space="preserve">on to the place of domicile </w:t>
      </w:r>
      <w:r w:rsidR="00A6477E" w:rsidRPr="00DD0B9A">
        <w:rPr>
          <w:sz w:val="28"/>
          <w:szCs w:val="28"/>
        </w:rPr>
        <w:t>of t</w:t>
      </w:r>
      <w:r w:rsidRPr="00DD0B9A">
        <w:rPr>
          <w:sz w:val="28"/>
          <w:szCs w:val="28"/>
        </w:rPr>
        <w:t xml:space="preserve">he defendant is inadequate, because it means to artifically </w:t>
      </w:r>
      <w:r w:rsidR="007E718A" w:rsidRPr="00DD0B9A">
        <w:rPr>
          <w:sz w:val="28"/>
          <w:szCs w:val="28"/>
        </w:rPr>
        <w:t xml:space="preserve">separate </w:t>
      </w:r>
      <w:r w:rsidR="00717063" w:rsidRPr="00DD0B9A">
        <w:rPr>
          <w:sz w:val="28"/>
          <w:szCs w:val="28"/>
        </w:rPr>
        <w:t xml:space="preserve">substantially closely related issues, </w:t>
      </w:r>
      <w:r w:rsidRPr="00DD0B9A">
        <w:rPr>
          <w:sz w:val="28"/>
          <w:szCs w:val="28"/>
        </w:rPr>
        <w:t xml:space="preserve">which </w:t>
      </w:r>
      <w:r w:rsidR="00717063" w:rsidRPr="00DD0B9A">
        <w:rPr>
          <w:sz w:val="28"/>
          <w:szCs w:val="28"/>
        </w:rPr>
        <w:t xml:space="preserve">complicates the investigation and makes procedures inefficient. </w:t>
      </w:r>
      <w:r w:rsidRPr="00DD0B9A">
        <w:rPr>
          <w:sz w:val="28"/>
          <w:szCs w:val="28"/>
        </w:rPr>
        <w:t>W</w:t>
      </w:r>
      <w:r w:rsidR="0024429E" w:rsidRPr="00DD0B9A">
        <w:rPr>
          <w:sz w:val="28"/>
          <w:szCs w:val="28"/>
        </w:rPr>
        <w:t xml:space="preserve">here cases are closely related, jurisdiction should allow </w:t>
      </w:r>
      <w:r w:rsidRPr="00DD0B9A">
        <w:rPr>
          <w:sz w:val="28"/>
          <w:szCs w:val="28"/>
        </w:rPr>
        <w:t xml:space="preserve">them </w:t>
      </w:r>
      <w:r w:rsidR="0024429E" w:rsidRPr="00DD0B9A">
        <w:rPr>
          <w:sz w:val="28"/>
          <w:szCs w:val="28"/>
        </w:rPr>
        <w:t xml:space="preserve">to be considered together in the same forum, in the interest of procedural economy, of truth and of effective access to justice. </w:t>
      </w:r>
    </w:p>
    <w:p w:rsidR="00004434" w:rsidRPr="00DD0B9A" w:rsidRDefault="0012160E" w:rsidP="00004434">
      <w:pPr>
        <w:pStyle w:val="Listenabsatz"/>
        <w:numPr>
          <w:ilvl w:val="0"/>
          <w:numId w:val="2"/>
        </w:numPr>
        <w:rPr>
          <w:b/>
          <w:sz w:val="28"/>
          <w:szCs w:val="28"/>
        </w:rPr>
      </w:pPr>
      <w:r w:rsidRPr="00DD0B9A">
        <w:rPr>
          <w:b/>
          <w:sz w:val="28"/>
          <w:szCs w:val="28"/>
        </w:rPr>
        <w:t>Final</w:t>
      </w:r>
      <w:r w:rsidR="00763BAB" w:rsidRPr="00DD0B9A">
        <w:rPr>
          <w:b/>
          <w:sz w:val="28"/>
          <w:szCs w:val="28"/>
        </w:rPr>
        <w:t>ly, o</w:t>
      </w:r>
      <w:r w:rsidR="00281B21" w:rsidRPr="00DD0B9A">
        <w:rPr>
          <w:b/>
          <w:sz w:val="28"/>
          <w:szCs w:val="28"/>
        </w:rPr>
        <w:t xml:space="preserve">n the question of </w:t>
      </w:r>
      <w:r w:rsidR="00004434" w:rsidRPr="00DD0B9A">
        <w:rPr>
          <w:b/>
          <w:sz w:val="28"/>
          <w:szCs w:val="28"/>
        </w:rPr>
        <w:t>eff</w:t>
      </w:r>
      <w:r w:rsidR="00281B21" w:rsidRPr="00DD0B9A">
        <w:rPr>
          <w:b/>
          <w:sz w:val="28"/>
          <w:szCs w:val="28"/>
        </w:rPr>
        <w:t>ectiveness</w:t>
      </w:r>
    </w:p>
    <w:p w:rsidR="008D22DD" w:rsidRPr="00DD0B9A" w:rsidRDefault="007C3590" w:rsidP="007C3590">
      <w:pPr>
        <w:ind w:left="360"/>
        <w:rPr>
          <w:sz w:val="28"/>
          <w:szCs w:val="28"/>
        </w:rPr>
      </w:pPr>
      <w:r w:rsidRPr="00DD0B9A">
        <w:rPr>
          <w:sz w:val="28"/>
          <w:szCs w:val="28"/>
        </w:rPr>
        <w:t xml:space="preserve">Briefly, I would like to </w:t>
      </w:r>
      <w:r w:rsidR="00452251" w:rsidRPr="00DD0B9A">
        <w:rPr>
          <w:sz w:val="28"/>
          <w:szCs w:val="28"/>
        </w:rPr>
        <w:t xml:space="preserve">address the question of non-judicial remedies. </w:t>
      </w:r>
      <w:r w:rsidR="008D22DD" w:rsidRPr="00DD0B9A">
        <w:rPr>
          <w:sz w:val="28"/>
          <w:szCs w:val="28"/>
        </w:rPr>
        <w:t xml:space="preserve">Sometimes, problems that underlie corporate human rights violations, adress larger questions about distribution of wealth in a society, about competing development models, and about democratization of </w:t>
      </w:r>
      <w:r w:rsidR="00E961AC" w:rsidRPr="00DD0B9A">
        <w:rPr>
          <w:sz w:val="28"/>
          <w:szCs w:val="28"/>
        </w:rPr>
        <w:t xml:space="preserve">a </w:t>
      </w:r>
      <w:r w:rsidR="008D22DD" w:rsidRPr="00DD0B9A">
        <w:rPr>
          <w:sz w:val="28"/>
          <w:szCs w:val="28"/>
        </w:rPr>
        <w:t>society.  Here judicial remedies can seem too reductionist as an avenue and so affected communities as well as corporations often would prioritize out-of-court negotiations or dialogue models over judicial remedies.</w:t>
      </w:r>
    </w:p>
    <w:p w:rsidR="008D22DD" w:rsidRPr="00DD0B9A" w:rsidRDefault="00452251" w:rsidP="007C3590">
      <w:pPr>
        <w:ind w:left="360"/>
        <w:rPr>
          <w:sz w:val="28"/>
          <w:szCs w:val="28"/>
        </w:rPr>
      </w:pPr>
      <w:r w:rsidRPr="00DD0B9A">
        <w:rPr>
          <w:sz w:val="28"/>
          <w:szCs w:val="28"/>
        </w:rPr>
        <w:t>The problem is that</w:t>
      </w:r>
      <w:r w:rsidR="008D22DD" w:rsidRPr="00DD0B9A">
        <w:rPr>
          <w:sz w:val="28"/>
          <w:szCs w:val="28"/>
        </w:rPr>
        <w:t xml:space="preserve">, for one, </w:t>
      </w:r>
      <w:r w:rsidRPr="00DD0B9A">
        <w:rPr>
          <w:sz w:val="28"/>
          <w:szCs w:val="28"/>
        </w:rPr>
        <w:t>there is a great imbalance of power at play</w:t>
      </w:r>
      <w:r w:rsidR="008D22DD" w:rsidRPr="00DD0B9A">
        <w:rPr>
          <w:sz w:val="28"/>
          <w:szCs w:val="28"/>
        </w:rPr>
        <w:t xml:space="preserve">: we have seen cases </w:t>
      </w:r>
      <w:r w:rsidR="00E961AC" w:rsidRPr="00DD0B9A">
        <w:rPr>
          <w:sz w:val="28"/>
          <w:szCs w:val="28"/>
        </w:rPr>
        <w:t>w</w:t>
      </w:r>
      <w:r w:rsidR="008D22DD" w:rsidRPr="00DD0B9A">
        <w:rPr>
          <w:sz w:val="28"/>
          <w:szCs w:val="28"/>
        </w:rPr>
        <w:t>here companies offer money, cattle or cars to individual community leaders to unduly influence negotiations; cases where illiterate in</w:t>
      </w:r>
      <w:r w:rsidR="007E718A" w:rsidRPr="00DD0B9A">
        <w:rPr>
          <w:sz w:val="28"/>
          <w:szCs w:val="28"/>
        </w:rPr>
        <w:t>d</w:t>
      </w:r>
      <w:r w:rsidR="008D22DD" w:rsidRPr="00DD0B9A">
        <w:rPr>
          <w:sz w:val="28"/>
          <w:szCs w:val="28"/>
        </w:rPr>
        <w:t xml:space="preserve">igenous people are asked to sign lengthy agreements in English; cases where negotiations are delayed for months and years while the company continues its operations, causing more damage every day. </w:t>
      </w:r>
    </w:p>
    <w:p w:rsidR="00716E41" w:rsidRPr="00DD0B9A" w:rsidRDefault="006264F2" w:rsidP="007C3590">
      <w:pPr>
        <w:ind w:left="360"/>
        <w:rPr>
          <w:sz w:val="26"/>
          <w:szCs w:val="26"/>
        </w:rPr>
      </w:pPr>
      <w:r w:rsidRPr="00DD0B9A">
        <w:rPr>
          <w:sz w:val="26"/>
          <w:szCs w:val="26"/>
        </w:rPr>
        <w:t xml:space="preserve">A second problem is that </w:t>
      </w:r>
      <w:r w:rsidR="00452251" w:rsidRPr="00DD0B9A">
        <w:rPr>
          <w:sz w:val="26"/>
          <w:szCs w:val="26"/>
        </w:rPr>
        <w:t>state</w:t>
      </w:r>
      <w:r w:rsidR="006E2569" w:rsidRPr="00DD0B9A">
        <w:rPr>
          <w:sz w:val="26"/>
          <w:szCs w:val="26"/>
        </w:rPr>
        <w:t>s</w:t>
      </w:r>
      <w:r w:rsidR="00452251" w:rsidRPr="00DD0B9A">
        <w:rPr>
          <w:sz w:val="26"/>
          <w:szCs w:val="26"/>
        </w:rPr>
        <w:t xml:space="preserve"> </w:t>
      </w:r>
      <w:r w:rsidRPr="00DD0B9A">
        <w:rPr>
          <w:sz w:val="26"/>
          <w:szCs w:val="26"/>
        </w:rPr>
        <w:t xml:space="preserve">are not involved in a way that allows them to </w:t>
      </w:r>
      <w:r w:rsidR="00452251" w:rsidRPr="00DD0B9A">
        <w:rPr>
          <w:sz w:val="26"/>
          <w:szCs w:val="26"/>
        </w:rPr>
        <w:t xml:space="preserve">comply with </w:t>
      </w:r>
      <w:r w:rsidRPr="00DD0B9A">
        <w:rPr>
          <w:sz w:val="26"/>
          <w:szCs w:val="26"/>
        </w:rPr>
        <w:t xml:space="preserve">their </w:t>
      </w:r>
      <w:r w:rsidR="00452251" w:rsidRPr="00DD0B9A">
        <w:rPr>
          <w:sz w:val="26"/>
          <w:szCs w:val="26"/>
        </w:rPr>
        <w:t>guarantors‘</w:t>
      </w:r>
      <w:r w:rsidRPr="00DD0B9A">
        <w:rPr>
          <w:sz w:val="26"/>
          <w:szCs w:val="26"/>
        </w:rPr>
        <w:t xml:space="preserve"> function for HRs. Even, where the state is involved as a facilitator, </w:t>
      </w:r>
      <w:r w:rsidR="007E718A" w:rsidRPr="00DD0B9A">
        <w:rPr>
          <w:sz w:val="26"/>
          <w:szCs w:val="26"/>
        </w:rPr>
        <w:t xml:space="preserve">as </w:t>
      </w:r>
      <w:r w:rsidRPr="00DD0B9A">
        <w:rPr>
          <w:sz w:val="26"/>
          <w:szCs w:val="26"/>
        </w:rPr>
        <w:t xml:space="preserve">in the procedures under the OECD Guidelines, even </w:t>
      </w:r>
      <w:r w:rsidR="006E2569" w:rsidRPr="00DD0B9A">
        <w:rPr>
          <w:sz w:val="26"/>
          <w:szCs w:val="26"/>
        </w:rPr>
        <w:t xml:space="preserve">if ideally </w:t>
      </w:r>
      <w:r w:rsidRPr="00DD0B9A">
        <w:rPr>
          <w:sz w:val="26"/>
          <w:szCs w:val="26"/>
        </w:rPr>
        <w:t xml:space="preserve">proceedings end with clear recommendations or a clear statement about human rights violations, but: no remedy is provided; recommendations are not implemented or implementation is not verified; no sanctions in case of non-compliance imposed: these procedures do not provide any incentive for corporations to review, correct or change their conduct. </w:t>
      </w:r>
      <w:r w:rsidR="006E2569" w:rsidRPr="00DD0B9A">
        <w:rPr>
          <w:sz w:val="26"/>
          <w:szCs w:val="26"/>
        </w:rPr>
        <w:t>N</w:t>
      </w:r>
      <w:r w:rsidR="007A1B23" w:rsidRPr="00DD0B9A">
        <w:rPr>
          <w:sz w:val="26"/>
          <w:szCs w:val="26"/>
        </w:rPr>
        <w:t>on</w:t>
      </w:r>
      <w:r w:rsidR="006E2569" w:rsidRPr="00DD0B9A">
        <w:rPr>
          <w:sz w:val="26"/>
          <w:szCs w:val="26"/>
        </w:rPr>
        <w:t>-judicial remedies in order to b</w:t>
      </w:r>
      <w:r w:rsidR="007A1B23" w:rsidRPr="00DD0B9A">
        <w:rPr>
          <w:sz w:val="26"/>
          <w:szCs w:val="26"/>
        </w:rPr>
        <w:t>e effective</w:t>
      </w:r>
      <w:r w:rsidR="006E2569" w:rsidRPr="00DD0B9A">
        <w:rPr>
          <w:sz w:val="26"/>
          <w:szCs w:val="26"/>
        </w:rPr>
        <w:t>,</w:t>
      </w:r>
      <w:r w:rsidR="007E718A" w:rsidRPr="00DD0B9A">
        <w:rPr>
          <w:sz w:val="26"/>
          <w:szCs w:val="26"/>
        </w:rPr>
        <w:t xml:space="preserve"> first and fore</w:t>
      </w:r>
      <w:r w:rsidR="007A1B23" w:rsidRPr="00DD0B9A">
        <w:rPr>
          <w:sz w:val="26"/>
          <w:szCs w:val="26"/>
        </w:rPr>
        <w:t>most need to address the imbalance of power between the parties</w:t>
      </w:r>
      <w:r w:rsidR="007A57D5" w:rsidRPr="00DD0B9A">
        <w:rPr>
          <w:sz w:val="26"/>
          <w:szCs w:val="26"/>
        </w:rPr>
        <w:t>, and states should have a role here as guarantors</w:t>
      </w:r>
      <w:r w:rsidR="007A1B23" w:rsidRPr="00DD0B9A">
        <w:rPr>
          <w:sz w:val="26"/>
          <w:szCs w:val="26"/>
        </w:rPr>
        <w:t xml:space="preserve">. Procedural guarantees, external monitoring, and enforceability are some necessary elements here, as well as – in the interest of truth and prevention – the determination, whether an alleged human rights violation has or hasn’t taken place. </w:t>
      </w:r>
    </w:p>
    <w:p w:rsidR="00946BD2" w:rsidRPr="00DD0B9A" w:rsidRDefault="00716E41" w:rsidP="00DD0B9A">
      <w:pPr>
        <w:ind w:left="360"/>
        <w:rPr>
          <w:sz w:val="26"/>
          <w:szCs w:val="26"/>
        </w:rPr>
      </w:pPr>
      <w:r w:rsidRPr="00DD0B9A">
        <w:rPr>
          <w:sz w:val="26"/>
          <w:szCs w:val="26"/>
        </w:rPr>
        <w:t xml:space="preserve">My finalising comment is good news: </w:t>
      </w:r>
      <w:r w:rsidR="00045456" w:rsidRPr="00DD0B9A">
        <w:rPr>
          <w:sz w:val="26"/>
          <w:szCs w:val="26"/>
        </w:rPr>
        <w:t xml:space="preserve">for </w:t>
      </w:r>
      <w:r w:rsidRPr="00DD0B9A">
        <w:rPr>
          <w:sz w:val="26"/>
          <w:szCs w:val="26"/>
        </w:rPr>
        <w:t xml:space="preserve">most </w:t>
      </w:r>
      <w:r w:rsidR="00045456" w:rsidRPr="00DD0B9A">
        <w:rPr>
          <w:sz w:val="26"/>
          <w:szCs w:val="26"/>
        </w:rPr>
        <w:t xml:space="preserve">if not all </w:t>
      </w:r>
      <w:r w:rsidRPr="00DD0B9A">
        <w:rPr>
          <w:sz w:val="26"/>
          <w:szCs w:val="26"/>
        </w:rPr>
        <w:t>of the mentioned aspects, there are already jurisdict</w:t>
      </w:r>
      <w:r w:rsidR="007E718A" w:rsidRPr="00DD0B9A">
        <w:rPr>
          <w:sz w:val="26"/>
          <w:szCs w:val="26"/>
        </w:rPr>
        <w:t>i</w:t>
      </w:r>
      <w:r w:rsidRPr="00DD0B9A">
        <w:rPr>
          <w:sz w:val="26"/>
          <w:szCs w:val="26"/>
        </w:rPr>
        <w:t xml:space="preserve">ons that have helpful models in place. This shows that things are doable. And that one can take them as inspiration. </w:t>
      </w:r>
      <w:r w:rsidR="00D53AFC" w:rsidRPr="00DD0B9A">
        <w:rPr>
          <w:sz w:val="26"/>
          <w:szCs w:val="26"/>
        </w:rPr>
        <w:t xml:space="preserve"> - </w:t>
      </w:r>
      <w:r w:rsidR="00045456" w:rsidRPr="00DD0B9A">
        <w:rPr>
          <w:sz w:val="26"/>
          <w:szCs w:val="26"/>
        </w:rPr>
        <w:t>Thank you</w:t>
      </w:r>
      <w:r w:rsidR="0039000D" w:rsidRPr="00DD0B9A">
        <w:rPr>
          <w:sz w:val="26"/>
          <w:szCs w:val="26"/>
        </w:rPr>
        <w:t xml:space="preserve">. </w:t>
      </w:r>
    </w:p>
    <w:sectPr w:rsidR="00946BD2" w:rsidRPr="00DD0B9A" w:rsidSect="00CB44A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7AD" w:rsidRDefault="009017AD" w:rsidP="00294A33">
      <w:pPr>
        <w:spacing w:after="0"/>
      </w:pPr>
      <w:r>
        <w:separator/>
      </w:r>
    </w:p>
  </w:endnote>
  <w:endnote w:type="continuationSeparator" w:id="0">
    <w:p w:rsidR="009017AD" w:rsidRDefault="009017AD" w:rsidP="00294A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4376"/>
      <w:docPartObj>
        <w:docPartGallery w:val="Page Numbers (Bottom of Page)"/>
        <w:docPartUnique/>
      </w:docPartObj>
    </w:sdtPr>
    <w:sdtContent>
      <w:p w:rsidR="009017AD" w:rsidRDefault="009017AD">
        <w:pPr>
          <w:pStyle w:val="Fuzeile"/>
          <w:jc w:val="right"/>
        </w:pPr>
        <w:fldSimple w:instr=" PAGE   \* MERGEFORMAT ">
          <w:r w:rsidR="00DD0B9A">
            <w:rPr>
              <w:noProof/>
            </w:rPr>
            <w:t>4</w:t>
          </w:r>
        </w:fldSimple>
      </w:p>
    </w:sdtContent>
  </w:sdt>
  <w:p w:rsidR="009017AD" w:rsidRDefault="009017A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7AD" w:rsidRDefault="009017AD" w:rsidP="00294A33">
      <w:pPr>
        <w:spacing w:after="0"/>
      </w:pPr>
      <w:r>
        <w:separator/>
      </w:r>
    </w:p>
  </w:footnote>
  <w:footnote w:type="continuationSeparator" w:id="0">
    <w:p w:rsidR="009017AD" w:rsidRDefault="009017AD" w:rsidP="00294A33">
      <w:pPr>
        <w:spacing w:after="0"/>
      </w:pPr>
      <w:r>
        <w:continuationSeparator/>
      </w:r>
    </w:p>
  </w:footnote>
  <w:footnote w:id="1">
    <w:p w:rsidR="009017AD" w:rsidRPr="00BB3305" w:rsidRDefault="009017AD" w:rsidP="00BB3305">
      <w:pPr>
        <w:spacing w:after="0"/>
        <w:rPr>
          <w:rFonts w:eastAsia="Times New Roman" w:cs="Times New Roman"/>
          <w:sz w:val="21"/>
          <w:szCs w:val="21"/>
          <w:lang w:eastAsia="de-DE"/>
        </w:rPr>
      </w:pPr>
      <w:r>
        <w:rPr>
          <w:rStyle w:val="Funotenzeichen"/>
        </w:rPr>
        <w:footnoteRef/>
      </w:r>
      <w:r>
        <w:t xml:space="preserve"> </w:t>
      </w:r>
      <w:r w:rsidRPr="00294A33">
        <w:rPr>
          <w:rFonts w:eastAsia="Times New Roman" w:cs="Times New Roman"/>
          <w:sz w:val="21"/>
          <w:szCs w:val="21"/>
          <w:lang w:eastAsia="de-DE"/>
        </w:rPr>
        <w:t>Case C-97/08 Akzo Nobel NV and Others v Com</w:t>
      </w:r>
      <w:r w:rsidRPr="00294A33">
        <w:rPr>
          <w:rFonts w:eastAsia="Times New Roman" w:cs="Times New Roman"/>
          <w:sz w:val="21"/>
          <w:szCs w:val="21"/>
          <w:lang w:eastAsia="de-DE"/>
        </w:rPr>
        <w:softHyphen/>
        <w:t>mission</w:t>
      </w:r>
      <w:r>
        <w:rPr>
          <w:rFonts w:eastAsia="Times New Roman" w:cs="Times New Roman"/>
          <w:sz w:val="21"/>
          <w:szCs w:val="21"/>
          <w:lang w:eastAsia="de-DE"/>
        </w:rPr>
        <w:t xml:space="preserve">, judgement of </w:t>
      </w:r>
      <w:r w:rsidRPr="00294A33">
        <w:rPr>
          <w:rFonts w:eastAsia="Times New Roman" w:cs="Times New Roman"/>
          <w:sz w:val="21"/>
          <w:szCs w:val="21"/>
          <w:lang w:eastAsia="de-DE"/>
        </w:rPr>
        <w:t xml:space="preserve"> 10 September 2009</w:t>
      </w:r>
      <w:r>
        <w:rPr>
          <w:rFonts w:eastAsia="Times New Roman" w:cs="Times New Roman"/>
          <w:sz w:val="21"/>
          <w:szCs w:val="21"/>
          <w:lang w:eastAsia="de-DE"/>
        </w:rPr>
        <w:t>.</w:t>
      </w:r>
    </w:p>
  </w:footnote>
  <w:footnote w:id="2">
    <w:p w:rsidR="009017AD" w:rsidRDefault="009017AD" w:rsidP="00BB3305">
      <w:pPr>
        <w:pStyle w:val="Funotentext"/>
      </w:pPr>
      <w:r>
        <w:rPr>
          <w:rStyle w:val="Funotenzeichen"/>
        </w:rPr>
        <w:footnoteRef/>
      </w:r>
      <w:r>
        <w:t xml:space="preserve"> e.g. sec 7 and 8 of the UK Bribery Act 2010.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B9A" w:rsidRDefault="00DD0B9A" w:rsidP="00DD0B9A">
    <w:pPr>
      <w:pStyle w:val="Kopfzeile"/>
      <w:jc w:val="center"/>
    </w:pPr>
    <w:r w:rsidRPr="005D58EE">
      <w:rPr>
        <w:rFonts w:ascii="Trebuchet MS"/>
        <w:sz w:val="18"/>
        <w:szCs w:val="18"/>
        <w:lang w:val="en-US"/>
      </w:rPr>
      <w:t>Open-ended intergovernmental working group for the elaboration of an International Legally Binding Instrument on Transnational Corporations and other Business Enterprises with respect to human rights, Resolution A/HRC/</w:t>
    </w:r>
    <w:r>
      <w:rPr>
        <w:rFonts w:ascii="Trebuchet MS"/>
        <w:sz w:val="18"/>
        <w:szCs w:val="18"/>
        <w:lang w:val="en-US"/>
      </w:rPr>
      <w:t>RES/</w:t>
    </w:r>
    <w:r w:rsidRPr="005D58EE">
      <w:rPr>
        <w:rFonts w:ascii="Trebuchet MS"/>
        <w:sz w:val="18"/>
        <w:szCs w:val="18"/>
        <w:lang w:val="en-US"/>
      </w:rPr>
      <w:t>26/9</w:t>
    </w:r>
    <w:r>
      <w:rPr>
        <w:rFonts w:ascii="Trebuchet MS"/>
        <w:sz w:val="18"/>
        <w:szCs w:val="18"/>
        <w:lang w:val="en-US"/>
      </w:rPr>
      <w:t xml:space="preserve">, </w:t>
    </w:r>
    <w:r w:rsidRPr="005D58EE">
      <w:rPr>
        <w:rFonts w:ascii="Trebuchet MS"/>
        <w:sz w:val="18"/>
        <w:szCs w:val="18"/>
      </w:rPr>
      <w:t>Second session, 24-28 October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F6661"/>
    <w:multiLevelType w:val="hybridMultilevel"/>
    <w:tmpl w:val="E3D643F2"/>
    <w:lvl w:ilvl="0" w:tplc="2E00138A">
      <w:start w:val="1"/>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6B34CF5"/>
    <w:multiLevelType w:val="hybridMultilevel"/>
    <w:tmpl w:val="CEAE7B12"/>
    <w:lvl w:ilvl="0" w:tplc="1F24122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1064910"/>
    <w:multiLevelType w:val="hybridMultilevel"/>
    <w:tmpl w:val="0778C87E"/>
    <w:lvl w:ilvl="0" w:tplc="6CECFA12">
      <w:start w:val="1"/>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4114572C"/>
    <w:multiLevelType w:val="hybridMultilevel"/>
    <w:tmpl w:val="6460577E"/>
    <w:lvl w:ilvl="0" w:tplc="108AD16A">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6E750B"/>
    <w:multiLevelType w:val="hybridMultilevel"/>
    <w:tmpl w:val="CC8E0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E1578F0"/>
    <w:multiLevelType w:val="hybridMultilevel"/>
    <w:tmpl w:val="1B4CA35C"/>
    <w:lvl w:ilvl="0" w:tplc="283E5876">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footnotePr>
    <w:footnote w:id="-1"/>
    <w:footnote w:id="0"/>
  </w:footnotePr>
  <w:endnotePr>
    <w:endnote w:id="-1"/>
    <w:endnote w:id="0"/>
  </w:endnotePr>
  <w:compat/>
  <w:rsids>
    <w:rsidRoot w:val="00AD2717"/>
    <w:rsid w:val="00004434"/>
    <w:rsid w:val="000044A4"/>
    <w:rsid w:val="00025882"/>
    <w:rsid w:val="00026963"/>
    <w:rsid w:val="00027BCA"/>
    <w:rsid w:val="00045456"/>
    <w:rsid w:val="00066E4E"/>
    <w:rsid w:val="0012160E"/>
    <w:rsid w:val="00133EF3"/>
    <w:rsid w:val="001820B4"/>
    <w:rsid w:val="001944EA"/>
    <w:rsid w:val="001B6B8F"/>
    <w:rsid w:val="001B76B7"/>
    <w:rsid w:val="001C11AF"/>
    <w:rsid w:val="001C3A25"/>
    <w:rsid w:val="0024429E"/>
    <w:rsid w:val="00281B21"/>
    <w:rsid w:val="00294A33"/>
    <w:rsid w:val="00297213"/>
    <w:rsid w:val="002B1D54"/>
    <w:rsid w:val="002B2844"/>
    <w:rsid w:val="002D0D40"/>
    <w:rsid w:val="003043E2"/>
    <w:rsid w:val="0032187C"/>
    <w:rsid w:val="00354872"/>
    <w:rsid w:val="00362025"/>
    <w:rsid w:val="00364755"/>
    <w:rsid w:val="00386FBE"/>
    <w:rsid w:val="0039000D"/>
    <w:rsid w:val="003D622D"/>
    <w:rsid w:val="00437B06"/>
    <w:rsid w:val="00452251"/>
    <w:rsid w:val="004F43EC"/>
    <w:rsid w:val="00500A4E"/>
    <w:rsid w:val="005633B2"/>
    <w:rsid w:val="00583EB5"/>
    <w:rsid w:val="005A51B8"/>
    <w:rsid w:val="005C11FF"/>
    <w:rsid w:val="005E404B"/>
    <w:rsid w:val="006264F2"/>
    <w:rsid w:val="00666DD5"/>
    <w:rsid w:val="00670A0D"/>
    <w:rsid w:val="00685DFF"/>
    <w:rsid w:val="006C5B25"/>
    <w:rsid w:val="006E2569"/>
    <w:rsid w:val="006F71F5"/>
    <w:rsid w:val="00712B98"/>
    <w:rsid w:val="0071416D"/>
    <w:rsid w:val="00716E41"/>
    <w:rsid w:val="00717063"/>
    <w:rsid w:val="00733034"/>
    <w:rsid w:val="00763BAB"/>
    <w:rsid w:val="007766B6"/>
    <w:rsid w:val="007A1B23"/>
    <w:rsid w:val="007A57D5"/>
    <w:rsid w:val="007B2CB8"/>
    <w:rsid w:val="007C3590"/>
    <w:rsid w:val="007E718A"/>
    <w:rsid w:val="00854292"/>
    <w:rsid w:val="00855AAD"/>
    <w:rsid w:val="008A0C6B"/>
    <w:rsid w:val="008D22DD"/>
    <w:rsid w:val="009017AD"/>
    <w:rsid w:val="00912E14"/>
    <w:rsid w:val="00931F65"/>
    <w:rsid w:val="00946BD2"/>
    <w:rsid w:val="0099009C"/>
    <w:rsid w:val="009A00C2"/>
    <w:rsid w:val="009C353F"/>
    <w:rsid w:val="009F697E"/>
    <w:rsid w:val="00A219A7"/>
    <w:rsid w:val="00A6477E"/>
    <w:rsid w:val="00A81E79"/>
    <w:rsid w:val="00A92C71"/>
    <w:rsid w:val="00A97897"/>
    <w:rsid w:val="00AC2890"/>
    <w:rsid w:val="00AC6A58"/>
    <w:rsid w:val="00AD2717"/>
    <w:rsid w:val="00B32A85"/>
    <w:rsid w:val="00BB3305"/>
    <w:rsid w:val="00C13E57"/>
    <w:rsid w:val="00C150F5"/>
    <w:rsid w:val="00C65481"/>
    <w:rsid w:val="00C708B6"/>
    <w:rsid w:val="00C92C61"/>
    <w:rsid w:val="00C960AC"/>
    <w:rsid w:val="00CB44A5"/>
    <w:rsid w:val="00D10867"/>
    <w:rsid w:val="00D1718E"/>
    <w:rsid w:val="00D516F2"/>
    <w:rsid w:val="00D53AFC"/>
    <w:rsid w:val="00D9399C"/>
    <w:rsid w:val="00DB01EF"/>
    <w:rsid w:val="00DC0F2B"/>
    <w:rsid w:val="00DC420C"/>
    <w:rsid w:val="00DD0B9A"/>
    <w:rsid w:val="00E131DE"/>
    <w:rsid w:val="00E66B32"/>
    <w:rsid w:val="00E75815"/>
    <w:rsid w:val="00E961AC"/>
    <w:rsid w:val="00F043D8"/>
    <w:rsid w:val="00F4037E"/>
    <w:rsid w:val="00F81AB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6DD5"/>
    <w:pPr>
      <w:spacing w:after="12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uerpo">
    <w:name w:val="Cuerpo"/>
    <w:rsid w:val="00AD2717"/>
    <w:pPr>
      <w:pBdr>
        <w:top w:val="nil"/>
        <w:left w:val="nil"/>
        <w:bottom w:val="nil"/>
        <w:right w:val="nil"/>
        <w:between w:val="nil"/>
        <w:bar w:val="nil"/>
      </w:pBdr>
    </w:pPr>
    <w:rPr>
      <w:rFonts w:ascii="Calibri" w:eastAsia="Calibri" w:hAnsi="Calibri" w:cs="Calibri"/>
      <w:color w:val="000000"/>
      <w:u w:color="000000"/>
      <w:bdr w:val="nil"/>
      <w:lang w:val="en-US" w:eastAsia="zh-CN"/>
    </w:rPr>
  </w:style>
  <w:style w:type="character" w:styleId="Hyperlink">
    <w:name w:val="Hyperlink"/>
    <w:rsid w:val="00AD2717"/>
    <w:rPr>
      <w:u w:val="single"/>
    </w:rPr>
  </w:style>
  <w:style w:type="paragraph" w:styleId="Kopfzeile">
    <w:name w:val="header"/>
    <w:link w:val="KopfzeileZchn"/>
    <w:uiPriority w:val="99"/>
    <w:rsid w:val="00AD2717"/>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lang w:val="fr-FR" w:eastAsia="zh-CN"/>
    </w:rPr>
  </w:style>
  <w:style w:type="character" w:customStyle="1" w:styleId="KopfzeileZchn">
    <w:name w:val="Kopfzeile Zchn"/>
    <w:basedOn w:val="Absatz-Standardschriftart"/>
    <w:link w:val="Kopfzeile"/>
    <w:uiPriority w:val="99"/>
    <w:rsid w:val="00AD2717"/>
    <w:rPr>
      <w:rFonts w:ascii="Calibri" w:eastAsia="Calibri" w:hAnsi="Calibri" w:cs="Calibri"/>
      <w:color w:val="000000"/>
      <w:u w:color="000000"/>
      <w:bdr w:val="nil"/>
      <w:lang w:val="fr-FR" w:eastAsia="zh-CN"/>
    </w:rPr>
  </w:style>
  <w:style w:type="paragraph" w:styleId="Listenabsatz">
    <w:name w:val="List Paragraph"/>
    <w:basedOn w:val="Standard"/>
    <w:uiPriority w:val="34"/>
    <w:qFormat/>
    <w:rsid w:val="001C11AF"/>
    <w:pPr>
      <w:ind w:left="720"/>
      <w:contextualSpacing/>
    </w:pPr>
  </w:style>
  <w:style w:type="paragraph" w:styleId="Funotentext">
    <w:name w:val="footnote text"/>
    <w:basedOn w:val="Standard"/>
    <w:link w:val="FunotentextZchn"/>
    <w:uiPriority w:val="99"/>
    <w:semiHidden/>
    <w:unhideWhenUsed/>
    <w:rsid w:val="00294A33"/>
    <w:pPr>
      <w:spacing w:after="0"/>
    </w:pPr>
    <w:rPr>
      <w:sz w:val="20"/>
      <w:szCs w:val="20"/>
    </w:rPr>
  </w:style>
  <w:style w:type="character" w:customStyle="1" w:styleId="FunotentextZchn">
    <w:name w:val="Fußnotentext Zchn"/>
    <w:basedOn w:val="Absatz-Standardschriftart"/>
    <w:link w:val="Funotentext"/>
    <w:uiPriority w:val="99"/>
    <w:semiHidden/>
    <w:rsid w:val="00294A33"/>
    <w:rPr>
      <w:rFonts w:ascii="Times New Roman" w:hAnsi="Times New Roman"/>
      <w:sz w:val="20"/>
      <w:szCs w:val="20"/>
    </w:rPr>
  </w:style>
  <w:style w:type="character" w:styleId="Funotenzeichen">
    <w:name w:val="footnote reference"/>
    <w:basedOn w:val="Absatz-Standardschriftart"/>
    <w:uiPriority w:val="99"/>
    <w:semiHidden/>
    <w:unhideWhenUsed/>
    <w:rsid w:val="00294A33"/>
    <w:rPr>
      <w:vertAlign w:val="superscript"/>
    </w:rPr>
  </w:style>
  <w:style w:type="paragraph" w:styleId="Fuzeile">
    <w:name w:val="footer"/>
    <w:basedOn w:val="Standard"/>
    <w:link w:val="FuzeileZchn"/>
    <w:uiPriority w:val="99"/>
    <w:unhideWhenUsed/>
    <w:rsid w:val="00354872"/>
    <w:pPr>
      <w:tabs>
        <w:tab w:val="center" w:pos="4536"/>
        <w:tab w:val="right" w:pos="9072"/>
      </w:tabs>
      <w:spacing w:after="0"/>
    </w:pPr>
  </w:style>
  <w:style w:type="character" w:customStyle="1" w:styleId="FuzeileZchn">
    <w:name w:val="Fußzeile Zchn"/>
    <w:basedOn w:val="Absatz-Standardschriftart"/>
    <w:link w:val="Fuzeile"/>
    <w:uiPriority w:val="99"/>
    <w:rsid w:val="00354872"/>
    <w:rPr>
      <w:rFonts w:ascii="Times New Roman" w:hAnsi="Times New Roman"/>
      <w:sz w:val="24"/>
    </w:rPr>
  </w:style>
  <w:style w:type="paragraph" w:styleId="Sprechblasentext">
    <w:name w:val="Balloon Text"/>
    <w:basedOn w:val="Standard"/>
    <w:link w:val="SprechblasentextZchn"/>
    <w:uiPriority w:val="99"/>
    <w:semiHidden/>
    <w:unhideWhenUsed/>
    <w:rsid w:val="00DD0B9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077864">
      <w:bodyDiv w:val="1"/>
      <w:marLeft w:val="0"/>
      <w:marRight w:val="0"/>
      <w:marTop w:val="0"/>
      <w:marBottom w:val="0"/>
      <w:divBdr>
        <w:top w:val="none" w:sz="0" w:space="0" w:color="auto"/>
        <w:left w:val="none" w:sz="0" w:space="0" w:color="auto"/>
        <w:bottom w:val="none" w:sz="0" w:space="0" w:color="auto"/>
        <w:right w:val="none" w:sz="0" w:space="0" w:color="auto"/>
      </w:divBdr>
      <w:divsChild>
        <w:div w:id="1117482217">
          <w:marLeft w:val="0"/>
          <w:marRight w:val="0"/>
          <w:marTop w:val="0"/>
          <w:marBottom w:val="0"/>
          <w:divBdr>
            <w:top w:val="none" w:sz="0" w:space="0" w:color="auto"/>
            <w:left w:val="none" w:sz="0" w:space="0" w:color="auto"/>
            <w:bottom w:val="none" w:sz="0" w:space="0" w:color="auto"/>
            <w:right w:val="none" w:sz="0" w:space="0" w:color="auto"/>
          </w:divBdr>
        </w:div>
        <w:div w:id="1154108371">
          <w:marLeft w:val="0"/>
          <w:marRight w:val="0"/>
          <w:marTop w:val="0"/>
          <w:marBottom w:val="0"/>
          <w:divBdr>
            <w:top w:val="none" w:sz="0" w:space="0" w:color="auto"/>
            <w:left w:val="none" w:sz="0" w:space="0" w:color="auto"/>
            <w:bottom w:val="none" w:sz="0" w:space="0" w:color="auto"/>
            <w:right w:val="none" w:sz="0" w:space="0" w:color="auto"/>
          </w:divBdr>
        </w:div>
        <w:div w:id="123961194">
          <w:marLeft w:val="0"/>
          <w:marRight w:val="0"/>
          <w:marTop w:val="0"/>
          <w:marBottom w:val="0"/>
          <w:divBdr>
            <w:top w:val="none" w:sz="0" w:space="0" w:color="auto"/>
            <w:left w:val="none" w:sz="0" w:space="0" w:color="auto"/>
            <w:bottom w:val="none" w:sz="0" w:space="0" w:color="auto"/>
            <w:right w:val="none" w:sz="0" w:space="0" w:color="auto"/>
          </w:divBdr>
        </w:div>
        <w:div w:id="107296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F6596"/>
    <w:rsid w:val="00EF65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33AFA2BA614220B305D9AA2A998B7D">
    <w:name w:val="5633AFA2BA614220B305D9AA2A998B7D"/>
    <w:rsid w:val="00EF65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8B1E6-34E8-4F73-A816-CB4A9C8D9FFA}"/>
</file>

<file path=customXml/itemProps2.xml><?xml version="1.0" encoding="utf-8"?>
<ds:datastoreItem xmlns:ds="http://schemas.openxmlformats.org/officeDocument/2006/customXml" ds:itemID="{BA7F3CF8-C070-4267-A159-579EFCF979BD}"/>
</file>

<file path=customXml/itemProps3.xml><?xml version="1.0" encoding="utf-8"?>
<ds:datastoreItem xmlns:ds="http://schemas.openxmlformats.org/officeDocument/2006/customXml" ds:itemID="{3E4D0FF5-16A7-4712-B1C2-EA6EF99BF201}"/>
</file>

<file path=customXml/itemProps4.xml><?xml version="1.0" encoding="utf-8"?>
<ds:datastoreItem xmlns:ds="http://schemas.openxmlformats.org/officeDocument/2006/customXml" ds:itemID="{31943123-7B27-458F-9FD0-DA8E41935C4A}"/>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9422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Ecchr</dc:creator>
  <cp:lastModifiedBy>Ecchr</cp:lastModifiedBy>
  <cp:revision>56</cp:revision>
  <cp:lastPrinted>2016-10-27T12:51:00Z</cp:lastPrinted>
  <dcterms:created xsi:type="dcterms:W3CDTF">2016-10-25T12:57:00Z</dcterms:created>
  <dcterms:modified xsi:type="dcterms:W3CDTF">2016-10-27T13:38:00Z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