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FCA" w:rsidRPr="00C2074F" w:rsidRDefault="00363FCA" w:rsidP="00C2074F">
      <w:pPr>
        <w:jc w:val="center"/>
        <w:rPr>
          <w:rFonts w:asciiTheme="majorHAnsi" w:eastAsia="Times New Roman" w:hAnsiTheme="majorHAnsi" w:cstheme="majorHAnsi"/>
          <w:b/>
          <w:sz w:val="20"/>
          <w:szCs w:val="20"/>
          <w:lang w:eastAsia="en-GB"/>
        </w:rPr>
      </w:pPr>
      <w:r w:rsidRPr="00C2074F">
        <w:rPr>
          <w:rFonts w:asciiTheme="majorHAnsi" w:eastAsia="Times New Roman" w:hAnsiTheme="majorHAnsi" w:cstheme="majorHAnsi"/>
          <w:b/>
          <w:sz w:val="20"/>
          <w:szCs w:val="20"/>
          <w:lang w:eastAsia="en-GB"/>
        </w:rPr>
        <w:t>Aportes desde el proceso de Memoria, Verdad y Justicia de Argentina</w:t>
      </w:r>
    </w:p>
    <w:p w:rsidR="00FB6AB2" w:rsidRPr="00C2074F" w:rsidRDefault="00363FCA" w:rsidP="00C2074F">
      <w:pPr>
        <w:jc w:val="center"/>
        <w:rPr>
          <w:rFonts w:asciiTheme="majorHAnsi" w:eastAsia="Times New Roman" w:hAnsiTheme="majorHAnsi" w:cstheme="majorHAnsi"/>
          <w:b/>
          <w:sz w:val="20"/>
          <w:szCs w:val="20"/>
          <w:lang w:eastAsia="en-GB"/>
        </w:rPr>
      </w:pPr>
      <w:r w:rsidRPr="00C2074F">
        <w:rPr>
          <w:rFonts w:asciiTheme="majorHAnsi" w:eastAsia="Times New Roman" w:hAnsiTheme="majorHAnsi" w:cstheme="majorHAnsi"/>
          <w:b/>
          <w:sz w:val="20"/>
          <w:szCs w:val="20"/>
          <w:lang w:eastAsia="en-GB"/>
        </w:rPr>
        <w:t xml:space="preserve">Mecanismo de seguimiento del </w:t>
      </w:r>
      <w:r w:rsidR="00FB6AB2" w:rsidRPr="00C2074F">
        <w:rPr>
          <w:rFonts w:asciiTheme="majorHAnsi" w:eastAsia="Times New Roman" w:hAnsiTheme="majorHAnsi" w:cstheme="majorHAnsi"/>
          <w:b/>
          <w:sz w:val="20"/>
          <w:szCs w:val="20"/>
          <w:lang w:eastAsia="en-GB"/>
        </w:rPr>
        <w:t xml:space="preserve">Tratado. </w:t>
      </w:r>
    </w:p>
    <w:p w:rsidR="00363FCA" w:rsidRPr="00C2074F" w:rsidRDefault="00FB6AB2" w:rsidP="00C2074F">
      <w:pPr>
        <w:jc w:val="center"/>
        <w:rPr>
          <w:rFonts w:asciiTheme="majorHAnsi" w:eastAsia="Times New Roman" w:hAnsiTheme="majorHAnsi" w:cstheme="majorHAnsi"/>
          <w:b/>
          <w:sz w:val="20"/>
          <w:szCs w:val="20"/>
          <w:lang w:eastAsia="en-GB"/>
        </w:rPr>
      </w:pPr>
      <w:r w:rsidRPr="00C2074F">
        <w:rPr>
          <w:rFonts w:asciiTheme="majorHAnsi" w:eastAsia="Times New Roman" w:hAnsiTheme="majorHAnsi" w:cstheme="majorHAnsi"/>
          <w:b/>
          <w:sz w:val="20"/>
          <w:szCs w:val="20"/>
          <w:lang w:eastAsia="en-GB"/>
        </w:rPr>
        <w:t>R</w:t>
      </w:r>
      <w:r w:rsidR="00363FCA" w:rsidRPr="00C2074F">
        <w:rPr>
          <w:rFonts w:asciiTheme="majorHAnsi" w:eastAsia="Times New Roman" w:hAnsiTheme="majorHAnsi" w:cstheme="majorHAnsi"/>
          <w:b/>
          <w:sz w:val="20"/>
          <w:szCs w:val="20"/>
          <w:lang w:eastAsia="en-GB"/>
        </w:rPr>
        <w:t xml:space="preserve">esponsabilidad extraterritorial </w:t>
      </w:r>
      <w:r w:rsidRPr="00C2074F">
        <w:rPr>
          <w:rFonts w:asciiTheme="majorHAnsi" w:eastAsia="Times New Roman" w:hAnsiTheme="majorHAnsi" w:cstheme="majorHAnsi"/>
          <w:b/>
          <w:sz w:val="20"/>
          <w:szCs w:val="20"/>
          <w:lang w:eastAsia="en-GB"/>
        </w:rPr>
        <w:t>y Reparaciones colectivas</w:t>
      </w:r>
    </w:p>
    <w:p w:rsidR="00C2074F" w:rsidRPr="00C2074F" w:rsidRDefault="00C2074F" w:rsidP="00DA5D69">
      <w:pPr>
        <w:spacing w:line="360" w:lineRule="auto"/>
        <w:jc w:val="center"/>
        <w:rPr>
          <w:rFonts w:asciiTheme="majorHAnsi" w:eastAsia="Times New Roman" w:hAnsiTheme="majorHAnsi" w:cstheme="majorHAnsi"/>
          <w:b/>
          <w:sz w:val="20"/>
          <w:szCs w:val="20"/>
          <w:lang w:eastAsia="en-GB"/>
        </w:rPr>
      </w:pPr>
    </w:p>
    <w:p w:rsidR="00363FCA" w:rsidRPr="00DA5D69" w:rsidRDefault="00363FCA" w:rsidP="00C2074F">
      <w:pPr>
        <w:jc w:val="center"/>
        <w:rPr>
          <w:rFonts w:asciiTheme="majorHAnsi" w:eastAsia="Times New Roman" w:hAnsiTheme="majorHAnsi" w:cstheme="majorHAnsi"/>
          <w:sz w:val="20"/>
          <w:szCs w:val="20"/>
          <w:lang w:eastAsia="en-GB"/>
        </w:rPr>
      </w:pPr>
      <w:r w:rsidRPr="00DA5D69">
        <w:rPr>
          <w:rFonts w:asciiTheme="majorHAnsi" w:eastAsia="Times New Roman" w:hAnsiTheme="majorHAnsi" w:cstheme="majorHAnsi"/>
          <w:sz w:val="20"/>
          <w:szCs w:val="20"/>
          <w:lang w:eastAsia="en-GB"/>
        </w:rPr>
        <w:t>Intervención en el piso en el Panel V</w:t>
      </w:r>
      <w:r w:rsidR="005A63FA">
        <w:rPr>
          <w:rFonts w:asciiTheme="majorHAnsi" w:eastAsia="Times New Roman" w:hAnsiTheme="majorHAnsi" w:cstheme="majorHAnsi"/>
          <w:sz w:val="20"/>
          <w:szCs w:val="20"/>
          <w:lang w:eastAsia="en-GB"/>
        </w:rPr>
        <w:t>I</w:t>
      </w:r>
      <w:r w:rsidRPr="00DA5D69">
        <w:rPr>
          <w:rFonts w:asciiTheme="majorHAnsi" w:eastAsia="Times New Roman" w:hAnsiTheme="majorHAnsi" w:cstheme="majorHAnsi"/>
          <w:sz w:val="20"/>
          <w:szCs w:val="20"/>
          <w:lang w:eastAsia="en-GB"/>
        </w:rPr>
        <w:t xml:space="preserve"> </w:t>
      </w:r>
    </w:p>
    <w:p w:rsidR="00363FCA" w:rsidRPr="00DA5D69" w:rsidRDefault="00363FCA" w:rsidP="00C2074F">
      <w:pPr>
        <w:jc w:val="center"/>
        <w:rPr>
          <w:rFonts w:asciiTheme="majorHAnsi" w:eastAsia="Times New Roman" w:hAnsiTheme="majorHAnsi" w:cstheme="majorHAnsi"/>
          <w:sz w:val="20"/>
          <w:szCs w:val="20"/>
          <w:lang w:val="es-AR" w:eastAsia="en-GB"/>
        </w:rPr>
      </w:pPr>
      <w:r w:rsidRPr="00DA5D69">
        <w:rPr>
          <w:rFonts w:asciiTheme="majorHAnsi" w:eastAsia="Times New Roman" w:hAnsiTheme="majorHAnsi" w:cstheme="majorHAnsi"/>
          <w:sz w:val="20"/>
          <w:szCs w:val="20"/>
          <w:lang w:eastAsia="en-GB"/>
        </w:rPr>
        <w:t xml:space="preserve"> </w:t>
      </w:r>
      <w:r w:rsidRPr="00DA5D69">
        <w:rPr>
          <w:rFonts w:asciiTheme="majorHAnsi" w:eastAsia="Times New Roman" w:hAnsiTheme="majorHAnsi" w:cstheme="majorHAnsi"/>
          <w:sz w:val="20"/>
          <w:szCs w:val="20"/>
          <w:lang w:val="es-AR" w:eastAsia="en-GB"/>
        </w:rPr>
        <w:t xml:space="preserve">Friday 28 </w:t>
      </w:r>
      <w:proofErr w:type="spellStart"/>
      <w:r w:rsidRPr="00DA5D69">
        <w:rPr>
          <w:rFonts w:asciiTheme="majorHAnsi" w:eastAsia="Times New Roman" w:hAnsiTheme="majorHAnsi" w:cstheme="majorHAnsi"/>
          <w:sz w:val="20"/>
          <w:szCs w:val="20"/>
          <w:lang w:val="es-AR" w:eastAsia="en-GB"/>
        </w:rPr>
        <w:t>October</w:t>
      </w:r>
      <w:proofErr w:type="spellEnd"/>
      <w:r w:rsidRPr="00DA5D69">
        <w:rPr>
          <w:rFonts w:asciiTheme="majorHAnsi" w:eastAsia="Times New Roman" w:hAnsiTheme="majorHAnsi" w:cstheme="majorHAnsi"/>
          <w:sz w:val="20"/>
          <w:szCs w:val="20"/>
          <w:lang w:val="es-AR" w:eastAsia="en-GB"/>
        </w:rPr>
        <w:t xml:space="preserve"> 2016</w:t>
      </w:r>
    </w:p>
    <w:p w:rsidR="00CF7791" w:rsidRDefault="00CF7791" w:rsidP="005602B9">
      <w:pPr>
        <w:spacing w:line="360" w:lineRule="auto"/>
        <w:rPr>
          <w:rFonts w:asciiTheme="majorHAnsi" w:eastAsia="Times New Roman" w:hAnsiTheme="majorHAnsi" w:cstheme="majorHAnsi"/>
          <w:sz w:val="20"/>
          <w:szCs w:val="20"/>
          <w:lang w:eastAsia="en-GB"/>
        </w:rPr>
      </w:pPr>
      <w:bookmarkStart w:id="0" w:name="_GoBack"/>
      <w:bookmarkEnd w:id="0"/>
    </w:p>
    <w:p w:rsidR="00363FCA" w:rsidRPr="005B5CD2" w:rsidRDefault="00B965FE" w:rsidP="005B5CD2">
      <w:pPr>
        <w:spacing w:line="360" w:lineRule="auto"/>
        <w:jc w:val="center"/>
        <w:rPr>
          <w:rFonts w:asciiTheme="majorHAnsi" w:eastAsia="Times New Roman" w:hAnsiTheme="majorHAnsi" w:cstheme="majorHAnsi"/>
          <w:sz w:val="20"/>
          <w:szCs w:val="20"/>
          <w:lang w:eastAsia="en-GB"/>
        </w:rPr>
      </w:pPr>
      <w:r w:rsidRPr="00DA5D69">
        <w:rPr>
          <w:rFonts w:asciiTheme="majorHAnsi" w:eastAsia="Times New Roman" w:hAnsiTheme="majorHAnsi" w:cstheme="majorHAnsi"/>
          <w:sz w:val="20"/>
          <w:szCs w:val="20"/>
          <w:lang w:eastAsia="en-GB"/>
        </w:rPr>
        <w:t xml:space="preserve"> </w:t>
      </w:r>
    </w:p>
    <w:p w:rsidR="00FA0F54" w:rsidRPr="00DA5D69" w:rsidRDefault="00363FCA" w:rsidP="00DA5D69">
      <w:pPr>
        <w:spacing w:line="360" w:lineRule="auto"/>
        <w:jc w:val="both"/>
        <w:rPr>
          <w:rFonts w:asciiTheme="majorHAnsi" w:hAnsiTheme="majorHAnsi" w:cstheme="majorHAnsi"/>
          <w:sz w:val="20"/>
          <w:szCs w:val="20"/>
          <w:shd w:val="clear" w:color="auto" w:fill="FFFFFF"/>
          <w:lang w:val="es-AR"/>
        </w:rPr>
      </w:pPr>
      <w:r w:rsidRPr="00DA5D69">
        <w:rPr>
          <w:rFonts w:asciiTheme="majorHAnsi" w:hAnsiTheme="majorHAnsi" w:cstheme="majorHAnsi"/>
          <w:sz w:val="20"/>
          <w:szCs w:val="20"/>
          <w:shd w:val="clear" w:color="auto" w:fill="FFFFFF"/>
        </w:rPr>
        <w:t xml:space="preserve">Esta intervención se realiza en el marco de una alianza entre </w:t>
      </w:r>
      <w:proofErr w:type="spellStart"/>
      <w:r w:rsidRPr="00DA5D69">
        <w:rPr>
          <w:rFonts w:asciiTheme="majorHAnsi" w:hAnsiTheme="majorHAnsi" w:cstheme="majorHAnsi"/>
          <w:sz w:val="20"/>
          <w:szCs w:val="20"/>
          <w:shd w:val="clear" w:color="auto" w:fill="FFFFFF"/>
        </w:rPr>
        <w:t>Dejusticia</w:t>
      </w:r>
      <w:proofErr w:type="spellEnd"/>
      <w:r w:rsidRPr="00DA5D69">
        <w:rPr>
          <w:rFonts w:asciiTheme="majorHAnsi" w:hAnsiTheme="majorHAnsi" w:cstheme="majorHAnsi"/>
          <w:sz w:val="20"/>
          <w:szCs w:val="20"/>
          <w:shd w:val="clear" w:color="auto" w:fill="FFFFFF"/>
        </w:rPr>
        <w:t>, A</w:t>
      </w:r>
      <w:r w:rsidR="00CF0720" w:rsidRPr="00DA5D69">
        <w:rPr>
          <w:rFonts w:asciiTheme="majorHAnsi" w:hAnsiTheme="majorHAnsi" w:cstheme="majorHAnsi"/>
          <w:sz w:val="20"/>
          <w:szCs w:val="20"/>
          <w:shd w:val="clear" w:color="auto" w:fill="FFFFFF"/>
        </w:rPr>
        <w:t>NDHES</w:t>
      </w:r>
      <w:r w:rsidR="00FB6AB2" w:rsidRPr="00DA5D69">
        <w:rPr>
          <w:rFonts w:asciiTheme="majorHAnsi" w:hAnsiTheme="majorHAnsi" w:cstheme="majorHAnsi"/>
          <w:sz w:val="20"/>
          <w:szCs w:val="20"/>
          <w:shd w:val="clear" w:color="auto" w:fill="FFFFFF"/>
        </w:rPr>
        <w:t xml:space="preserve"> y la Universidad de Oxford, desde la que trabajamos</w:t>
      </w:r>
      <w:r w:rsidRPr="00DA5D69">
        <w:rPr>
          <w:rFonts w:asciiTheme="majorHAnsi" w:hAnsiTheme="majorHAnsi" w:cstheme="majorHAnsi"/>
          <w:sz w:val="20"/>
          <w:szCs w:val="20"/>
          <w:shd w:val="clear" w:color="auto" w:fill="FFFFFF"/>
        </w:rPr>
        <w:t xml:space="preserve"> acciones tendientes a lograr la rendición de cuentas de actores corporativos por su involucramiento en la comisión de graves violaciones a los derechos </w:t>
      </w:r>
      <w:r w:rsidR="00E81370" w:rsidRPr="00DA5D69">
        <w:rPr>
          <w:rFonts w:asciiTheme="majorHAnsi" w:hAnsiTheme="majorHAnsi" w:cstheme="majorHAnsi"/>
          <w:sz w:val="20"/>
          <w:szCs w:val="20"/>
          <w:shd w:val="clear" w:color="auto" w:fill="FFFFFF"/>
        </w:rPr>
        <w:t xml:space="preserve">humanos </w:t>
      </w:r>
      <w:r w:rsidRPr="00DA5D69">
        <w:rPr>
          <w:rFonts w:asciiTheme="majorHAnsi" w:hAnsiTheme="majorHAnsi" w:cstheme="majorHAnsi"/>
          <w:sz w:val="20"/>
          <w:szCs w:val="20"/>
          <w:shd w:val="clear" w:color="auto" w:fill="FFFFFF"/>
        </w:rPr>
        <w:t xml:space="preserve">en el contexto de terrorismo de estado y conflicto armado, </w:t>
      </w:r>
      <w:r w:rsidR="00B80908" w:rsidRPr="00DA5D69">
        <w:rPr>
          <w:rFonts w:asciiTheme="majorHAnsi" w:hAnsiTheme="majorHAnsi" w:cstheme="majorHAnsi"/>
          <w:sz w:val="20"/>
          <w:szCs w:val="20"/>
          <w:shd w:val="clear" w:color="auto" w:fill="FFFFFF"/>
        </w:rPr>
        <w:t>en</w:t>
      </w:r>
      <w:r w:rsidR="00CF0720" w:rsidRPr="00DA5D69">
        <w:rPr>
          <w:rFonts w:asciiTheme="majorHAnsi" w:hAnsiTheme="majorHAnsi" w:cstheme="majorHAnsi"/>
          <w:sz w:val="20"/>
          <w:szCs w:val="20"/>
          <w:shd w:val="clear" w:color="auto" w:fill="FFFFFF"/>
        </w:rPr>
        <w:t>tre</w:t>
      </w:r>
      <w:r w:rsidR="00B80908" w:rsidRPr="00DA5D69">
        <w:rPr>
          <w:rFonts w:asciiTheme="majorHAnsi" w:hAnsiTheme="majorHAnsi" w:cstheme="majorHAnsi"/>
          <w:sz w:val="20"/>
          <w:szCs w:val="20"/>
          <w:shd w:val="clear" w:color="auto" w:fill="FFFFFF"/>
        </w:rPr>
        <w:t xml:space="preserve"> </w:t>
      </w:r>
      <w:r w:rsidR="00656167" w:rsidRPr="00DA5D69">
        <w:rPr>
          <w:rFonts w:asciiTheme="majorHAnsi" w:hAnsiTheme="majorHAnsi" w:cstheme="majorHAnsi"/>
          <w:sz w:val="20"/>
          <w:szCs w:val="20"/>
          <w:shd w:val="clear" w:color="auto" w:fill="FFFFFF"/>
        </w:rPr>
        <w:t xml:space="preserve">estas acciones </w:t>
      </w:r>
      <w:r w:rsidR="00B80908" w:rsidRPr="00DA5D69">
        <w:rPr>
          <w:rFonts w:asciiTheme="majorHAnsi" w:hAnsiTheme="majorHAnsi" w:cstheme="majorHAnsi"/>
          <w:sz w:val="20"/>
          <w:szCs w:val="20"/>
          <w:shd w:val="clear" w:color="auto" w:fill="FFFFFF"/>
        </w:rPr>
        <w:t xml:space="preserve">se </w:t>
      </w:r>
      <w:r w:rsidRPr="00DA5D69">
        <w:rPr>
          <w:rFonts w:asciiTheme="majorHAnsi" w:hAnsiTheme="majorHAnsi" w:cstheme="majorHAnsi"/>
          <w:sz w:val="20"/>
          <w:szCs w:val="20"/>
          <w:shd w:val="clear" w:color="auto" w:fill="FFFFFF"/>
        </w:rPr>
        <w:t>incluye la investigación, el litigio estratégico, la elaboración de propuestas de políticas púb</w:t>
      </w:r>
      <w:r w:rsidR="00CF0720" w:rsidRPr="00DA5D69">
        <w:rPr>
          <w:rFonts w:asciiTheme="majorHAnsi" w:hAnsiTheme="majorHAnsi" w:cstheme="majorHAnsi"/>
          <w:sz w:val="20"/>
          <w:szCs w:val="20"/>
          <w:shd w:val="clear" w:color="auto" w:fill="FFFFFF"/>
        </w:rPr>
        <w:t>licas en el ámbito de la verdad</w:t>
      </w:r>
      <w:r w:rsidRPr="00DA5D69">
        <w:rPr>
          <w:rFonts w:asciiTheme="majorHAnsi" w:hAnsiTheme="majorHAnsi" w:cstheme="majorHAnsi"/>
          <w:sz w:val="20"/>
          <w:szCs w:val="20"/>
          <w:shd w:val="clear" w:color="auto" w:fill="FFFFFF"/>
        </w:rPr>
        <w:t xml:space="preserve"> y </w:t>
      </w:r>
      <w:r w:rsidR="00B80908" w:rsidRPr="00DA5D69">
        <w:rPr>
          <w:rFonts w:asciiTheme="majorHAnsi" w:hAnsiTheme="majorHAnsi" w:cstheme="majorHAnsi"/>
          <w:sz w:val="20"/>
          <w:szCs w:val="20"/>
          <w:shd w:val="clear" w:color="auto" w:fill="FFFFFF"/>
        </w:rPr>
        <w:t xml:space="preserve">la </w:t>
      </w:r>
      <w:proofErr w:type="spellStart"/>
      <w:r w:rsidR="00B80908" w:rsidRPr="00DA5D69">
        <w:rPr>
          <w:rFonts w:asciiTheme="majorHAnsi" w:hAnsiTheme="majorHAnsi" w:cstheme="majorHAnsi"/>
          <w:sz w:val="20"/>
          <w:szCs w:val="20"/>
          <w:shd w:val="clear" w:color="auto" w:fill="FFFFFF"/>
        </w:rPr>
        <w:t>visibilización</w:t>
      </w:r>
      <w:proofErr w:type="spellEnd"/>
      <w:r w:rsidR="00B80908" w:rsidRPr="00DA5D69">
        <w:rPr>
          <w:rFonts w:asciiTheme="majorHAnsi" w:hAnsiTheme="majorHAnsi" w:cstheme="majorHAnsi"/>
          <w:sz w:val="20"/>
          <w:szCs w:val="20"/>
          <w:shd w:val="clear" w:color="auto" w:fill="FFFFFF"/>
        </w:rPr>
        <w:t xml:space="preserve"> de</w:t>
      </w:r>
      <w:r w:rsidRPr="00DA5D69">
        <w:rPr>
          <w:rFonts w:asciiTheme="majorHAnsi" w:hAnsiTheme="majorHAnsi" w:cstheme="majorHAnsi"/>
          <w:sz w:val="20"/>
          <w:szCs w:val="20"/>
          <w:shd w:val="clear" w:color="auto" w:fill="FFFFFF"/>
        </w:rPr>
        <w:t xml:space="preserve"> la temática en diferentes foros internacionales.</w:t>
      </w:r>
      <w:r w:rsidR="00FA0F54" w:rsidRPr="00DA5D69">
        <w:rPr>
          <w:rFonts w:asciiTheme="majorHAnsi" w:hAnsiTheme="majorHAnsi" w:cstheme="majorHAnsi"/>
          <w:sz w:val="20"/>
          <w:szCs w:val="20"/>
          <w:shd w:val="clear" w:color="auto" w:fill="FFFFFF"/>
          <w:lang w:val="es-AR"/>
        </w:rPr>
        <w:t xml:space="preserve"> </w:t>
      </w:r>
    </w:p>
    <w:p w:rsidR="00FA0F54" w:rsidRPr="00DA5D69" w:rsidRDefault="00FA0F54" w:rsidP="00DA5D69">
      <w:pPr>
        <w:spacing w:line="360" w:lineRule="auto"/>
        <w:jc w:val="both"/>
        <w:rPr>
          <w:rFonts w:asciiTheme="majorHAnsi" w:hAnsiTheme="majorHAnsi" w:cstheme="majorHAnsi"/>
          <w:sz w:val="20"/>
          <w:szCs w:val="20"/>
          <w:shd w:val="clear" w:color="auto" w:fill="FFFFFF"/>
          <w:lang w:val="es-AR"/>
        </w:rPr>
      </w:pPr>
    </w:p>
    <w:p w:rsidR="00147579" w:rsidRPr="00DA5D69" w:rsidRDefault="00CA6608" w:rsidP="00DA5D69">
      <w:pPr>
        <w:spacing w:line="360" w:lineRule="auto"/>
        <w:jc w:val="both"/>
        <w:rPr>
          <w:rFonts w:asciiTheme="majorHAnsi" w:hAnsiTheme="majorHAnsi" w:cstheme="majorHAnsi"/>
          <w:sz w:val="20"/>
          <w:szCs w:val="20"/>
        </w:rPr>
      </w:pPr>
      <w:r w:rsidRPr="00DA5D69">
        <w:rPr>
          <w:rFonts w:asciiTheme="majorHAnsi" w:hAnsiTheme="majorHAnsi" w:cstheme="majorHAnsi"/>
          <w:sz w:val="20"/>
          <w:szCs w:val="20"/>
        </w:rPr>
        <w:t xml:space="preserve">Consideramos </w:t>
      </w:r>
      <w:r w:rsidR="00750C44" w:rsidRPr="00DA5D69">
        <w:rPr>
          <w:rFonts w:asciiTheme="majorHAnsi" w:hAnsiTheme="majorHAnsi" w:cstheme="majorHAnsi"/>
          <w:sz w:val="20"/>
          <w:szCs w:val="20"/>
        </w:rPr>
        <w:t>importante tender puentes de retroalimentación entre la</w:t>
      </w:r>
      <w:r w:rsidR="00E81370" w:rsidRPr="00DA5D69">
        <w:rPr>
          <w:rFonts w:asciiTheme="majorHAnsi" w:hAnsiTheme="majorHAnsi" w:cstheme="majorHAnsi"/>
          <w:sz w:val="20"/>
          <w:szCs w:val="20"/>
        </w:rPr>
        <w:t>s lecciones aprendidas en</w:t>
      </w:r>
      <w:r w:rsidR="00750C44" w:rsidRPr="00DA5D69">
        <w:rPr>
          <w:rFonts w:asciiTheme="majorHAnsi" w:hAnsiTheme="majorHAnsi" w:cstheme="majorHAnsi"/>
          <w:sz w:val="20"/>
          <w:szCs w:val="20"/>
        </w:rPr>
        <w:t xml:space="preserve"> procesos de J</w:t>
      </w:r>
      <w:r w:rsidR="00851D15" w:rsidRPr="00DA5D69">
        <w:rPr>
          <w:rFonts w:asciiTheme="majorHAnsi" w:hAnsiTheme="majorHAnsi" w:cstheme="majorHAnsi"/>
          <w:sz w:val="20"/>
          <w:szCs w:val="20"/>
        </w:rPr>
        <w:t xml:space="preserve">usticia Transicional (JT) </w:t>
      </w:r>
      <w:r w:rsidR="00750C44" w:rsidRPr="00DA5D69">
        <w:rPr>
          <w:rFonts w:asciiTheme="majorHAnsi" w:hAnsiTheme="majorHAnsi" w:cstheme="majorHAnsi"/>
          <w:sz w:val="20"/>
          <w:szCs w:val="20"/>
        </w:rPr>
        <w:t xml:space="preserve">y las discusiones sobre el alcance, formas y contenido del tratado que discutimos. </w:t>
      </w:r>
      <w:r w:rsidR="00656167" w:rsidRPr="00DA5D69">
        <w:rPr>
          <w:rFonts w:asciiTheme="majorHAnsi" w:hAnsiTheme="majorHAnsi" w:cstheme="majorHAnsi"/>
          <w:sz w:val="20"/>
          <w:szCs w:val="20"/>
        </w:rPr>
        <w:t>N</w:t>
      </w:r>
      <w:r w:rsidR="00750C44" w:rsidRPr="00DA5D69">
        <w:rPr>
          <w:rFonts w:asciiTheme="majorHAnsi" w:hAnsiTheme="majorHAnsi" w:cstheme="majorHAnsi"/>
          <w:sz w:val="20"/>
          <w:szCs w:val="20"/>
        </w:rPr>
        <w:t>os interesa c</w:t>
      </w:r>
      <w:r w:rsidR="00446AEA" w:rsidRPr="00DA5D69">
        <w:rPr>
          <w:rFonts w:asciiTheme="majorHAnsi" w:hAnsiTheme="majorHAnsi" w:cstheme="majorHAnsi"/>
          <w:sz w:val="20"/>
          <w:szCs w:val="20"/>
        </w:rPr>
        <w:t xml:space="preserve">oncretamente </w:t>
      </w:r>
      <w:r w:rsidR="00891EBD" w:rsidRPr="00DA5D69">
        <w:rPr>
          <w:rFonts w:asciiTheme="majorHAnsi" w:hAnsiTheme="majorHAnsi" w:cstheme="majorHAnsi"/>
          <w:sz w:val="20"/>
          <w:szCs w:val="20"/>
        </w:rPr>
        <w:t>llamar la atenci</w:t>
      </w:r>
      <w:r w:rsidR="00446AEA" w:rsidRPr="00DA5D69">
        <w:rPr>
          <w:rFonts w:asciiTheme="majorHAnsi" w:hAnsiTheme="majorHAnsi" w:cstheme="majorHAnsi"/>
          <w:sz w:val="20"/>
          <w:szCs w:val="20"/>
        </w:rPr>
        <w:t xml:space="preserve">ón </w:t>
      </w:r>
      <w:r w:rsidR="00891EBD" w:rsidRPr="00DA5D69">
        <w:rPr>
          <w:rFonts w:asciiTheme="majorHAnsi" w:hAnsiTheme="majorHAnsi" w:cstheme="majorHAnsi"/>
          <w:sz w:val="20"/>
          <w:szCs w:val="20"/>
        </w:rPr>
        <w:t xml:space="preserve">sobre </w:t>
      </w:r>
      <w:r w:rsidRPr="00DA5D69">
        <w:rPr>
          <w:rFonts w:asciiTheme="majorHAnsi" w:hAnsiTheme="majorHAnsi" w:cstheme="majorHAnsi"/>
          <w:sz w:val="20"/>
          <w:szCs w:val="20"/>
        </w:rPr>
        <w:t>dos</w:t>
      </w:r>
      <w:r w:rsidR="00656167" w:rsidRPr="00DA5D69">
        <w:rPr>
          <w:rFonts w:asciiTheme="majorHAnsi" w:hAnsiTheme="majorHAnsi" w:cstheme="majorHAnsi"/>
          <w:sz w:val="20"/>
          <w:szCs w:val="20"/>
        </w:rPr>
        <w:t xml:space="preserve"> de esta</w:t>
      </w:r>
      <w:r w:rsidR="00446AEA" w:rsidRPr="00DA5D69">
        <w:rPr>
          <w:rFonts w:asciiTheme="majorHAnsi" w:hAnsiTheme="majorHAnsi" w:cstheme="majorHAnsi"/>
          <w:sz w:val="20"/>
          <w:szCs w:val="20"/>
        </w:rPr>
        <w:t>s</w:t>
      </w:r>
      <w:r w:rsidR="00656167" w:rsidRPr="00DA5D69">
        <w:rPr>
          <w:rFonts w:asciiTheme="majorHAnsi" w:hAnsiTheme="majorHAnsi" w:cstheme="majorHAnsi"/>
          <w:sz w:val="20"/>
          <w:szCs w:val="20"/>
        </w:rPr>
        <w:t xml:space="preserve"> lecciones</w:t>
      </w:r>
      <w:r w:rsidR="00446AEA" w:rsidRPr="00DA5D69">
        <w:rPr>
          <w:rFonts w:asciiTheme="majorHAnsi" w:hAnsiTheme="majorHAnsi" w:cstheme="majorHAnsi"/>
          <w:sz w:val="20"/>
          <w:szCs w:val="20"/>
        </w:rPr>
        <w:t xml:space="preserve">: </w:t>
      </w:r>
      <w:r w:rsidR="00147579" w:rsidRPr="00DA5D69">
        <w:rPr>
          <w:rFonts w:asciiTheme="majorHAnsi" w:hAnsiTheme="majorHAnsi" w:cstheme="majorHAnsi"/>
          <w:sz w:val="20"/>
          <w:szCs w:val="20"/>
        </w:rPr>
        <w:t>En primer lugar, l</w:t>
      </w:r>
      <w:r w:rsidR="00446AEA" w:rsidRPr="00DA5D69">
        <w:rPr>
          <w:rFonts w:asciiTheme="majorHAnsi" w:hAnsiTheme="majorHAnsi" w:cstheme="majorHAnsi"/>
          <w:sz w:val="20"/>
          <w:szCs w:val="20"/>
        </w:rPr>
        <w:t>a necesidad de</w:t>
      </w:r>
      <w:r w:rsidR="00750C44" w:rsidRPr="00DA5D69">
        <w:rPr>
          <w:rFonts w:asciiTheme="majorHAnsi" w:hAnsiTheme="majorHAnsi" w:cstheme="majorHAnsi"/>
          <w:sz w:val="20"/>
          <w:szCs w:val="20"/>
        </w:rPr>
        <w:t xml:space="preserve"> que </w:t>
      </w:r>
      <w:r w:rsidR="00702DA0" w:rsidRPr="00DA5D69">
        <w:rPr>
          <w:rFonts w:asciiTheme="majorHAnsi" w:hAnsiTheme="majorHAnsi" w:cstheme="majorHAnsi"/>
          <w:sz w:val="20"/>
          <w:szCs w:val="20"/>
        </w:rPr>
        <w:t xml:space="preserve">el instrumento contenga </w:t>
      </w:r>
      <w:r w:rsidR="00656167" w:rsidRPr="00DA5D69">
        <w:rPr>
          <w:rFonts w:asciiTheme="majorHAnsi" w:hAnsiTheme="majorHAnsi" w:cstheme="majorHAnsi"/>
          <w:sz w:val="20"/>
          <w:szCs w:val="20"/>
        </w:rPr>
        <w:t xml:space="preserve">mecanismos de </w:t>
      </w:r>
      <w:r w:rsidR="00750C44" w:rsidRPr="00DA5D69">
        <w:rPr>
          <w:rFonts w:asciiTheme="majorHAnsi" w:eastAsia="Calibri" w:hAnsiTheme="majorHAnsi" w:cstheme="majorHAnsi"/>
          <w:sz w:val="20"/>
          <w:szCs w:val="20"/>
          <w:lang w:val="es-AR"/>
        </w:rPr>
        <w:t>responsabilidad extraterritorial de las ETN</w:t>
      </w:r>
      <w:r w:rsidR="00656167" w:rsidRPr="00DA5D69">
        <w:rPr>
          <w:rFonts w:asciiTheme="majorHAnsi" w:eastAsia="Calibri" w:hAnsiTheme="majorHAnsi" w:cstheme="majorHAnsi"/>
          <w:sz w:val="20"/>
          <w:szCs w:val="20"/>
          <w:lang w:val="es-AR"/>
        </w:rPr>
        <w:t>.</w:t>
      </w:r>
      <w:r w:rsidR="00750C44" w:rsidRPr="00DA5D69">
        <w:rPr>
          <w:rFonts w:asciiTheme="majorHAnsi" w:eastAsia="Calibri" w:hAnsiTheme="majorHAnsi" w:cstheme="majorHAnsi"/>
          <w:sz w:val="20"/>
          <w:szCs w:val="20"/>
          <w:lang w:val="es-AR"/>
        </w:rPr>
        <w:t xml:space="preserve"> </w:t>
      </w:r>
      <w:r w:rsidR="00147579" w:rsidRPr="00DA5D69">
        <w:rPr>
          <w:rFonts w:asciiTheme="majorHAnsi" w:eastAsia="Calibri" w:hAnsiTheme="majorHAnsi" w:cstheme="majorHAnsi"/>
          <w:sz w:val="20"/>
          <w:szCs w:val="20"/>
          <w:lang w:val="es-AR"/>
        </w:rPr>
        <w:t>En segundo lugar</w:t>
      </w:r>
      <w:r w:rsidR="00147579" w:rsidRPr="00DA5D69">
        <w:rPr>
          <w:rFonts w:asciiTheme="majorHAnsi" w:hAnsiTheme="majorHAnsi" w:cstheme="majorHAnsi"/>
          <w:sz w:val="20"/>
          <w:szCs w:val="20"/>
        </w:rPr>
        <w:t>, la importancia de que el futuro instrumento vinculantes</w:t>
      </w:r>
      <w:r w:rsidR="00446AEA" w:rsidRPr="00DA5D69">
        <w:rPr>
          <w:rFonts w:asciiTheme="majorHAnsi" w:hAnsiTheme="majorHAnsi" w:cstheme="majorHAnsi"/>
          <w:sz w:val="20"/>
          <w:szCs w:val="20"/>
        </w:rPr>
        <w:t xml:space="preserve"> </w:t>
      </w:r>
      <w:r w:rsidR="00147579" w:rsidRPr="00DA5D69">
        <w:rPr>
          <w:rFonts w:asciiTheme="majorHAnsi" w:hAnsiTheme="majorHAnsi" w:cstheme="majorHAnsi"/>
          <w:sz w:val="20"/>
          <w:szCs w:val="20"/>
        </w:rPr>
        <w:t xml:space="preserve">prevea </w:t>
      </w:r>
      <w:r w:rsidR="00446AEA" w:rsidRPr="00DA5D69">
        <w:rPr>
          <w:rFonts w:asciiTheme="majorHAnsi" w:hAnsiTheme="majorHAnsi" w:cstheme="majorHAnsi"/>
          <w:sz w:val="20"/>
          <w:szCs w:val="20"/>
        </w:rPr>
        <w:t>un mecanismo</w:t>
      </w:r>
      <w:r w:rsidR="00B80908" w:rsidRPr="00DA5D69">
        <w:rPr>
          <w:rFonts w:asciiTheme="majorHAnsi" w:hAnsiTheme="majorHAnsi" w:cstheme="majorHAnsi"/>
          <w:sz w:val="20"/>
          <w:szCs w:val="20"/>
        </w:rPr>
        <w:t xml:space="preserve"> </w:t>
      </w:r>
      <w:r w:rsidR="00750C44" w:rsidRPr="00DA5D69">
        <w:rPr>
          <w:rFonts w:asciiTheme="majorHAnsi" w:hAnsiTheme="majorHAnsi" w:cstheme="majorHAnsi"/>
          <w:sz w:val="20"/>
          <w:szCs w:val="20"/>
        </w:rPr>
        <w:t xml:space="preserve">de </w:t>
      </w:r>
      <w:r w:rsidR="00147579" w:rsidRPr="00DA5D69">
        <w:rPr>
          <w:rFonts w:asciiTheme="majorHAnsi" w:hAnsiTheme="majorHAnsi" w:cstheme="majorHAnsi"/>
          <w:sz w:val="20"/>
          <w:szCs w:val="20"/>
        </w:rPr>
        <w:t>monitoreo</w:t>
      </w:r>
      <w:r w:rsidR="00750C44" w:rsidRPr="00DA5D69">
        <w:rPr>
          <w:rFonts w:asciiTheme="majorHAnsi" w:hAnsiTheme="majorHAnsi" w:cstheme="majorHAnsi"/>
          <w:sz w:val="20"/>
          <w:szCs w:val="20"/>
        </w:rPr>
        <w:t xml:space="preserve"> del cumplimiento del </w:t>
      </w:r>
      <w:r w:rsidR="00147579" w:rsidRPr="00DA5D69">
        <w:rPr>
          <w:rFonts w:asciiTheme="majorHAnsi" w:hAnsiTheme="majorHAnsi" w:cstheme="majorHAnsi"/>
          <w:sz w:val="20"/>
          <w:szCs w:val="20"/>
        </w:rPr>
        <w:t xml:space="preserve">mismo. </w:t>
      </w:r>
    </w:p>
    <w:p w:rsidR="00CF0720" w:rsidRPr="00DA5D69" w:rsidRDefault="00CF0720" w:rsidP="00DA5D69">
      <w:pPr>
        <w:spacing w:line="360" w:lineRule="auto"/>
        <w:jc w:val="both"/>
        <w:rPr>
          <w:rFonts w:asciiTheme="majorHAnsi" w:hAnsiTheme="majorHAnsi" w:cstheme="majorHAnsi"/>
          <w:sz w:val="20"/>
          <w:szCs w:val="20"/>
          <w:lang w:val="es-AR"/>
        </w:rPr>
      </w:pPr>
    </w:p>
    <w:p w:rsidR="00CF0720" w:rsidRPr="00DA5D69" w:rsidRDefault="00851D15" w:rsidP="00DA5D69">
      <w:pPr>
        <w:spacing w:line="360" w:lineRule="auto"/>
        <w:jc w:val="both"/>
        <w:rPr>
          <w:rFonts w:asciiTheme="majorHAnsi" w:hAnsiTheme="majorHAnsi" w:cstheme="majorHAnsi"/>
          <w:sz w:val="20"/>
          <w:szCs w:val="20"/>
        </w:rPr>
      </w:pPr>
      <w:r w:rsidRPr="00DA5D69">
        <w:rPr>
          <w:rFonts w:asciiTheme="majorHAnsi" w:hAnsiTheme="majorHAnsi" w:cstheme="majorHAnsi"/>
          <w:sz w:val="20"/>
          <w:szCs w:val="20"/>
        </w:rPr>
        <w:t xml:space="preserve">Una </w:t>
      </w:r>
      <w:r w:rsidR="00656167" w:rsidRPr="00DA5D69">
        <w:rPr>
          <w:rFonts w:asciiTheme="majorHAnsi" w:hAnsiTheme="majorHAnsi" w:cstheme="majorHAnsi"/>
          <w:sz w:val="20"/>
          <w:szCs w:val="20"/>
        </w:rPr>
        <w:t xml:space="preserve">de las formas de alcanzar </w:t>
      </w:r>
      <w:r w:rsidR="00CF0720" w:rsidRPr="00DA5D69">
        <w:rPr>
          <w:rFonts w:asciiTheme="majorHAnsi" w:hAnsiTheme="majorHAnsi" w:cstheme="majorHAnsi"/>
          <w:sz w:val="20"/>
          <w:szCs w:val="20"/>
        </w:rPr>
        <w:t xml:space="preserve">justicia y reparación por </w:t>
      </w:r>
      <w:r w:rsidRPr="00DA5D69">
        <w:rPr>
          <w:rFonts w:asciiTheme="majorHAnsi" w:hAnsiTheme="majorHAnsi" w:cstheme="majorHAnsi"/>
          <w:sz w:val="20"/>
          <w:szCs w:val="20"/>
        </w:rPr>
        <w:t>delitos de lesa humanidad</w:t>
      </w:r>
      <w:r w:rsidR="00CF0720" w:rsidRPr="00DA5D69">
        <w:rPr>
          <w:rFonts w:asciiTheme="majorHAnsi" w:hAnsiTheme="majorHAnsi" w:cstheme="majorHAnsi"/>
          <w:sz w:val="20"/>
          <w:szCs w:val="20"/>
        </w:rPr>
        <w:t xml:space="preserve"> ha sido a través de procesos judiciales que tienen lugar en países donde no se han llevado a cabo esas violaciones. Este tipo de procesos judiciales, basados generalmente en principios de justicia universal, han permitido acercar justicia a victimas específicas. A su vez, contribuyen en el largo plazo, a generar cierta presión internacional que, junto a otras variables, facilitan las condiciones para alcanzar justicia por violaciones masivas a los DDHH</w:t>
      </w:r>
      <w:r w:rsidR="00CF0720" w:rsidRPr="00DA5D69">
        <w:rPr>
          <w:rStyle w:val="Refdenotaalpie"/>
          <w:rFonts w:asciiTheme="majorHAnsi" w:hAnsiTheme="majorHAnsi" w:cstheme="majorHAnsi"/>
          <w:sz w:val="20"/>
          <w:szCs w:val="20"/>
        </w:rPr>
        <w:footnoteReference w:id="1"/>
      </w:r>
      <w:r w:rsidR="00CF0720" w:rsidRPr="00DA5D69">
        <w:rPr>
          <w:rFonts w:asciiTheme="majorHAnsi" w:hAnsiTheme="majorHAnsi" w:cstheme="majorHAnsi"/>
          <w:sz w:val="20"/>
          <w:szCs w:val="20"/>
        </w:rPr>
        <w:t xml:space="preserve">. </w:t>
      </w:r>
    </w:p>
    <w:p w:rsidR="00851D15" w:rsidRPr="00DA5D69" w:rsidRDefault="00851D15" w:rsidP="00DA5D69">
      <w:pPr>
        <w:spacing w:line="360" w:lineRule="auto"/>
        <w:jc w:val="both"/>
        <w:rPr>
          <w:rFonts w:asciiTheme="majorHAnsi" w:hAnsiTheme="majorHAnsi" w:cstheme="majorHAnsi"/>
          <w:sz w:val="20"/>
          <w:szCs w:val="20"/>
        </w:rPr>
      </w:pPr>
    </w:p>
    <w:p w:rsidR="00FA0F54" w:rsidRPr="00DA5D69" w:rsidRDefault="00CF0720" w:rsidP="00DA5D69">
      <w:pPr>
        <w:spacing w:line="360" w:lineRule="auto"/>
        <w:jc w:val="both"/>
        <w:rPr>
          <w:rFonts w:asciiTheme="majorHAnsi" w:hAnsiTheme="majorHAnsi" w:cstheme="majorHAnsi"/>
          <w:sz w:val="20"/>
          <w:szCs w:val="20"/>
        </w:rPr>
      </w:pPr>
      <w:r w:rsidRPr="00DA5D69">
        <w:rPr>
          <w:rFonts w:asciiTheme="majorHAnsi" w:hAnsiTheme="majorHAnsi" w:cstheme="majorHAnsi"/>
          <w:sz w:val="20"/>
          <w:szCs w:val="20"/>
        </w:rPr>
        <w:t xml:space="preserve">En relación a la responsabilidad de ETN y OE en contextos de transición, observamos que esta vía ha sido explorada como forma de acercar justicia y reparación a las víctimas. De los 86 procesos </w:t>
      </w:r>
      <w:r w:rsidR="00656167" w:rsidRPr="00DA5D69">
        <w:rPr>
          <w:rFonts w:asciiTheme="majorHAnsi" w:hAnsiTheme="majorHAnsi" w:cstheme="majorHAnsi"/>
          <w:sz w:val="20"/>
          <w:szCs w:val="20"/>
        </w:rPr>
        <w:t>judiciales identificados por</w:t>
      </w:r>
      <w:r w:rsidRPr="00DA5D69">
        <w:rPr>
          <w:rFonts w:asciiTheme="majorHAnsi" w:hAnsiTheme="majorHAnsi" w:cstheme="majorHAnsi"/>
          <w:sz w:val="20"/>
          <w:szCs w:val="20"/>
        </w:rPr>
        <w:t xml:space="preserve"> investigadores de la Universidad de Oxford, 40 ocurrieron u ocurren en estados diferentes de aquellos donde se cometieron las violaciones a DDHH</w:t>
      </w:r>
      <w:r w:rsidRPr="00DA5D69">
        <w:rPr>
          <w:rStyle w:val="Refdenotaalpie"/>
          <w:rFonts w:asciiTheme="majorHAnsi" w:hAnsiTheme="majorHAnsi" w:cstheme="majorHAnsi"/>
          <w:sz w:val="20"/>
          <w:szCs w:val="20"/>
        </w:rPr>
        <w:footnoteReference w:id="2"/>
      </w:r>
      <w:r w:rsidRPr="00DA5D69">
        <w:rPr>
          <w:rFonts w:asciiTheme="majorHAnsi" w:hAnsiTheme="majorHAnsi" w:cstheme="majorHAnsi"/>
          <w:sz w:val="20"/>
          <w:szCs w:val="20"/>
        </w:rPr>
        <w:t xml:space="preserve">. En este contexto, el tratado contribuiría a lograr los fines de la JT estableciendo una regulación que facilite procesos judiciales en países extranjeros estableciendo un sistema de responsabilidad extraterritorial respecto de las ETN. Dicho sistema debería incluir no solo la obligación de los estados de garantizar que las ETN radicadas en su territorio se abstengan de violar DDHH en otros países, sino </w:t>
      </w:r>
      <w:r w:rsidRPr="00DA5D69">
        <w:rPr>
          <w:rFonts w:asciiTheme="majorHAnsi" w:hAnsiTheme="majorHAnsi" w:cstheme="majorHAnsi"/>
          <w:sz w:val="20"/>
          <w:szCs w:val="20"/>
        </w:rPr>
        <w:lastRenderedPageBreak/>
        <w:t>también implementar medidas efectivas de acceso a la justicia</w:t>
      </w:r>
      <w:r w:rsidR="00656167" w:rsidRPr="00DA5D69">
        <w:rPr>
          <w:rFonts w:asciiTheme="majorHAnsi" w:hAnsiTheme="majorHAnsi" w:cstheme="majorHAnsi"/>
          <w:sz w:val="20"/>
          <w:szCs w:val="20"/>
        </w:rPr>
        <w:t>,</w:t>
      </w:r>
      <w:r w:rsidRPr="00DA5D69">
        <w:rPr>
          <w:rFonts w:asciiTheme="majorHAnsi" w:hAnsiTheme="majorHAnsi" w:cstheme="majorHAnsi"/>
          <w:sz w:val="20"/>
          <w:szCs w:val="20"/>
        </w:rPr>
        <w:t xml:space="preserve"> en su territorio</w:t>
      </w:r>
      <w:r w:rsidR="00656167" w:rsidRPr="00DA5D69">
        <w:rPr>
          <w:rFonts w:asciiTheme="majorHAnsi" w:hAnsiTheme="majorHAnsi" w:cstheme="majorHAnsi"/>
          <w:sz w:val="20"/>
          <w:szCs w:val="20"/>
        </w:rPr>
        <w:t>,</w:t>
      </w:r>
      <w:r w:rsidRPr="00DA5D69">
        <w:rPr>
          <w:rFonts w:asciiTheme="majorHAnsi" w:hAnsiTheme="majorHAnsi" w:cstheme="majorHAnsi"/>
          <w:sz w:val="20"/>
          <w:szCs w:val="20"/>
        </w:rPr>
        <w:t xml:space="preserve"> que puedan ser usadas por las víctimas de violaciones a los DDHH cometidas por ETN en territorio de otros estados.</w:t>
      </w:r>
    </w:p>
    <w:p w:rsidR="00851D15" w:rsidRPr="00DA5D69" w:rsidRDefault="00851D15" w:rsidP="00DA5D69">
      <w:pPr>
        <w:spacing w:line="360" w:lineRule="auto"/>
        <w:jc w:val="both"/>
        <w:rPr>
          <w:rFonts w:asciiTheme="majorHAnsi" w:hAnsiTheme="majorHAnsi" w:cstheme="majorHAnsi"/>
          <w:sz w:val="20"/>
          <w:szCs w:val="20"/>
        </w:rPr>
      </w:pPr>
    </w:p>
    <w:p w:rsidR="002E7DAC" w:rsidRPr="00DA5D69" w:rsidRDefault="00CF0720" w:rsidP="00DA5D69">
      <w:pPr>
        <w:spacing w:line="360" w:lineRule="auto"/>
        <w:jc w:val="both"/>
        <w:rPr>
          <w:rFonts w:asciiTheme="majorHAnsi" w:hAnsiTheme="majorHAnsi" w:cstheme="majorHAnsi"/>
          <w:sz w:val="20"/>
          <w:szCs w:val="20"/>
        </w:rPr>
      </w:pPr>
      <w:r w:rsidRPr="00DA5D69">
        <w:rPr>
          <w:rFonts w:asciiTheme="majorHAnsi" w:hAnsiTheme="majorHAnsi" w:cstheme="majorHAnsi"/>
          <w:sz w:val="20"/>
          <w:szCs w:val="20"/>
        </w:rPr>
        <w:t xml:space="preserve">Un segundo elemento que interesa </w:t>
      </w:r>
      <w:r w:rsidR="003D6EF5" w:rsidRPr="00DA5D69">
        <w:rPr>
          <w:rFonts w:asciiTheme="majorHAnsi" w:hAnsiTheme="majorHAnsi" w:cstheme="majorHAnsi"/>
          <w:sz w:val="20"/>
          <w:szCs w:val="20"/>
        </w:rPr>
        <w:t xml:space="preserve">destacar </w:t>
      </w:r>
      <w:r w:rsidR="00656167" w:rsidRPr="00DA5D69">
        <w:rPr>
          <w:rFonts w:asciiTheme="majorHAnsi" w:hAnsiTheme="majorHAnsi" w:cstheme="majorHAnsi"/>
          <w:sz w:val="20"/>
          <w:szCs w:val="20"/>
        </w:rPr>
        <w:t>es la evidencia de que</w:t>
      </w:r>
      <w:r w:rsidR="003D6EF5" w:rsidRPr="00DA5D69">
        <w:rPr>
          <w:rFonts w:asciiTheme="majorHAnsi" w:hAnsiTheme="majorHAnsi" w:cstheme="majorHAnsi"/>
          <w:sz w:val="20"/>
          <w:szCs w:val="20"/>
        </w:rPr>
        <w:t xml:space="preserve"> l</w:t>
      </w:r>
      <w:r w:rsidR="009A3498" w:rsidRPr="00DA5D69">
        <w:rPr>
          <w:rFonts w:asciiTheme="majorHAnsi" w:hAnsiTheme="majorHAnsi" w:cstheme="majorHAnsi"/>
          <w:sz w:val="20"/>
          <w:szCs w:val="20"/>
        </w:rPr>
        <w:t xml:space="preserve">a presión internacional ejercida por </w:t>
      </w:r>
      <w:r w:rsidR="003D6EF5" w:rsidRPr="00DA5D69">
        <w:rPr>
          <w:rFonts w:asciiTheme="majorHAnsi" w:hAnsiTheme="majorHAnsi" w:cstheme="majorHAnsi"/>
          <w:sz w:val="20"/>
          <w:szCs w:val="20"/>
        </w:rPr>
        <w:t xml:space="preserve">los </w:t>
      </w:r>
      <w:r w:rsidR="009A3498" w:rsidRPr="00DA5D69">
        <w:rPr>
          <w:rFonts w:asciiTheme="majorHAnsi" w:hAnsiTheme="majorHAnsi" w:cstheme="majorHAnsi"/>
          <w:sz w:val="20"/>
          <w:szCs w:val="20"/>
        </w:rPr>
        <w:t xml:space="preserve">mecanismos </w:t>
      </w:r>
      <w:r w:rsidRPr="00DA5D69">
        <w:rPr>
          <w:rFonts w:asciiTheme="majorHAnsi" w:hAnsiTheme="majorHAnsi" w:cstheme="majorHAnsi"/>
          <w:sz w:val="20"/>
          <w:szCs w:val="20"/>
        </w:rPr>
        <w:t>de monitoreo</w:t>
      </w:r>
      <w:r w:rsidR="009A3498" w:rsidRPr="00DA5D69">
        <w:rPr>
          <w:rFonts w:asciiTheme="majorHAnsi" w:hAnsiTheme="majorHAnsi" w:cstheme="majorHAnsi"/>
          <w:sz w:val="20"/>
          <w:szCs w:val="20"/>
        </w:rPr>
        <w:t xml:space="preserve"> </w:t>
      </w:r>
      <w:r w:rsidRPr="00DA5D69">
        <w:rPr>
          <w:rFonts w:asciiTheme="majorHAnsi" w:hAnsiTheme="majorHAnsi" w:cstheme="majorHAnsi"/>
          <w:sz w:val="20"/>
          <w:szCs w:val="20"/>
        </w:rPr>
        <w:t xml:space="preserve">de </w:t>
      </w:r>
      <w:r w:rsidR="009A3498" w:rsidRPr="00DA5D69">
        <w:rPr>
          <w:rFonts w:asciiTheme="majorHAnsi" w:hAnsiTheme="majorHAnsi" w:cstheme="majorHAnsi"/>
          <w:sz w:val="20"/>
          <w:szCs w:val="20"/>
        </w:rPr>
        <w:t>la situación de los DDHH tiene un impacto positivo en el desmantelamiento de barreras estructurales que favorecen la impunidad</w:t>
      </w:r>
      <w:r w:rsidR="00656167" w:rsidRPr="00DA5D69">
        <w:rPr>
          <w:rFonts w:asciiTheme="majorHAnsi" w:hAnsiTheme="majorHAnsi" w:cstheme="majorHAnsi"/>
          <w:sz w:val="20"/>
          <w:szCs w:val="20"/>
        </w:rPr>
        <w:t>,</w:t>
      </w:r>
      <w:r w:rsidR="009A3498" w:rsidRPr="00DA5D69">
        <w:rPr>
          <w:rFonts w:asciiTheme="majorHAnsi" w:hAnsiTheme="majorHAnsi" w:cstheme="majorHAnsi"/>
          <w:sz w:val="20"/>
          <w:szCs w:val="20"/>
        </w:rPr>
        <w:t xml:space="preserve"> en contextos de J</w:t>
      </w:r>
      <w:r w:rsidR="00FC33CE" w:rsidRPr="00DA5D69">
        <w:rPr>
          <w:rFonts w:asciiTheme="majorHAnsi" w:hAnsiTheme="majorHAnsi" w:cstheme="majorHAnsi"/>
          <w:sz w:val="20"/>
          <w:szCs w:val="20"/>
        </w:rPr>
        <w:t xml:space="preserve">usticia </w:t>
      </w:r>
      <w:r w:rsidR="009A3498" w:rsidRPr="00DA5D69">
        <w:rPr>
          <w:rFonts w:asciiTheme="majorHAnsi" w:hAnsiTheme="majorHAnsi" w:cstheme="majorHAnsi"/>
          <w:sz w:val="20"/>
          <w:szCs w:val="20"/>
        </w:rPr>
        <w:t>T</w:t>
      </w:r>
      <w:r w:rsidR="00FC33CE" w:rsidRPr="00DA5D69">
        <w:rPr>
          <w:rFonts w:asciiTheme="majorHAnsi" w:hAnsiTheme="majorHAnsi" w:cstheme="majorHAnsi"/>
          <w:sz w:val="20"/>
          <w:szCs w:val="20"/>
        </w:rPr>
        <w:t>ransicional</w:t>
      </w:r>
      <w:r w:rsidR="00CA2A39" w:rsidRPr="00DA5D69">
        <w:rPr>
          <w:rFonts w:asciiTheme="majorHAnsi" w:hAnsiTheme="majorHAnsi" w:cstheme="majorHAnsi"/>
          <w:sz w:val="20"/>
          <w:szCs w:val="20"/>
        </w:rPr>
        <w:t xml:space="preserve">. </w:t>
      </w:r>
      <w:r w:rsidR="009A3498" w:rsidRPr="00DA5D69">
        <w:rPr>
          <w:rFonts w:asciiTheme="majorHAnsi" w:hAnsiTheme="majorHAnsi" w:cstheme="majorHAnsi"/>
          <w:sz w:val="20"/>
          <w:szCs w:val="20"/>
        </w:rPr>
        <w:t>Estudios empíricos demuestran que la confluencia de cuatro condiciones favorece</w:t>
      </w:r>
      <w:r w:rsidR="003D6EF5" w:rsidRPr="00DA5D69">
        <w:rPr>
          <w:rFonts w:asciiTheme="majorHAnsi" w:hAnsiTheme="majorHAnsi" w:cstheme="majorHAnsi"/>
          <w:sz w:val="20"/>
          <w:szCs w:val="20"/>
        </w:rPr>
        <w:t>n</w:t>
      </w:r>
      <w:r w:rsidR="009A3498" w:rsidRPr="00DA5D69">
        <w:rPr>
          <w:rFonts w:asciiTheme="majorHAnsi" w:hAnsiTheme="majorHAnsi" w:cstheme="majorHAnsi"/>
          <w:sz w:val="20"/>
          <w:szCs w:val="20"/>
        </w:rPr>
        <w:t xml:space="preserve"> la efectiva implementación de mecanismos judiciales de rendició</w:t>
      </w:r>
      <w:r w:rsidR="00FC33CE" w:rsidRPr="00DA5D69">
        <w:rPr>
          <w:rFonts w:asciiTheme="majorHAnsi" w:hAnsiTheme="majorHAnsi" w:cstheme="majorHAnsi"/>
          <w:sz w:val="20"/>
          <w:szCs w:val="20"/>
        </w:rPr>
        <w:t xml:space="preserve">n de cuentas, estas son: </w:t>
      </w:r>
      <w:r w:rsidR="003D6EF5" w:rsidRPr="00DA5D69">
        <w:rPr>
          <w:rFonts w:asciiTheme="majorHAnsi" w:hAnsiTheme="majorHAnsi" w:cstheme="majorHAnsi"/>
          <w:sz w:val="20"/>
          <w:szCs w:val="20"/>
        </w:rPr>
        <w:t xml:space="preserve">la existencia de iniciativa judicial; </w:t>
      </w:r>
      <w:r w:rsidR="00FC33CE" w:rsidRPr="00DA5D69">
        <w:rPr>
          <w:rFonts w:asciiTheme="majorHAnsi" w:hAnsiTheme="majorHAnsi" w:cstheme="majorHAnsi"/>
          <w:sz w:val="20"/>
          <w:szCs w:val="20"/>
        </w:rPr>
        <w:t>la ausencia, o debilidad</w:t>
      </w:r>
      <w:r w:rsidR="009A3498" w:rsidRPr="00DA5D69">
        <w:rPr>
          <w:rFonts w:asciiTheme="majorHAnsi" w:hAnsiTheme="majorHAnsi" w:cstheme="majorHAnsi"/>
          <w:sz w:val="20"/>
          <w:szCs w:val="20"/>
        </w:rPr>
        <w:t xml:space="preserve">, de actores con capacidad veto a </w:t>
      </w:r>
      <w:r w:rsidR="003D6EF5" w:rsidRPr="00DA5D69">
        <w:rPr>
          <w:rFonts w:asciiTheme="majorHAnsi" w:hAnsiTheme="majorHAnsi" w:cstheme="majorHAnsi"/>
          <w:sz w:val="20"/>
          <w:szCs w:val="20"/>
        </w:rPr>
        <w:t>estos</w:t>
      </w:r>
      <w:r w:rsidR="009A3498" w:rsidRPr="00DA5D69">
        <w:rPr>
          <w:rFonts w:asciiTheme="majorHAnsi" w:hAnsiTheme="majorHAnsi" w:cstheme="majorHAnsi"/>
          <w:sz w:val="20"/>
          <w:szCs w:val="20"/>
        </w:rPr>
        <w:t xml:space="preserve"> procesos</w:t>
      </w:r>
      <w:r w:rsidR="003D6EF5" w:rsidRPr="00DA5D69">
        <w:rPr>
          <w:rFonts w:asciiTheme="majorHAnsi" w:hAnsiTheme="majorHAnsi" w:cstheme="majorHAnsi"/>
          <w:sz w:val="20"/>
          <w:szCs w:val="20"/>
        </w:rPr>
        <w:t xml:space="preserve"> judiciales</w:t>
      </w:r>
      <w:r w:rsidR="009A3498" w:rsidRPr="00DA5D69">
        <w:rPr>
          <w:rFonts w:asciiTheme="majorHAnsi" w:hAnsiTheme="majorHAnsi" w:cstheme="majorHAnsi"/>
          <w:sz w:val="20"/>
          <w:szCs w:val="20"/>
        </w:rPr>
        <w:t xml:space="preserve"> de rendición de cuentas; la existencia de una</w:t>
      </w:r>
      <w:r w:rsidR="003D6EF5" w:rsidRPr="00DA5D69">
        <w:rPr>
          <w:rFonts w:asciiTheme="majorHAnsi" w:hAnsiTheme="majorHAnsi" w:cstheme="majorHAnsi"/>
          <w:sz w:val="20"/>
          <w:szCs w:val="20"/>
        </w:rPr>
        <w:t xml:space="preserve"> sociedad civil fortalecida</w:t>
      </w:r>
      <w:r w:rsidR="009A3498" w:rsidRPr="00DA5D69">
        <w:rPr>
          <w:rFonts w:asciiTheme="majorHAnsi" w:hAnsiTheme="majorHAnsi" w:cstheme="majorHAnsi"/>
          <w:sz w:val="20"/>
          <w:szCs w:val="20"/>
        </w:rPr>
        <w:t xml:space="preserve">; y la presión internacional, entendida </w:t>
      </w:r>
      <w:r w:rsidR="003D6EF5" w:rsidRPr="00DA5D69">
        <w:rPr>
          <w:rFonts w:asciiTheme="majorHAnsi" w:hAnsiTheme="majorHAnsi" w:cstheme="majorHAnsi"/>
          <w:sz w:val="20"/>
          <w:szCs w:val="20"/>
        </w:rPr>
        <w:t xml:space="preserve">esta </w:t>
      </w:r>
      <w:r w:rsidR="009A3498" w:rsidRPr="00DA5D69">
        <w:rPr>
          <w:rFonts w:asciiTheme="majorHAnsi" w:hAnsiTheme="majorHAnsi" w:cstheme="majorHAnsi"/>
          <w:sz w:val="20"/>
          <w:szCs w:val="20"/>
        </w:rPr>
        <w:t xml:space="preserve">como la existencia de pronunciamientos </w:t>
      </w:r>
      <w:r w:rsidR="003D6EF5" w:rsidRPr="00DA5D69">
        <w:rPr>
          <w:rFonts w:asciiTheme="majorHAnsi" w:hAnsiTheme="majorHAnsi" w:cstheme="majorHAnsi"/>
          <w:sz w:val="20"/>
          <w:szCs w:val="20"/>
        </w:rPr>
        <w:t xml:space="preserve">de organismos intergubernamentales </w:t>
      </w:r>
      <w:r w:rsidR="009A3498" w:rsidRPr="00DA5D69">
        <w:rPr>
          <w:rFonts w:asciiTheme="majorHAnsi" w:hAnsiTheme="majorHAnsi" w:cstheme="majorHAnsi"/>
          <w:sz w:val="20"/>
          <w:szCs w:val="20"/>
        </w:rPr>
        <w:t>en casos individuales</w:t>
      </w:r>
      <w:r w:rsidR="003D6EF5" w:rsidRPr="00DA5D69">
        <w:rPr>
          <w:rFonts w:asciiTheme="majorHAnsi" w:hAnsiTheme="majorHAnsi" w:cstheme="majorHAnsi"/>
          <w:sz w:val="20"/>
          <w:szCs w:val="20"/>
        </w:rPr>
        <w:t>,</w:t>
      </w:r>
      <w:r w:rsidR="009A3498" w:rsidRPr="00DA5D69">
        <w:rPr>
          <w:rFonts w:asciiTheme="majorHAnsi" w:hAnsiTheme="majorHAnsi" w:cstheme="majorHAnsi"/>
          <w:sz w:val="20"/>
          <w:szCs w:val="20"/>
        </w:rPr>
        <w:t xml:space="preserve"> </w:t>
      </w:r>
      <w:r w:rsidR="003D6EF5" w:rsidRPr="00DA5D69">
        <w:rPr>
          <w:rFonts w:asciiTheme="majorHAnsi" w:hAnsiTheme="majorHAnsi" w:cstheme="majorHAnsi"/>
          <w:sz w:val="20"/>
          <w:szCs w:val="20"/>
        </w:rPr>
        <w:t>en</w:t>
      </w:r>
      <w:r w:rsidR="009A3498" w:rsidRPr="00DA5D69">
        <w:rPr>
          <w:rFonts w:asciiTheme="majorHAnsi" w:hAnsiTheme="majorHAnsi" w:cstheme="majorHAnsi"/>
          <w:sz w:val="20"/>
          <w:szCs w:val="20"/>
        </w:rPr>
        <w:t xml:space="preserve"> informes generales</w:t>
      </w:r>
      <w:r w:rsidR="00FC33CE" w:rsidRPr="00DA5D69">
        <w:rPr>
          <w:rFonts w:asciiTheme="majorHAnsi" w:hAnsiTheme="majorHAnsi" w:cstheme="majorHAnsi"/>
          <w:sz w:val="20"/>
          <w:szCs w:val="20"/>
        </w:rPr>
        <w:t>, o</w:t>
      </w:r>
      <w:r w:rsidR="003D6EF5" w:rsidRPr="00DA5D69">
        <w:rPr>
          <w:rFonts w:asciiTheme="majorHAnsi" w:hAnsiTheme="majorHAnsi" w:cstheme="majorHAnsi"/>
          <w:sz w:val="20"/>
          <w:szCs w:val="20"/>
        </w:rPr>
        <w:t xml:space="preserve"> informes</w:t>
      </w:r>
      <w:r w:rsidR="00FC33CE" w:rsidRPr="00DA5D69">
        <w:rPr>
          <w:rFonts w:asciiTheme="majorHAnsi" w:hAnsiTheme="majorHAnsi" w:cstheme="majorHAnsi"/>
          <w:sz w:val="20"/>
          <w:szCs w:val="20"/>
        </w:rPr>
        <w:t xml:space="preserve"> </w:t>
      </w:r>
      <w:r w:rsidR="002E7DAC" w:rsidRPr="00DA5D69">
        <w:rPr>
          <w:rFonts w:asciiTheme="majorHAnsi" w:hAnsiTheme="majorHAnsi" w:cstheme="majorHAnsi"/>
          <w:sz w:val="20"/>
          <w:szCs w:val="20"/>
        </w:rPr>
        <w:t>sobre</w:t>
      </w:r>
      <w:r w:rsidR="009A3498" w:rsidRPr="00DA5D69">
        <w:rPr>
          <w:rFonts w:asciiTheme="majorHAnsi" w:hAnsiTheme="majorHAnsi" w:cstheme="majorHAnsi"/>
          <w:sz w:val="20"/>
          <w:szCs w:val="20"/>
        </w:rPr>
        <w:t xml:space="preserve"> países</w:t>
      </w:r>
      <w:r w:rsidR="009A3498" w:rsidRPr="00DA5D69">
        <w:rPr>
          <w:rStyle w:val="Refdenotaalpie"/>
          <w:rFonts w:asciiTheme="majorHAnsi" w:hAnsiTheme="majorHAnsi" w:cstheme="majorHAnsi"/>
          <w:sz w:val="20"/>
          <w:szCs w:val="20"/>
        </w:rPr>
        <w:footnoteReference w:id="3"/>
      </w:r>
      <w:r w:rsidR="003D6EF5" w:rsidRPr="00DA5D69">
        <w:rPr>
          <w:rFonts w:asciiTheme="majorHAnsi" w:hAnsiTheme="majorHAnsi" w:cstheme="majorHAnsi"/>
          <w:sz w:val="20"/>
          <w:szCs w:val="20"/>
        </w:rPr>
        <w:t>.</w:t>
      </w:r>
      <w:r w:rsidR="003C6E2B" w:rsidRPr="00DA5D69">
        <w:rPr>
          <w:rFonts w:asciiTheme="majorHAnsi" w:hAnsiTheme="majorHAnsi" w:cstheme="majorHAnsi"/>
          <w:sz w:val="20"/>
          <w:szCs w:val="20"/>
        </w:rPr>
        <w:t xml:space="preserve"> E</w:t>
      </w:r>
      <w:r w:rsidR="003D6EF5" w:rsidRPr="00DA5D69">
        <w:rPr>
          <w:rFonts w:asciiTheme="majorHAnsi" w:hAnsiTheme="majorHAnsi" w:cstheme="majorHAnsi"/>
          <w:sz w:val="20"/>
          <w:szCs w:val="20"/>
        </w:rPr>
        <w:t>st</w:t>
      </w:r>
      <w:r w:rsidR="009A3498" w:rsidRPr="00DA5D69">
        <w:rPr>
          <w:rFonts w:asciiTheme="majorHAnsi" w:hAnsiTheme="majorHAnsi" w:cstheme="majorHAnsi"/>
          <w:sz w:val="20"/>
          <w:szCs w:val="20"/>
        </w:rPr>
        <w:t>a presión internacional empodera a actores locales, promueve nuevos estánd</w:t>
      </w:r>
      <w:r w:rsidR="00656167" w:rsidRPr="00DA5D69">
        <w:rPr>
          <w:rFonts w:asciiTheme="majorHAnsi" w:hAnsiTheme="majorHAnsi" w:cstheme="majorHAnsi"/>
          <w:sz w:val="20"/>
          <w:szCs w:val="20"/>
        </w:rPr>
        <w:t>ares legales, y establece mandat</w:t>
      </w:r>
      <w:r w:rsidR="009A3498" w:rsidRPr="00DA5D69">
        <w:rPr>
          <w:rFonts w:asciiTheme="majorHAnsi" w:hAnsiTheme="majorHAnsi" w:cstheme="majorHAnsi"/>
          <w:sz w:val="20"/>
          <w:szCs w:val="20"/>
        </w:rPr>
        <w:t>os específicos para los estados denunciados</w:t>
      </w:r>
      <w:r w:rsidR="00656167" w:rsidRPr="00DA5D69">
        <w:rPr>
          <w:rFonts w:asciiTheme="majorHAnsi" w:hAnsiTheme="majorHAnsi" w:cstheme="majorHAnsi"/>
          <w:sz w:val="20"/>
          <w:szCs w:val="20"/>
        </w:rPr>
        <w:t>,</w:t>
      </w:r>
      <w:r w:rsidR="009A3498" w:rsidRPr="00DA5D69">
        <w:rPr>
          <w:rFonts w:asciiTheme="majorHAnsi" w:hAnsiTheme="majorHAnsi" w:cstheme="majorHAnsi"/>
          <w:sz w:val="20"/>
          <w:szCs w:val="20"/>
        </w:rPr>
        <w:t xml:space="preserve"> a los fines de </w:t>
      </w:r>
      <w:r w:rsidR="003D6EF5" w:rsidRPr="00DA5D69">
        <w:rPr>
          <w:rFonts w:asciiTheme="majorHAnsi" w:hAnsiTheme="majorHAnsi" w:cstheme="majorHAnsi"/>
          <w:sz w:val="20"/>
          <w:szCs w:val="20"/>
        </w:rPr>
        <w:t xml:space="preserve">revertir </w:t>
      </w:r>
      <w:r w:rsidR="009A3498" w:rsidRPr="00DA5D69">
        <w:rPr>
          <w:rFonts w:asciiTheme="majorHAnsi" w:hAnsiTheme="majorHAnsi" w:cstheme="majorHAnsi"/>
          <w:sz w:val="20"/>
          <w:szCs w:val="20"/>
        </w:rPr>
        <w:t xml:space="preserve">las condiciones que favorecen la impunidad. </w:t>
      </w:r>
    </w:p>
    <w:p w:rsidR="00FB6AB2" w:rsidRPr="00DA5D69" w:rsidRDefault="00FB6AB2" w:rsidP="00DA5D69">
      <w:pPr>
        <w:spacing w:line="360" w:lineRule="auto"/>
        <w:jc w:val="both"/>
        <w:rPr>
          <w:rFonts w:asciiTheme="majorHAnsi" w:hAnsiTheme="majorHAnsi" w:cstheme="majorHAnsi"/>
          <w:sz w:val="20"/>
          <w:szCs w:val="20"/>
        </w:rPr>
      </w:pPr>
    </w:p>
    <w:p w:rsidR="009A3498" w:rsidRPr="00DA5D69" w:rsidRDefault="009A3498" w:rsidP="00DA5D69">
      <w:pPr>
        <w:spacing w:line="360" w:lineRule="auto"/>
        <w:jc w:val="both"/>
        <w:rPr>
          <w:rFonts w:asciiTheme="majorHAnsi" w:hAnsiTheme="majorHAnsi" w:cstheme="majorHAnsi"/>
          <w:sz w:val="20"/>
          <w:szCs w:val="20"/>
        </w:rPr>
      </w:pPr>
      <w:r w:rsidRPr="00DA5D69">
        <w:rPr>
          <w:rFonts w:asciiTheme="majorHAnsi" w:hAnsiTheme="majorHAnsi" w:cstheme="majorHAnsi"/>
          <w:sz w:val="20"/>
          <w:szCs w:val="20"/>
        </w:rPr>
        <w:t xml:space="preserve">Esto resulta especialmente necesario en </w:t>
      </w:r>
      <w:r w:rsidR="00656167" w:rsidRPr="00DA5D69">
        <w:rPr>
          <w:rFonts w:asciiTheme="majorHAnsi" w:hAnsiTheme="majorHAnsi" w:cstheme="majorHAnsi"/>
          <w:sz w:val="20"/>
          <w:szCs w:val="20"/>
        </w:rPr>
        <w:t>relación al</w:t>
      </w:r>
      <w:r w:rsidRPr="00DA5D69">
        <w:rPr>
          <w:rFonts w:asciiTheme="majorHAnsi" w:hAnsiTheme="majorHAnsi" w:cstheme="majorHAnsi"/>
          <w:sz w:val="20"/>
          <w:szCs w:val="20"/>
        </w:rPr>
        <w:t xml:space="preserve"> acceso a la justicia en casos de empresas involucradas en </w:t>
      </w:r>
      <w:r w:rsidR="00FC33CE" w:rsidRPr="00DA5D69">
        <w:rPr>
          <w:rFonts w:asciiTheme="majorHAnsi" w:hAnsiTheme="majorHAnsi" w:cstheme="majorHAnsi"/>
          <w:sz w:val="20"/>
          <w:szCs w:val="20"/>
        </w:rPr>
        <w:t>crímenes</w:t>
      </w:r>
      <w:r w:rsidRPr="00DA5D69">
        <w:rPr>
          <w:rFonts w:asciiTheme="majorHAnsi" w:hAnsiTheme="majorHAnsi" w:cstheme="majorHAnsi"/>
          <w:sz w:val="20"/>
          <w:szCs w:val="20"/>
        </w:rPr>
        <w:t xml:space="preserve"> de lesa humanidad, donde existe</w:t>
      </w:r>
      <w:r w:rsidR="00E9744E" w:rsidRPr="00DA5D69">
        <w:rPr>
          <w:rFonts w:asciiTheme="majorHAnsi" w:hAnsiTheme="majorHAnsi" w:cstheme="majorHAnsi"/>
          <w:sz w:val="20"/>
          <w:szCs w:val="20"/>
        </w:rPr>
        <w:t>n</w:t>
      </w:r>
      <w:r w:rsidRPr="00DA5D69">
        <w:rPr>
          <w:rFonts w:asciiTheme="majorHAnsi" w:hAnsiTheme="majorHAnsi" w:cstheme="majorHAnsi"/>
          <w:sz w:val="20"/>
          <w:szCs w:val="20"/>
        </w:rPr>
        <w:t xml:space="preserve"> muy </w:t>
      </w:r>
      <w:r w:rsidR="00E9744E" w:rsidRPr="00DA5D69">
        <w:rPr>
          <w:rFonts w:asciiTheme="majorHAnsi" w:hAnsiTheme="majorHAnsi" w:cstheme="majorHAnsi"/>
          <w:sz w:val="20"/>
          <w:szCs w:val="20"/>
        </w:rPr>
        <w:t xml:space="preserve">pocos </w:t>
      </w:r>
      <w:r w:rsidRPr="00DA5D69">
        <w:rPr>
          <w:rFonts w:asciiTheme="majorHAnsi" w:hAnsiTheme="majorHAnsi" w:cstheme="majorHAnsi"/>
          <w:sz w:val="20"/>
          <w:szCs w:val="20"/>
        </w:rPr>
        <w:t>casos de rendiciones de cuenta</w:t>
      </w:r>
      <w:r w:rsidR="00E9744E" w:rsidRPr="00DA5D69">
        <w:rPr>
          <w:rFonts w:asciiTheme="majorHAnsi" w:hAnsiTheme="majorHAnsi" w:cstheme="majorHAnsi"/>
          <w:sz w:val="20"/>
          <w:szCs w:val="20"/>
        </w:rPr>
        <w:t>s de actores corporativos por ví</w:t>
      </w:r>
      <w:r w:rsidR="002E7DAC" w:rsidRPr="00DA5D69">
        <w:rPr>
          <w:rFonts w:asciiTheme="majorHAnsi" w:hAnsiTheme="majorHAnsi" w:cstheme="majorHAnsi"/>
          <w:sz w:val="20"/>
          <w:szCs w:val="20"/>
        </w:rPr>
        <w:t xml:space="preserve">a judicial. </w:t>
      </w:r>
      <w:r w:rsidR="00656167" w:rsidRPr="00DA5D69">
        <w:rPr>
          <w:rFonts w:asciiTheme="majorHAnsi" w:hAnsiTheme="majorHAnsi" w:cstheme="majorHAnsi"/>
          <w:sz w:val="20"/>
          <w:szCs w:val="20"/>
        </w:rPr>
        <w:t>S</w:t>
      </w:r>
      <w:r w:rsidR="00851D15" w:rsidRPr="00DA5D69">
        <w:rPr>
          <w:rFonts w:asciiTheme="majorHAnsi" w:hAnsiTheme="majorHAnsi" w:cstheme="majorHAnsi"/>
          <w:sz w:val="20"/>
          <w:szCs w:val="20"/>
        </w:rPr>
        <w:t xml:space="preserve">e han iniciado sólo </w:t>
      </w:r>
      <w:r w:rsidR="00851D15" w:rsidRPr="00DA5D69">
        <w:rPr>
          <w:rFonts w:asciiTheme="majorHAnsi" w:hAnsiTheme="majorHAnsi" w:cstheme="majorHAnsi"/>
          <w:sz w:val="20"/>
          <w:szCs w:val="20"/>
          <w:lang w:val="es-UY"/>
        </w:rPr>
        <w:t xml:space="preserve">86 procesos judiciales </w:t>
      </w:r>
      <w:r w:rsidR="00656167" w:rsidRPr="00DA5D69">
        <w:rPr>
          <w:rFonts w:asciiTheme="majorHAnsi" w:hAnsiTheme="majorHAnsi" w:cstheme="majorHAnsi"/>
          <w:sz w:val="20"/>
          <w:szCs w:val="20"/>
          <w:lang w:val="es-UY"/>
        </w:rPr>
        <w:t xml:space="preserve">en el mundo </w:t>
      </w:r>
      <w:r w:rsidR="00851D15" w:rsidRPr="00DA5D69">
        <w:rPr>
          <w:rFonts w:asciiTheme="majorHAnsi" w:hAnsiTheme="majorHAnsi" w:cstheme="majorHAnsi"/>
          <w:sz w:val="20"/>
          <w:szCs w:val="20"/>
          <w:lang w:val="es-UY"/>
        </w:rPr>
        <w:t>tendientes a develar la responsabilidad de actores corporativos en contextos transicionales</w:t>
      </w:r>
      <w:r w:rsidR="00656167" w:rsidRPr="00DA5D69">
        <w:rPr>
          <w:rFonts w:asciiTheme="majorHAnsi" w:hAnsiTheme="majorHAnsi" w:cstheme="majorHAnsi"/>
          <w:sz w:val="20"/>
          <w:szCs w:val="20"/>
          <w:lang w:val="es-UY"/>
        </w:rPr>
        <w:t>,</w:t>
      </w:r>
      <w:r w:rsidR="00851D15" w:rsidRPr="00DA5D69">
        <w:rPr>
          <w:rFonts w:asciiTheme="majorHAnsi" w:hAnsiTheme="majorHAnsi" w:cstheme="majorHAnsi"/>
          <w:sz w:val="20"/>
          <w:szCs w:val="20"/>
          <w:lang w:val="es-UY"/>
        </w:rPr>
        <w:t xml:space="preserve"> desde 1973</w:t>
      </w:r>
      <w:r w:rsidR="00851D15" w:rsidRPr="00DA5D69">
        <w:rPr>
          <w:rStyle w:val="Refdenotaalpie"/>
          <w:rFonts w:asciiTheme="majorHAnsi" w:hAnsiTheme="majorHAnsi" w:cstheme="majorHAnsi"/>
          <w:sz w:val="20"/>
          <w:szCs w:val="20"/>
          <w:lang w:val="es-UY"/>
        </w:rPr>
        <w:footnoteReference w:id="4"/>
      </w:r>
      <w:r w:rsidR="00851D15" w:rsidRPr="00DA5D69">
        <w:rPr>
          <w:rFonts w:asciiTheme="majorHAnsi" w:hAnsiTheme="majorHAnsi" w:cstheme="majorHAnsi"/>
          <w:sz w:val="20"/>
          <w:szCs w:val="20"/>
          <w:lang w:val="es-UY"/>
        </w:rPr>
        <w:t>. Este escaso número sugiere la inexistencia de mecanismos y condiciones adecuadas para el acceso a la justicia de las víctimas en procesos locales.</w:t>
      </w:r>
      <w:r w:rsidR="00851D15" w:rsidRPr="00DA5D69">
        <w:rPr>
          <w:rFonts w:asciiTheme="majorHAnsi" w:hAnsiTheme="majorHAnsi" w:cstheme="majorHAnsi"/>
          <w:sz w:val="20"/>
          <w:szCs w:val="20"/>
        </w:rPr>
        <w:t xml:space="preserve"> </w:t>
      </w:r>
      <w:r w:rsidR="00851D15" w:rsidRPr="00DA5D69">
        <w:rPr>
          <w:rFonts w:asciiTheme="majorHAnsi" w:hAnsiTheme="majorHAnsi" w:cstheme="majorHAnsi"/>
          <w:sz w:val="20"/>
          <w:szCs w:val="20"/>
          <w:lang w:val="es-UY"/>
        </w:rPr>
        <w:t xml:space="preserve">Estudios de </w:t>
      </w:r>
      <w:r w:rsidR="00FA0F54" w:rsidRPr="00DA5D69">
        <w:rPr>
          <w:rFonts w:asciiTheme="majorHAnsi" w:hAnsiTheme="majorHAnsi" w:cstheme="majorHAnsi"/>
          <w:sz w:val="20"/>
          <w:szCs w:val="20"/>
          <w:lang w:val="es-UY"/>
        </w:rPr>
        <w:t>Oxford sugiere</w:t>
      </w:r>
      <w:r w:rsidR="00851D15" w:rsidRPr="00DA5D69">
        <w:rPr>
          <w:rFonts w:asciiTheme="majorHAnsi" w:hAnsiTheme="majorHAnsi" w:cstheme="majorHAnsi"/>
          <w:sz w:val="20"/>
          <w:szCs w:val="20"/>
          <w:lang w:val="es-UY"/>
        </w:rPr>
        <w:t>n</w:t>
      </w:r>
      <w:r w:rsidR="00FA0F54" w:rsidRPr="00DA5D69">
        <w:rPr>
          <w:rFonts w:asciiTheme="majorHAnsi" w:hAnsiTheme="majorHAnsi" w:cstheme="majorHAnsi"/>
          <w:sz w:val="20"/>
          <w:szCs w:val="20"/>
          <w:lang w:val="es-UY"/>
        </w:rPr>
        <w:t xml:space="preserve"> además</w:t>
      </w:r>
      <w:r w:rsidR="00FA0F54" w:rsidRPr="00DA5D69">
        <w:rPr>
          <w:rFonts w:asciiTheme="majorHAnsi" w:hAnsiTheme="majorHAnsi" w:cstheme="majorHAnsi"/>
          <w:sz w:val="20"/>
          <w:szCs w:val="20"/>
        </w:rPr>
        <w:t xml:space="preserve"> un patrón generalizado que revela que la mayoría de estos casos enfrentan serias demoras, son desestimados por razones procesales, terminan en absoluciones, o son interrumpidos por arreglos extra judiciales entre las partes.</w:t>
      </w:r>
      <w:r w:rsidR="00FA0F54" w:rsidRPr="00DA5D69">
        <w:rPr>
          <w:rFonts w:asciiTheme="majorHAnsi" w:hAnsiTheme="majorHAnsi" w:cstheme="majorHAnsi"/>
          <w:sz w:val="20"/>
          <w:szCs w:val="20"/>
          <w:lang w:val="es-UY"/>
        </w:rPr>
        <w:t xml:space="preserve"> </w:t>
      </w:r>
      <w:r w:rsidR="00FA0F54" w:rsidRPr="00DA5D69">
        <w:rPr>
          <w:rFonts w:asciiTheme="majorHAnsi" w:hAnsiTheme="majorHAnsi" w:cstheme="majorHAnsi"/>
          <w:sz w:val="20"/>
          <w:szCs w:val="20"/>
        </w:rPr>
        <w:t>En efecto, no más de diez casos arrojaron decisiones, estableciendo algún tipo de responsabilidad de actores corporativos en violaciones a DDHH.</w:t>
      </w:r>
      <w:r w:rsidR="00FA0F54" w:rsidRPr="00DA5D69">
        <w:rPr>
          <w:rFonts w:asciiTheme="majorHAnsi" w:hAnsiTheme="majorHAnsi" w:cstheme="majorHAnsi"/>
          <w:sz w:val="20"/>
          <w:szCs w:val="20"/>
          <w:lang w:val="es-UY"/>
        </w:rPr>
        <w:t xml:space="preserve"> </w:t>
      </w:r>
      <w:r w:rsidRPr="00DA5D69">
        <w:rPr>
          <w:rFonts w:asciiTheme="majorHAnsi" w:hAnsiTheme="majorHAnsi" w:cstheme="majorHAnsi"/>
          <w:sz w:val="20"/>
          <w:szCs w:val="20"/>
        </w:rPr>
        <w:t>Esta evidencia sugiere, al menos preliminarmente, que en los pocos países donde se presentan acciones judiciales, los mecanismos de acceso a la justicia no funcionan eficazmente respecto del involucramiento de actores corporativos en contextos de JT.</w:t>
      </w:r>
    </w:p>
    <w:p w:rsidR="003C6E2B" w:rsidRPr="00DA5D69" w:rsidRDefault="003C6E2B" w:rsidP="00DA5D69">
      <w:pPr>
        <w:spacing w:line="360" w:lineRule="auto"/>
        <w:jc w:val="both"/>
        <w:rPr>
          <w:rFonts w:asciiTheme="majorHAnsi" w:hAnsiTheme="majorHAnsi" w:cstheme="majorHAnsi"/>
          <w:sz w:val="20"/>
          <w:szCs w:val="20"/>
        </w:rPr>
      </w:pPr>
    </w:p>
    <w:p w:rsidR="00B13814" w:rsidRPr="00DA5D69" w:rsidRDefault="00851D15" w:rsidP="00DA5D69">
      <w:pPr>
        <w:spacing w:line="360" w:lineRule="auto"/>
        <w:jc w:val="both"/>
        <w:rPr>
          <w:rFonts w:asciiTheme="majorHAnsi" w:hAnsiTheme="majorHAnsi" w:cstheme="majorHAnsi"/>
          <w:sz w:val="20"/>
          <w:szCs w:val="20"/>
        </w:rPr>
      </w:pPr>
      <w:r w:rsidRPr="00DA5D69">
        <w:rPr>
          <w:rFonts w:asciiTheme="majorHAnsi" w:hAnsiTheme="majorHAnsi" w:cstheme="majorHAnsi"/>
          <w:sz w:val="20"/>
          <w:szCs w:val="20"/>
        </w:rPr>
        <w:t xml:space="preserve">En ese sentido, la creación de un mecanismo de seguimiento a la implementación del tratado que discutimos podría contribuir a promover el desmantelamiento de condiciones que posibilitan la impunidad respecto de la responsabilidad de ETN y OE. </w:t>
      </w:r>
    </w:p>
    <w:p w:rsidR="00B13814" w:rsidRPr="00DA5D69" w:rsidRDefault="00B13814" w:rsidP="00DA5D69">
      <w:pPr>
        <w:spacing w:line="360" w:lineRule="auto"/>
        <w:jc w:val="both"/>
        <w:rPr>
          <w:rFonts w:asciiTheme="majorHAnsi" w:hAnsiTheme="majorHAnsi" w:cstheme="majorHAnsi"/>
          <w:sz w:val="20"/>
          <w:szCs w:val="20"/>
        </w:rPr>
      </w:pPr>
    </w:p>
    <w:p w:rsidR="00363FCA" w:rsidRPr="00DA5D69" w:rsidRDefault="00B13814" w:rsidP="00DA5D69">
      <w:pPr>
        <w:spacing w:line="360" w:lineRule="auto"/>
        <w:jc w:val="both"/>
        <w:rPr>
          <w:rFonts w:asciiTheme="majorHAnsi" w:hAnsiTheme="majorHAnsi" w:cstheme="majorHAnsi"/>
          <w:sz w:val="20"/>
          <w:szCs w:val="20"/>
        </w:rPr>
      </w:pPr>
      <w:r w:rsidRPr="00DA5D69">
        <w:rPr>
          <w:rFonts w:asciiTheme="majorHAnsi" w:hAnsiTheme="majorHAnsi" w:cstheme="majorHAnsi"/>
          <w:sz w:val="20"/>
          <w:szCs w:val="20"/>
        </w:rPr>
        <w:t xml:space="preserve">Finalmente, la </w:t>
      </w:r>
      <w:r w:rsidR="0079345F" w:rsidRPr="00DA5D69">
        <w:rPr>
          <w:rFonts w:asciiTheme="majorHAnsi" w:hAnsiTheme="majorHAnsi" w:cstheme="majorHAnsi"/>
          <w:sz w:val="20"/>
          <w:szCs w:val="20"/>
        </w:rPr>
        <w:t xml:space="preserve">evidencia preliminar de la investigación de ANDHES sobre delitos de lesa humanidad cometidos con complicidad empresarial </w:t>
      </w:r>
      <w:r w:rsidRPr="00DA5D69">
        <w:rPr>
          <w:rFonts w:asciiTheme="majorHAnsi" w:hAnsiTheme="majorHAnsi" w:cstheme="majorHAnsi"/>
          <w:sz w:val="20"/>
          <w:szCs w:val="20"/>
        </w:rPr>
        <w:t>sugiere</w:t>
      </w:r>
      <w:r w:rsidR="0079345F" w:rsidRPr="00DA5D69">
        <w:rPr>
          <w:rFonts w:asciiTheme="majorHAnsi" w:hAnsiTheme="majorHAnsi" w:cstheme="majorHAnsi"/>
          <w:sz w:val="20"/>
          <w:szCs w:val="20"/>
        </w:rPr>
        <w:t xml:space="preserve"> la necesidad de pensar en reparaciones colectivas. </w:t>
      </w:r>
      <w:r w:rsidR="00DA5D69" w:rsidRPr="00DA5D69">
        <w:rPr>
          <w:rFonts w:asciiTheme="majorHAnsi" w:hAnsiTheme="majorHAnsi" w:cstheme="majorHAnsi"/>
          <w:sz w:val="20"/>
          <w:szCs w:val="20"/>
        </w:rPr>
        <w:t xml:space="preserve">Esta </w:t>
      </w:r>
      <w:r w:rsidRPr="00DA5D69">
        <w:rPr>
          <w:rFonts w:asciiTheme="majorHAnsi" w:hAnsiTheme="majorHAnsi" w:cstheme="majorHAnsi"/>
          <w:sz w:val="20"/>
          <w:szCs w:val="20"/>
        </w:rPr>
        <w:t>investigación</w:t>
      </w:r>
      <w:r w:rsidR="0079345F" w:rsidRPr="00DA5D69">
        <w:rPr>
          <w:rFonts w:asciiTheme="majorHAnsi" w:hAnsiTheme="majorHAnsi" w:cstheme="majorHAnsi"/>
          <w:sz w:val="20"/>
          <w:szCs w:val="20"/>
        </w:rPr>
        <w:t xml:space="preserve"> confirma</w:t>
      </w:r>
      <w:r w:rsidRPr="00DA5D69">
        <w:rPr>
          <w:rFonts w:asciiTheme="majorHAnsi" w:hAnsiTheme="majorHAnsi" w:cstheme="majorHAnsi"/>
          <w:sz w:val="20"/>
          <w:szCs w:val="20"/>
        </w:rPr>
        <w:t xml:space="preserve"> </w:t>
      </w:r>
      <w:r w:rsidR="0079345F" w:rsidRPr="00DA5D69">
        <w:rPr>
          <w:rFonts w:asciiTheme="majorHAnsi" w:hAnsiTheme="majorHAnsi" w:cstheme="majorHAnsi"/>
          <w:sz w:val="20"/>
          <w:szCs w:val="20"/>
        </w:rPr>
        <w:t xml:space="preserve">que </w:t>
      </w:r>
      <w:r w:rsidR="00DA5D69" w:rsidRPr="00DA5D69">
        <w:rPr>
          <w:rFonts w:asciiTheme="majorHAnsi" w:hAnsiTheme="majorHAnsi" w:cstheme="majorHAnsi"/>
          <w:sz w:val="20"/>
          <w:szCs w:val="20"/>
        </w:rPr>
        <w:t>el ataque sistemático desplegado</w:t>
      </w:r>
      <w:r w:rsidRPr="00DA5D69">
        <w:rPr>
          <w:rFonts w:asciiTheme="majorHAnsi" w:hAnsiTheme="majorHAnsi" w:cstheme="majorHAnsi"/>
          <w:sz w:val="20"/>
          <w:szCs w:val="20"/>
        </w:rPr>
        <w:t xml:space="preserve"> tanto en contexto de gobiernos constitucionales (octubre 1974/marzo76) como de </w:t>
      </w:r>
      <w:r w:rsidR="0079345F" w:rsidRPr="00DA5D69">
        <w:rPr>
          <w:rFonts w:asciiTheme="majorHAnsi" w:hAnsiTheme="majorHAnsi" w:cstheme="majorHAnsi"/>
          <w:sz w:val="20"/>
          <w:szCs w:val="20"/>
        </w:rPr>
        <w:t>terrorismo de estado</w:t>
      </w:r>
      <w:r w:rsidRPr="00DA5D69">
        <w:rPr>
          <w:rFonts w:asciiTheme="majorHAnsi" w:hAnsiTheme="majorHAnsi" w:cstheme="majorHAnsi"/>
          <w:sz w:val="20"/>
          <w:szCs w:val="20"/>
        </w:rPr>
        <w:t xml:space="preserve"> (marzo 1976/ noviembre 1977)</w:t>
      </w:r>
      <w:r w:rsidR="0079345F" w:rsidRPr="00DA5D69">
        <w:rPr>
          <w:rFonts w:asciiTheme="majorHAnsi" w:hAnsiTheme="majorHAnsi" w:cstheme="majorHAnsi"/>
          <w:sz w:val="20"/>
          <w:szCs w:val="20"/>
        </w:rPr>
        <w:t xml:space="preserve"> ha estado claramente</w:t>
      </w:r>
      <w:r w:rsidRPr="00DA5D69">
        <w:rPr>
          <w:rFonts w:asciiTheme="majorHAnsi" w:hAnsiTheme="majorHAnsi" w:cstheme="majorHAnsi"/>
          <w:sz w:val="20"/>
          <w:szCs w:val="20"/>
        </w:rPr>
        <w:t xml:space="preserve"> orientada a neutralizar a un grupo colectivo (trabajadores </w:t>
      </w:r>
      <w:r w:rsidR="0079345F" w:rsidRPr="00DA5D69">
        <w:rPr>
          <w:rFonts w:asciiTheme="majorHAnsi" w:hAnsiTheme="majorHAnsi" w:cstheme="majorHAnsi"/>
          <w:sz w:val="20"/>
          <w:szCs w:val="20"/>
        </w:rPr>
        <w:t>de la industria azucarera</w:t>
      </w:r>
      <w:r w:rsidRPr="00DA5D69">
        <w:rPr>
          <w:rFonts w:asciiTheme="majorHAnsi" w:hAnsiTheme="majorHAnsi" w:cstheme="majorHAnsi"/>
          <w:sz w:val="20"/>
          <w:szCs w:val="20"/>
        </w:rPr>
        <w:t xml:space="preserve">) a través del desmantelamiento de la </w:t>
      </w:r>
      <w:r w:rsidRPr="00DA5D69">
        <w:rPr>
          <w:rFonts w:asciiTheme="majorHAnsi" w:hAnsiTheme="majorHAnsi" w:cstheme="majorHAnsi"/>
          <w:sz w:val="20"/>
          <w:szCs w:val="20"/>
        </w:rPr>
        <w:lastRenderedPageBreak/>
        <w:t>organización sindical, por medio del secuestro, tortura y desaparición de sus líderes y miembros, con</w:t>
      </w:r>
      <w:r w:rsidR="0079345F" w:rsidRPr="00DA5D69">
        <w:rPr>
          <w:rFonts w:asciiTheme="majorHAnsi" w:hAnsiTheme="majorHAnsi" w:cstheme="majorHAnsi"/>
          <w:sz w:val="20"/>
          <w:szCs w:val="20"/>
        </w:rPr>
        <w:t xml:space="preserve"> </w:t>
      </w:r>
      <w:r w:rsidRPr="00DA5D69">
        <w:rPr>
          <w:rFonts w:asciiTheme="majorHAnsi" w:hAnsiTheme="majorHAnsi" w:cstheme="majorHAnsi"/>
          <w:sz w:val="20"/>
          <w:szCs w:val="20"/>
        </w:rPr>
        <w:t>partic</w:t>
      </w:r>
      <w:r w:rsidR="0079345F" w:rsidRPr="00DA5D69">
        <w:rPr>
          <w:rFonts w:asciiTheme="majorHAnsi" w:hAnsiTheme="majorHAnsi" w:cstheme="majorHAnsi"/>
          <w:sz w:val="20"/>
          <w:szCs w:val="20"/>
        </w:rPr>
        <w:t xml:space="preserve">ipación de empresas/empresarios. </w:t>
      </w:r>
      <w:r w:rsidR="0079345F" w:rsidRPr="00DA5D69">
        <w:rPr>
          <w:rFonts w:asciiTheme="majorHAnsi" w:hAnsiTheme="majorHAnsi" w:cstheme="majorHAnsi"/>
          <w:sz w:val="20"/>
          <w:szCs w:val="20"/>
        </w:rPr>
        <w:t xml:space="preserve">Para el caso de las provincias de Tucumán y Jujuy, el 56% de las víctimas de delitos de lesa humanidad con participación de actores económicos, fueron trabajadores de las mismas empresas sindicadas como vinculadas a la violación de DDHH. Entre ellas, alrededor del 40% tenía una actividad gremial/sindical activa. </w:t>
      </w:r>
      <w:r w:rsidR="0079345F" w:rsidRPr="00DA5D69">
        <w:rPr>
          <w:rFonts w:asciiTheme="majorHAnsi" w:hAnsiTheme="majorHAnsi" w:cstheme="majorHAnsi"/>
          <w:sz w:val="20"/>
          <w:szCs w:val="20"/>
        </w:rPr>
        <w:t xml:space="preserve">Esta evidencia </w:t>
      </w:r>
      <w:r w:rsidRPr="00DA5D69">
        <w:rPr>
          <w:rFonts w:asciiTheme="majorHAnsi" w:hAnsiTheme="majorHAnsi" w:cstheme="majorHAnsi"/>
          <w:sz w:val="20"/>
          <w:szCs w:val="20"/>
        </w:rPr>
        <w:t xml:space="preserve">sugiere la importancia de </w:t>
      </w:r>
      <w:r w:rsidR="0079345F" w:rsidRPr="00DA5D69">
        <w:rPr>
          <w:rFonts w:asciiTheme="majorHAnsi" w:hAnsiTheme="majorHAnsi" w:cstheme="majorHAnsi"/>
          <w:sz w:val="20"/>
          <w:szCs w:val="20"/>
        </w:rPr>
        <w:t xml:space="preserve">establecer la </w:t>
      </w:r>
      <w:r w:rsidR="00363FCA" w:rsidRPr="00DA5D69">
        <w:rPr>
          <w:rFonts w:asciiTheme="majorHAnsi" w:eastAsia="Calibri" w:hAnsiTheme="majorHAnsi" w:cstheme="majorHAnsi"/>
          <w:sz w:val="20"/>
          <w:szCs w:val="20"/>
          <w:lang w:val="es-AR"/>
        </w:rPr>
        <w:t>obligación de los estados d</w:t>
      </w:r>
      <w:r w:rsidR="00CA6608" w:rsidRPr="00DA5D69">
        <w:rPr>
          <w:rFonts w:asciiTheme="majorHAnsi" w:eastAsia="Calibri" w:hAnsiTheme="majorHAnsi" w:cstheme="majorHAnsi"/>
          <w:sz w:val="20"/>
          <w:szCs w:val="20"/>
          <w:lang w:val="es-AR"/>
        </w:rPr>
        <w:t>e reparar colectivamente el dañ</w:t>
      </w:r>
      <w:r w:rsidR="00363FCA" w:rsidRPr="00DA5D69">
        <w:rPr>
          <w:rFonts w:asciiTheme="majorHAnsi" w:eastAsia="Calibri" w:hAnsiTheme="majorHAnsi" w:cstheme="majorHAnsi"/>
          <w:sz w:val="20"/>
          <w:szCs w:val="20"/>
          <w:lang w:val="es-AR"/>
        </w:rPr>
        <w:t>o a victimas pertenecientes a entidades colectivas que fueron objetivo de las violaciones a DDHH cometidas por ETN y OE</w:t>
      </w:r>
      <w:r w:rsidR="0079345F" w:rsidRPr="00DA5D69">
        <w:rPr>
          <w:rFonts w:asciiTheme="majorHAnsi" w:eastAsia="Calibri" w:hAnsiTheme="majorHAnsi" w:cstheme="majorHAnsi"/>
          <w:sz w:val="20"/>
          <w:szCs w:val="20"/>
          <w:lang w:val="es-AR"/>
        </w:rPr>
        <w:t>.</w:t>
      </w:r>
    </w:p>
    <w:p w:rsidR="00B13814" w:rsidRPr="00DA5D69" w:rsidRDefault="00B13814" w:rsidP="00DA5D69">
      <w:pPr>
        <w:spacing w:line="360" w:lineRule="auto"/>
        <w:jc w:val="both"/>
        <w:rPr>
          <w:rFonts w:asciiTheme="majorHAnsi" w:hAnsiTheme="majorHAnsi" w:cstheme="majorHAnsi"/>
          <w:sz w:val="20"/>
          <w:szCs w:val="20"/>
        </w:rPr>
      </w:pPr>
    </w:p>
    <w:p w:rsidR="00B13814" w:rsidRPr="00DA5D69" w:rsidRDefault="00B13814" w:rsidP="00DA5D69">
      <w:pPr>
        <w:spacing w:line="360" w:lineRule="auto"/>
        <w:jc w:val="both"/>
        <w:rPr>
          <w:rFonts w:asciiTheme="majorHAnsi" w:hAnsiTheme="majorHAnsi" w:cstheme="majorHAnsi"/>
          <w:sz w:val="20"/>
          <w:szCs w:val="20"/>
        </w:rPr>
      </w:pPr>
      <w:r w:rsidRPr="00DA5D69">
        <w:rPr>
          <w:rFonts w:asciiTheme="majorHAnsi" w:hAnsiTheme="majorHAnsi" w:cstheme="majorHAnsi"/>
          <w:sz w:val="20"/>
          <w:szCs w:val="20"/>
        </w:rPr>
        <w:t xml:space="preserve">Muchas Gracias </w:t>
      </w:r>
    </w:p>
    <w:p w:rsidR="00B13814" w:rsidRPr="00DA5D69" w:rsidRDefault="00B13814" w:rsidP="00DA5D69">
      <w:pPr>
        <w:spacing w:line="360" w:lineRule="auto"/>
        <w:rPr>
          <w:rFonts w:asciiTheme="majorHAnsi" w:hAnsiTheme="majorHAnsi" w:cstheme="majorHAnsi"/>
          <w:sz w:val="20"/>
          <w:szCs w:val="20"/>
          <w:lang w:val="es-AR"/>
        </w:rPr>
      </w:pPr>
    </w:p>
    <w:sectPr w:rsidR="00B13814" w:rsidRPr="00DA5D6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C38" w:rsidRDefault="007D1C38" w:rsidP="009A3498">
      <w:r>
        <w:separator/>
      </w:r>
    </w:p>
  </w:endnote>
  <w:endnote w:type="continuationSeparator" w:id="0">
    <w:p w:rsidR="007D1C38" w:rsidRDefault="007D1C38" w:rsidP="009A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C38" w:rsidRDefault="007D1C38" w:rsidP="009A3498">
      <w:r>
        <w:separator/>
      </w:r>
    </w:p>
  </w:footnote>
  <w:footnote w:type="continuationSeparator" w:id="0">
    <w:p w:rsidR="007D1C38" w:rsidRDefault="007D1C38" w:rsidP="009A3498">
      <w:r>
        <w:continuationSeparator/>
      </w:r>
    </w:p>
  </w:footnote>
  <w:footnote w:id="1">
    <w:p w:rsidR="006A5887" w:rsidRPr="006A5887" w:rsidRDefault="00CF0720" w:rsidP="006A5887">
      <w:pPr>
        <w:pStyle w:val="Textonotapie"/>
        <w:rPr>
          <w:rFonts w:asciiTheme="majorHAnsi" w:hAnsiTheme="majorHAnsi" w:cstheme="majorHAnsi"/>
          <w:sz w:val="18"/>
          <w:szCs w:val="18"/>
          <w:lang w:val="en-US"/>
        </w:rPr>
      </w:pPr>
      <w:r w:rsidRPr="006A5887">
        <w:rPr>
          <w:rStyle w:val="Refdenotaalpie"/>
          <w:rFonts w:asciiTheme="majorHAnsi" w:hAnsiTheme="majorHAnsi" w:cstheme="majorHAnsi"/>
          <w:sz w:val="18"/>
          <w:szCs w:val="18"/>
        </w:rPr>
        <w:footnoteRef/>
      </w:r>
      <w:r w:rsidRPr="006A5887">
        <w:rPr>
          <w:rFonts w:asciiTheme="majorHAnsi" w:hAnsiTheme="majorHAnsi" w:cstheme="majorHAnsi"/>
          <w:sz w:val="18"/>
          <w:szCs w:val="18"/>
          <w:lang w:val="es-AR"/>
        </w:rPr>
        <w:t xml:space="preserve"> </w:t>
      </w:r>
      <w:proofErr w:type="spellStart"/>
      <w:r w:rsidR="006A5887" w:rsidRPr="006A5887">
        <w:rPr>
          <w:rFonts w:asciiTheme="majorHAnsi" w:hAnsiTheme="majorHAnsi" w:cstheme="majorHAnsi"/>
          <w:sz w:val="18"/>
          <w:szCs w:val="18"/>
        </w:rPr>
        <w:t>Payne</w:t>
      </w:r>
      <w:proofErr w:type="spellEnd"/>
      <w:r w:rsidR="006A5887" w:rsidRPr="006A5887">
        <w:rPr>
          <w:rFonts w:asciiTheme="majorHAnsi" w:hAnsiTheme="majorHAnsi" w:cstheme="majorHAnsi"/>
          <w:sz w:val="18"/>
          <w:szCs w:val="18"/>
        </w:rPr>
        <w:t xml:space="preserve"> LA, </w:t>
      </w:r>
      <w:proofErr w:type="spellStart"/>
      <w:r w:rsidR="006A5887" w:rsidRPr="006A5887">
        <w:rPr>
          <w:rFonts w:asciiTheme="majorHAnsi" w:hAnsiTheme="majorHAnsi" w:cstheme="majorHAnsi"/>
          <w:sz w:val="18"/>
          <w:szCs w:val="18"/>
        </w:rPr>
        <w:t>Lessa</w:t>
      </w:r>
      <w:proofErr w:type="spellEnd"/>
      <w:r w:rsidR="006A5887" w:rsidRPr="006A5887">
        <w:rPr>
          <w:rFonts w:asciiTheme="majorHAnsi" w:hAnsiTheme="majorHAnsi" w:cstheme="majorHAnsi"/>
          <w:sz w:val="18"/>
          <w:szCs w:val="18"/>
        </w:rPr>
        <w:t xml:space="preserve"> F, Pereira G. 2015. </w:t>
      </w:r>
      <w:r w:rsidR="006A5887" w:rsidRPr="006A5887">
        <w:rPr>
          <w:rFonts w:asciiTheme="majorHAnsi" w:hAnsiTheme="majorHAnsi" w:cstheme="majorHAnsi"/>
          <w:sz w:val="18"/>
          <w:szCs w:val="18"/>
          <w:lang w:val="en-US"/>
        </w:rPr>
        <w:t>Overcoming barriers to justice in the age of human rights accountability.</w:t>
      </w:r>
    </w:p>
    <w:p w:rsidR="00CF0720" w:rsidRPr="006A5887" w:rsidRDefault="006A5887" w:rsidP="00CF0720">
      <w:pPr>
        <w:pStyle w:val="Textonotapie"/>
        <w:rPr>
          <w:rFonts w:asciiTheme="majorHAnsi" w:hAnsiTheme="majorHAnsi" w:cstheme="majorHAnsi"/>
          <w:sz w:val="18"/>
          <w:szCs w:val="18"/>
          <w:lang w:val="es-AR"/>
        </w:rPr>
      </w:pPr>
      <w:proofErr w:type="spellStart"/>
      <w:r w:rsidRPr="006A5887">
        <w:rPr>
          <w:rFonts w:asciiTheme="majorHAnsi" w:hAnsiTheme="majorHAnsi" w:cstheme="majorHAnsi"/>
          <w:i/>
          <w:iCs/>
          <w:sz w:val="18"/>
          <w:szCs w:val="18"/>
          <w:lang w:val="es-AR"/>
        </w:rPr>
        <w:t>Hum</w:t>
      </w:r>
      <w:proofErr w:type="spellEnd"/>
      <w:r w:rsidRPr="006A5887">
        <w:rPr>
          <w:rFonts w:asciiTheme="majorHAnsi" w:hAnsiTheme="majorHAnsi" w:cstheme="majorHAnsi"/>
          <w:i/>
          <w:iCs/>
          <w:sz w:val="18"/>
          <w:szCs w:val="18"/>
          <w:lang w:val="es-AR"/>
        </w:rPr>
        <w:t xml:space="preserve">. </w:t>
      </w:r>
      <w:proofErr w:type="spellStart"/>
      <w:r w:rsidRPr="006A5887">
        <w:rPr>
          <w:rFonts w:asciiTheme="majorHAnsi" w:hAnsiTheme="majorHAnsi" w:cstheme="majorHAnsi"/>
          <w:i/>
          <w:iCs/>
          <w:sz w:val="18"/>
          <w:szCs w:val="18"/>
          <w:lang w:val="es-AR"/>
        </w:rPr>
        <w:t>Rights</w:t>
      </w:r>
      <w:proofErr w:type="spellEnd"/>
      <w:r w:rsidRPr="006A5887">
        <w:rPr>
          <w:rFonts w:asciiTheme="majorHAnsi" w:hAnsiTheme="majorHAnsi" w:cstheme="majorHAnsi"/>
          <w:i/>
          <w:iCs/>
          <w:sz w:val="18"/>
          <w:szCs w:val="18"/>
          <w:lang w:val="es-AR"/>
        </w:rPr>
        <w:t xml:space="preserve"> Q. </w:t>
      </w:r>
      <w:r w:rsidRPr="006A5887">
        <w:rPr>
          <w:rFonts w:asciiTheme="majorHAnsi" w:hAnsiTheme="majorHAnsi" w:cstheme="majorHAnsi"/>
          <w:sz w:val="18"/>
          <w:szCs w:val="18"/>
          <w:lang w:val="es-AR"/>
        </w:rPr>
        <w:t>37(3):728–54</w:t>
      </w:r>
    </w:p>
  </w:footnote>
  <w:footnote w:id="2">
    <w:p w:rsidR="00CF0720" w:rsidRPr="006A5887" w:rsidRDefault="00CF0720" w:rsidP="00CF0720">
      <w:pPr>
        <w:pStyle w:val="Textonotapie"/>
        <w:rPr>
          <w:rFonts w:asciiTheme="majorHAnsi" w:hAnsiTheme="majorHAnsi" w:cstheme="majorHAnsi"/>
          <w:sz w:val="18"/>
          <w:szCs w:val="18"/>
          <w:lang w:val="es-AR"/>
        </w:rPr>
      </w:pPr>
      <w:r w:rsidRPr="006A5887">
        <w:rPr>
          <w:rStyle w:val="Refdenotaalpie"/>
          <w:rFonts w:asciiTheme="majorHAnsi" w:hAnsiTheme="majorHAnsi" w:cstheme="majorHAnsi"/>
          <w:sz w:val="18"/>
          <w:szCs w:val="18"/>
        </w:rPr>
        <w:footnoteRef/>
      </w:r>
      <w:r w:rsidRPr="006A5887">
        <w:rPr>
          <w:rFonts w:asciiTheme="majorHAnsi" w:hAnsiTheme="majorHAnsi" w:cstheme="majorHAnsi"/>
          <w:sz w:val="18"/>
          <w:szCs w:val="18"/>
          <w:lang w:val="es-AR"/>
        </w:rPr>
        <w:t xml:space="preserve"> </w:t>
      </w:r>
      <w:proofErr w:type="spellStart"/>
      <w:r w:rsidRPr="006A5887">
        <w:rPr>
          <w:rFonts w:asciiTheme="majorHAnsi" w:hAnsiTheme="majorHAnsi" w:cstheme="majorHAnsi"/>
          <w:sz w:val="18"/>
          <w:szCs w:val="18"/>
          <w:lang w:val="es-AR"/>
        </w:rPr>
        <w:t>Payne</w:t>
      </w:r>
      <w:proofErr w:type="spellEnd"/>
      <w:r w:rsidRPr="006A5887">
        <w:rPr>
          <w:rFonts w:asciiTheme="majorHAnsi" w:hAnsiTheme="majorHAnsi" w:cstheme="majorHAnsi"/>
          <w:sz w:val="18"/>
          <w:szCs w:val="18"/>
          <w:lang w:val="es-AR"/>
        </w:rPr>
        <w:t xml:space="preserve"> LA, Pereira G. 2016. </w:t>
      </w:r>
      <w:proofErr w:type="spellStart"/>
      <w:r w:rsidRPr="006A5887">
        <w:rPr>
          <w:rFonts w:asciiTheme="majorHAnsi" w:hAnsiTheme="majorHAnsi" w:cstheme="majorHAnsi"/>
          <w:sz w:val="18"/>
          <w:szCs w:val="18"/>
          <w:lang w:val="es-AR"/>
        </w:rPr>
        <w:t>Ibid</w:t>
      </w:r>
      <w:proofErr w:type="spellEnd"/>
      <w:r w:rsidRPr="006A5887">
        <w:rPr>
          <w:rFonts w:asciiTheme="majorHAnsi" w:hAnsiTheme="majorHAnsi" w:cstheme="majorHAnsi"/>
          <w:sz w:val="18"/>
          <w:szCs w:val="18"/>
          <w:lang w:val="es-AR"/>
        </w:rPr>
        <w:t xml:space="preserve"> 3.</w:t>
      </w:r>
    </w:p>
    <w:p w:rsidR="00CF0720" w:rsidRPr="006A5887" w:rsidRDefault="00CF0720" w:rsidP="00CF0720">
      <w:pPr>
        <w:pStyle w:val="Textonotapie"/>
        <w:rPr>
          <w:rFonts w:asciiTheme="majorHAnsi" w:hAnsiTheme="majorHAnsi" w:cstheme="majorHAnsi"/>
          <w:sz w:val="18"/>
          <w:szCs w:val="18"/>
          <w:lang w:val="es-AR"/>
        </w:rPr>
      </w:pPr>
    </w:p>
  </w:footnote>
  <w:footnote w:id="3">
    <w:p w:rsidR="009A3498" w:rsidRPr="006A5887" w:rsidRDefault="009A3498" w:rsidP="009A3498">
      <w:pPr>
        <w:pStyle w:val="Textonotapie"/>
        <w:rPr>
          <w:rFonts w:asciiTheme="majorHAnsi" w:hAnsiTheme="majorHAnsi" w:cstheme="majorHAnsi"/>
          <w:sz w:val="18"/>
          <w:szCs w:val="18"/>
          <w:lang w:val="en-US"/>
        </w:rPr>
      </w:pPr>
      <w:r w:rsidRPr="006A5887">
        <w:rPr>
          <w:rStyle w:val="Refdenotaalpie"/>
          <w:rFonts w:asciiTheme="majorHAnsi" w:hAnsiTheme="majorHAnsi" w:cstheme="majorHAnsi"/>
          <w:sz w:val="18"/>
          <w:szCs w:val="18"/>
        </w:rPr>
        <w:footnoteRef/>
      </w:r>
      <w:r w:rsidRPr="006A5887">
        <w:rPr>
          <w:rFonts w:asciiTheme="majorHAnsi" w:hAnsiTheme="majorHAnsi" w:cstheme="majorHAnsi"/>
          <w:sz w:val="18"/>
          <w:szCs w:val="18"/>
        </w:rPr>
        <w:t xml:space="preserve"> </w:t>
      </w:r>
      <w:proofErr w:type="spellStart"/>
      <w:r w:rsidRPr="006A5887">
        <w:rPr>
          <w:rFonts w:asciiTheme="majorHAnsi" w:hAnsiTheme="majorHAnsi" w:cstheme="majorHAnsi"/>
          <w:sz w:val="18"/>
          <w:szCs w:val="18"/>
        </w:rPr>
        <w:t>Payne</w:t>
      </w:r>
      <w:proofErr w:type="spellEnd"/>
      <w:r w:rsidRPr="006A5887">
        <w:rPr>
          <w:rFonts w:asciiTheme="majorHAnsi" w:hAnsiTheme="majorHAnsi" w:cstheme="majorHAnsi"/>
          <w:sz w:val="18"/>
          <w:szCs w:val="18"/>
        </w:rPr>
        <w:t xml:space="preserve"> LA, </w:t>
      </w:r>
      <w:proofErr w:type="spellStart"/>
      <w:r w:rsidRPr="006A5887">
        <w:rPr>
          <w:rFonts w:asciiTheme="majorHAnsi" w:hAnsiTheme="majorHAnsi" w:cstheme="majorHAnsi"/>
          <w:sz w:val="18"/>
          <w:szCs w:val="18"/>
        </w:rPr>
        <w:t>Lessa</w:t>
      </w:r>
      <w:proofErr w:type="spellEnd"/>
      <w:r w:rsidRPr="006A5887">
        <w:rPr>
          <w:rFonts w:asciiTheme="majorHAnsi" w:hAnsiTheme="majorHAnsi" w:cstheme="majorHAnsi"/>
          <w:sz w:val="18"/>
          <w:szCs w:val="18"/>
        </w:rPr>
        <w:t xml:space="preserve"> F, Pereira G. 2015. </w:t>
      </w:r>
      <w:r w:rsidRPr="006A5887">
        <w:rPr>
          <w:rFonts w:asciiTheme="majorHAnsi" w:hAnsiTheme="majorHAnsi" w:cstheme="majorHAnsi"/>
          <w:sz w:val="18"/>
          <w:szCs w:val="18"/>
          <w:lang w:val="en-US"/>
        </w:rPr>
        <w:t>Overcoming barriers to justice in the age of human rights accountability.</w:t>
      </w:r>
    </w:p>
    <w:p w:rsidR="009A3498" w:rsidRPr="006A5887" w:rsidRDefault="009A3498" w:rsidP="009A3498">
      <w:pPr>
        <w:pStyle w:val="Textonotapie"/>
        <w:rPr>
          <w:rFonts w:asciiTheme="majorHAnsi" w:hAnsiTheme="majorHAnsi" w:cstheme="majorHAnsi"/>
          <w:sz w:val="18"/>
          <w:szCs w:val="18"/>
          <w:lang w:val="es-AR"/>
        </w:rPr>
      </w:pPr>
      <w:r w:rsidRPr="006A5887">
        <w:rPr>
          <w:rFonts w:asciiTheme="majorHAnsi" w:hAnsiTheme="majorHAnsi" w:cstheme="majorHAnsi"/>
          <w:i/>
          <w:iCs/>
          <w:sz w:val="18"/>
          <w:szCs w:val="18"/>
          <w:lang w:val="es-AR"/>
        </w:rPr>
        <w:t xml:space="preserve">Hum. Rights Q. </w:t>
      </w:r>
      <w:r w:rsidRPr="006A5887">
        <w:rPr>
          <w:rFonts w:asciiTheme="majorHAnsi" w:hAnsiTheme="majorHAnsi" w:cstheme="majorHAnsi"/>
          <w:sz w:val="18"/>
          <w:szCs w:val="18"/>
          <w:lang w:val="es-AR"/>
        </w:rPr>
        <w:t>37(3):728–54</w:t>
      </w:r>
    </w:p>
  </w:footnote>
  <w:footnote w:id="4">
    <w:p w:rsidR="00851D15" w:rsidRPr="006A5887" w:rsidRDefault="00851D15" w:rsidP="00851D15">
      <w:pPr>
        <w:pStyle w:val="Textonotapie"/>
        <w:rPr>
          <w:rFonts w:asciiTheme="majorHAnsi" w:hAnsiTheme="majorHAnsi" w:cstheme="majorHAnsi"/>
          <w:sz w:val="18"/>
          <w:szCs w:val="18"/>
        </w:rPr>
      </w:pPr>
      <w:r w:rsidRPr="006A5887">
        <w:rPr>
          <w:rStyle w:val="Refdenotaalpie"/>
          <w:rFonts w:asciiTheme="majorHAnsi" w:hAnsiTheme="majorHAnsi" w:cstheme="majorHAnsi"/>
          <w:sz w:val="18"/>
          <w:szCs w:val="18"/>
        </w:rPr>
        <w:footnoteRef/>
      </w:r>
      <w:r w:rsidRPr="006A5887">
        <w:rPr>
          <w:rFonts w:asciiTheme="majorHAnsi" w:hAnsiTheme="majorHAnsi" w:cstheme="majorHAnsi"/>
          <w:sz w:val="18"/>
          <w:szCs w:val="18"/>
          <w:lang w:val="es-AR"/>
        </w:rPr>
        <w:t xml:space="preserve"> </w:t>
      </w:r>
      <w:proofErr w:type="spellStart"/>
      <w:r w:rsidRPr="006A5887">
        <w:rPr>
          <w:rFonts w:asciiTheme="majorHAnsi" w:hAnsiTheme="majorHAnsi" w:cstheme="majorHAnsi"/>
          <w:sz w:val="18"/>
          <w:szCs w:val="18"/>
          <w:lang w:val="es-AR"/>
        </w:rPr>
        <w:t>Payne</w:t>
      </w:r>
      <w:proofErr w:type="spellEnd"/>
      <w:r w:rsidRPr="006A5887">
        <w:rPr>
          <w:rFonts w:asciiTheme="majorHAnsi" w:hAnsiTheme="majorHAnsi" w:cstheme="majorHAnsi"/>
          <w:sz w:val="18"/>
          <w:szCs w:val="18"/>
          <w:lang w:val="es-AR"/>
        </w:rPr>
        <w:t xml:space="preserve"> LA, Pereira G. 2016. </w:t>
      </w:r>
      <w:proofErr w:type="spellStart"/>
      <w:r w:rsidRPr="006A5887">
        <w:rPr>
          <w:rFonts w:asciiTheme="majorHAnsi" w:hAnsiTheme="majorHAnsi" w:cstheme="majorHAnsi"/>
          <w:sz w:val="18"/>
          <w:szCs w:val="18"/>
          <w:lang w:val="es-AR"/>
        </w:rPr>
        <w:t>Ibid</w:t>
      </w:r>
      <w:proofErr w:type="spellEnd"/>
      <w:r w:rsidRPr="006A5887">
        <w:rPr>
          <w:rFonts w:asciiTheme="majorHAnsi" w:hAnsiTheme="majorHAnsi" w:cstheme="majorHAnsi"/>
          <w:sz w:val="18"/>
          <w:szCs w:val="18"/>
          <w:lang w:val="es-AR"/>
        </w:rPr>
        <w:t xml:space="preserve"> 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0BB9"/>
    <w:multiLevelType w:val="hybridMultilevel"/>
    <w:tmpl w:val="9D56867A"/>
    <w:lvl w:ilvl="0" w:tplc="C90C64FC">
      <w:numFmt w:val="bullet"/>
      <w:lvlText w:val="-"/>
      <w:lvlJc w:val="left"/>
      <w:pPr>
        <w:ind w:left="720" w:hanging="360"/>
      </w:pPr>
      <w:rPr>
        <w:rFonts w:ascii="Calibri" w:eastAsiaTheme="minorEastAsia"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5E733F07"/>
    <w:multiLevelType w:val="hybridMultilevel"/>
    <w:tmpl w:val="5558A332"/>
    <w:lvl w:ilvl="0" w:tplc="5BD8E81C">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98"/>
    <w:rsid w:val="00147579"/>
    <w:rsid w:val="001935F2"/>
    <w:rsid w:val="00205842"/>
    <w:rsid w:val="002E7DAC"/>
    <w:rsid w:val="00363FCA"/>
    <w:rsid w:val="003B79C4"/>
    <w:rsid w:val="003C6E2B"/>
    <w:rsid w:val="003D6EF5"/>
    <w:rsid w:val="00446AEA"/>
    <w:rsid w:val="005602B9"/>
    <w:rsid w:val="005A63FA"/>
    <w:rsid w:val="005B1B3B"/>
    <w:rsid w:val="005B5CD2"/>
    <w:rsid w:val="00656167"/>
    <w:rsid w:val="006A5887"/>
    <w:rsid w:val="00702DA0"/>
    <w:rsid w:val="00750C44"/>
    <w:rsid w:val="0079345F"/>
    <w:rsid w:val="007D1C38"/>
    <w:rsid w:val="008066F1"/>
    <w:rsid w:val="00851D15"/>
    <w:rsid w:val="00891EBD"/>
    <w:rsid w:val="009A3498"/>
    <w:rsid w:val="00A61DF3"/>
    <w:rsid w:val="00B13814"/>
    <w:rsid w:val="00B80908"/>
    <w:rsid w:val="00B965FE"/>
    <w:rsid w:val="00BA43DF"/>
    <w:rsid w:val="00C2074F"/>
    <w:rsid w:val="00C249C7"/>
    <w:rsid w:val="00C56B19"/>
    <w:rsid w:val="00CA2A39"/>
    <w:rsid w:val="00CA6608"/>
    <w:rsid w:val="00CF0720"/>
    <w:rsid w:val="00CF7791"/>
    <w:rsid w:val="00D36E0D"/>
    <w:rsid w:val="00DA5D69"/>
    <w:rsid w:val="00E56CEA"/>
    <w:rsid w:val="00E77A14"/>
    <w:rsid w:val="00E81370"/>
    <w:rsid w:val="00E9744E"/>
    <w:rsid w:val="00EE2A61"/>
    <w:rsid w:val="00FA0F54"/>
    <w:rsid w:val="00FB6AB2"/>
    <w:rsid w:val="00FC33CE"/>
    <w:rsid w:val="00FE229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DB39"/>
  <w15:chartTrackingRefBased/>
  <w15:docId w15:val="{25B49C4C-5054-464B-9EF1-189B8637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A3498"/>
    <w:pPr>
      <w:spacing w:after="0" w:line="240" w:lineRule="auto"/>
    </w:pPr>
    <w:rPr>
      <w:rFonts w:eastAsiaTheme="minorEastAsia"/>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
    <w:basedOn w:val="Normal"/>
    <w:link w:val="TextonotapieCar"/>
    <w:unhideWhenUsed/>
    <w:rsid w:val="009A3498"/>
    <w:pPr>
      <w:widowControl w:val="0"/>
    </w:pPr>
    <w:rPr>
      <w:rFonts w:ascii="Calibri" w:eastAsia="Calibri" w:hAnsi="Calibri" w:cs="Times New Roman"/>
      <w:sz w:val="20"/>
      <w:szCs w:val="20"/>
      <w:lang w:eastAsia="es-ES" w:bidi="es-ES"/>
    </w:rPr>
  </w:style>
  <w:style w:type="character" w:customStyle="1" w:styleId="TextonotapieCar">
    <w:name w:val="Texto nota pie Car"/>
    <w:aliases w:val="Footnote Text Char Char Char Char Char Car,Footnote Text Char Char Char Char Car,Footnote reference Car,FA Fu Car,Footnote Text Char Char Char Car"/>
    <w:basedOn w:val="Fuentedeprrafopredeter"/>
    <w:link w:val="Textonotapie"/>
    <w:rsid w:val="009A3498"/>
    <w:rPr>
      <w:rFonts w:ascii="Calibri" w:eastAsia="Calibri" w:hAnsi="Calibri" w:cs="Times New Roman"/>
      <w:sz w:val="20"/>
      <w:szCs w:val="20"/>
      <w:lang w:val="es-ES" w:eastAsia="es-ES" w:bidi="es-ES"/>
    </w:rPr>
  </w:style>
  <w:style w:type="character" w:styleId="Refdenotaalpie">
    <w:name w:val="footnote reference"/>
    <w:unhideWhenUsed/>
    <w:rsid w:val="009A3498"/>
    <w:rPr>
      <w:vertAlign w:val="superscript"/>
    </w:rPr>
  </w:style>
  <w:style w:type="paragraph" w:styleId="Prrafodelista">
    <w:name w:val="List Paragraph"/>
    <w:basedOn w:val="Normal"/>
    <w:uiPriority w:val="34"/>
    <w:qFormat/>
    <w:rsid w:val="0079345F"/>
    <w:pPr>
      <w:spacing w:after="200" w:line="276" w:lineRule="auto"/>
      <w:ind w:left="720"/>
      <w:contextualSpacing/>
    </w:pPr>
    <w:rPr>
      <w:sz w:val="22"/>
      <w:szCs w:val="22"/>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2686">
      <w:bodyDiv w:val="1"/>
      <w:marLeft w:val="0"/>
      <w:marRight w:val="0"/>
      <w:marTop w:val="0"/>
      <w:marBottom w:val="0"/>
      <w:divBdr>
        <w:top w:val="none" w:sz="0" w:space="0" w:color="auto"/>
        <w:left w:val="none" w:sz="0" w:space="0" w:color="auto"/>
        <w:bottom w:val="none" w:sz="0" w:space="0" w:color="auto"/>
        <w:right w:val="none" w:sz="0" w:space="0" w:color="auto"/>
      </w:divBdr>
    </w:div>
    <w:div w:id="722489586">
      <w:bodyDiv w:val="1"/>
      <w:marLeft w:val="0"/>
      <w:marRight w:val="0"/>
      <w:marTop w:val="0"/>
      <w:marBottom w:val="0"/>
      <w:divBdr>
        <w:top w:val="none" w:sz="0" w:space="0" w:color="auto"/>
        <w:left w:val="none" w:sz="0" w:space="0" w:color="auto"/>
        <w:bottom w:val="none" w:sz="0" w:space="0" w:color="auto"/>
        <w:right w:val="none" w:sz="0" w:space="0" w:color="auto"/>
      </w:divBdr>
    </w:div>
    <w:div w:id="183379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88959BE-B115-4076-8BAC-6C135A46FFAE}"/>
</file>

<file path=customXml/itemProps2.xml><?xml version="1.0" encoding="utf-8"?>
<ds:datastoreItem xmlns:ds="http://schemas.openxmlformats.org/officeDocument/2006/customXml" ds:itemID="{B6371619-8D69-4139-9954-30912ED1B5AE}"/>
</file>

<file path=customXml/itemProps3.xml><?xml version="1.0" encoding="utf-8"?>
<ds:datastoreItem xmlns:ds="http://schemas.openxmlformats.org/officeDocument/2006/customXml" ds:itemID="{6AFF4D86-7FAB-45E1-B680-865AE29DBE8D}"/>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5620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roberto gabriel pereira</dc:creator>
  <cp:keywords/>
  <dc:description/>
  <cp:lastModifiedBy>Josefina Doz Costa</cp:lastModifiedBy>
  <cp:revision>2</cp:revision>
  <dcterms:created xsi:type="dcterms:W3CDTF">2016-10-27T18:49:00Z</dcterms:created>
  <dcterms:modified xsi:type="dcterms:W3CDTF">2016-10-27T18:49:00Z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3817900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