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B8865" w14:textId="77777777" w:rsidR="00305EA8" w:rsidRDefault="00305EA8">
      <w:pPr>
        <w:pStyle w:val="Standard"/>
        <w:rPr>
          <w:rFonts w:ascii="Times New Roman" w:hAnsi="Times New Roman"/>
          <w:sz w:val="16"/>
        </w:rPr>
      </w:pPr>
      <w:bookmarkStart w:id="0" w:name="_GoBack"/>
      <w:bookmarkEnd w:id="0"/>
    </w:p>
    <w:p w14:paraId="7B4C5FCF" w14:textId="77777777" w:rsidR="00305EA8" w:rsidRDefault="00305EA8">
      <w:pPr>
        <w:pStyle w:val="Standard"/>
        <w:spacing w:after="113"/>
        <w:rPr>
          <w:rFonts w:ascii="Times New Roman" w:hAnsi="Times New Roman"/>
          <w:sz w:val="16"/>
        </w:rPr>
      </w:pPr>
    </w:p>
    <w:tbl>
      <w:tblPr>
        <w:tblW w:w="10632" w:type="dxa"/>
        <w:tblInd w:w="-426" w:type="dxa"/>
        <w:tblLayout w:type="fixed"/>
        <w:tblCellMar>
          <w:left w:w="10" w:type="dxa"/>
          <w:right w:w="10" w:type="dxa"/>
        </w:tblCellMar>
        <w:tblLook w:val="0000" w:firstRow="0" w:lastRow="0" w:firstColumn="0" w:lastColumn="0" w:noHBand="0" w:noVBand="0"/>
      </w:tblPr>
      <w:tblGrid>
        <w:gridCol w:w="6071"/>
        <w:gridCol w:w="4561"/>
      </w:tblGrid>
      <w:tr w:rsidR="00305EA8" w14:paraId="5FBE5DA4" w14:textId="77777777">
        <w:tc>
          <w:tcPr>
            <w:tcW w:w="6071" w:type="dxa"/>
            <w:shd w:val="clear" w:color="auto" w:fill="FFFFFF"/>
            <w:tcMar>
              <w:top w:w="0" w:type="dxa"/>
              <w:left w:w="70" w:type="dxa"/>
              <w:bottom w:w="0" w:type="dxa"/>
              <w:right w:w="70" w:type="dxa"/>
            </w:tcMar>
          </w:tcPr>
          <w:p w14:paraId="3C046F3A" w14:textId="77777777" w:rsidR="00305EA8" w:rsidRDefault="00FB72CC">
            <w:pPr>
              <w:pStyle w:val="Intestazione"/>
              <w:rPr>
                <w:rFonts w:ascii="Times New Roman" w:hAnsi="Times New Roman"/>
                <w:sz w:val="22"/>
                <w:szCs w:val="22"/>
              </w:rPr>
            </w:pPr>
            <w:r>
              <w:rPr>
                <w:rFonts w:ascii="Times New Roman" w:hAnsi="Times New Roman"/>
                <w:sz w:val="22"/>
                <w:szCs w:val="22"/>
              </w:rPr>
              <w:t>Rue Amat 6</w:t>
            </w:r>
          </w:p>
          <w:p w14:paraId="112BD49F" w14:textId="77777777" w:rsidR="00305EA8" w:rsidRDefault="00FB72CC">
            <w:pPr>
              <w:pStyle w:val="Intestazione"/>
              <w:spacing w:after="40"/>
              <w:rPr>
                <w:rFonts w:ascii="Times New Roman" w:hAnsi="Times New Roman"/>
                <w:sz w:val="22"/>
                <w:szCs w:val="22"/>
              </w:rPr>
            </w:pPr>
            <w:r>
              <w:rPr>
                <w:rFonts w:ascii="Times New Roman" w:hAnsi="Times New Roman"/>
                <w:sz w:val="22"/>
                <w:szCs w:val="22"/>
              </w:rPr>
              <w:t>CH-1202 Genève</w:t>
            </w:r>
          </w:p>
          <w:p w14:paraId="5988955A" w14:textId="77777777" w:rsidR="00305EA8" w:rsidRDefault="00FB72CC">
            <w:pPr>
              <w:pStyle w:val="Intestazione"/>
              <w:rPr>
                <w:rFonts w:ascii="Times New Roman" w:hAnsi="Times New Roman"/>
                <w:sz w:val="22"/>
                <w:szCs w:val="22"/>
              </w:rPr>
            </w:pPr>
            <w:r>
              <w:rPr>
                <w:rFonts w:ascii="Times New Roman" w:hAnsi="Times New Roman"/>
                <w:sz w:val="22"/>
                <w:szCs w:val="22"/>
              </w:rPr>
              <w:t>Tel. +41 (0)22 731 59 63</w:t>
            </w:r>
          </w:p>
          <w:p w14:paraId="67D6835F" w14:textId="77777777" w:rsidR="00305EA8" w:rsidRDefault="00FB72CC">
            <w:pPr>
              <w:pStyle w:val="Intestazione"/>
              <w:spacing w:after="40"/>
              <w:rPr>
                <w:rFonts w:ascii="Times New Roman" w:hAnsi="Times New Roman"/>
                <w:sz w:val="22"/>
                <w:szCs w:val="22"/>
              </w:rPr>
            </w:pPr>
            <w:r>
              <w:rPr>
                <w:rFonts w:ascii="Times New Roman" w:hAnsi="Times New Roman"/>
                <w:sz w:val="22"/>
                <w:szCs w:val="22"/>
              </w:rPr>
              <w:t>Fax +41 (0)22 731 91 52</w:t>
            </w:r>
          </w:p>
          <w:p w14:paraId="2B7AC002" w14:textId="77777777" w:rsidR="00305EA8" w:rsidRDefault="00FB72CC">
            <w:pPr>
              <w:pStyle w:val="Intestazione"/>
              <w:rPr>
                <w:rFonts w:ascii="Times New Roman" w:hAnsi="Times New Roman"/>
                <w:sz w:val="22"/>
                <w:szCs w:val="22"/>
              </w:rPr>
            </w:pPr>
            <w:r>
              <w:rPr>
                <w:rFonts w:ascii="Times New Roman" w:hAnsi="Times New Roman"/>
                <w:sz w:val="22"/>
                <w:szCs w:val="22"/>
              </w:rPr>
              <w:t>E-mail: contact@cetim.ch</w:t>
            </w:r>
          </w:p>
          <w:p w14:paraId="1F24E72B" w14:textId="77777777" w:rsidR="00305EA8" w:rsidRDefault="00FB72CC">
            <w:pPr>
              <w:pStyle w:val="Intestazione"/>
              <w:rPr>
                <w:rFonts w:hint="eastAsia"/>
              </w:rPr>
            </w:pPr>
            <w:r>
              <w:rPr>
                <w:rFonts w:ascii="Times New Roman" w:hAnsi="Times New Roman"/>
                <w:sz w:val="22"/>
                <w:szCs w:val="22"/>
              </w:rPr>
              <w:t xml:space="preserve">Site Web: </w:t>
            </w:r>
            <w:hyperlink r:id="rId7" w:history="1">
              <w:r>
                <w:rPr>
                  <w:rStyle w:val="Internetlink"/>
                  <w:rFonts w:ascii="Times New Roman" w:hAnsi="Times New Roman"/>
                  <w:sz w:val="22"/>
                  <w:szCs w:val="22"/>
                </w:rPr>
                <w:t>www.cetim.ch</w:t>
              </w:r>
            </w:hyperlink>
          </w:p>
          <w:p w14:paraId="65C51950" w14:textId="77777777" w:rsidR="00305EA8" w:rsidRDefault="00305EA8">
            <w:pPr>
              <w:pStyle w:val="Intestazione"/>
              <w:rPr>
                <w:rFonts w:ascii="Times New Roman" w:hAnsi="Times New Roman"/>
                <w:sz w:val="22"/>
                <w:szCs w:val="22"/>
              </w:rPr>
            </w:pPr>
          </w:p>
        </w:tc>
        <w:tc>
          <w:tcPr>
            <w:tcW w:w="4561" w:type="dxa"/>
            <w:shd w:val="clear" w:color="auto" w:fill="FFFFFF"/>
            <w:tcMar>
              <w:top w:w="0" w:type="dxa"/>
              <w:left w:w="70" w:type="dxa"/>
              <w:bottom w:w="0" w:type="dxa"/>
              <w:right w:w="70" w:type="dxa"/>
            </w:tcMar>
          </w:tcPr>
          <w:p w14:paraId="5568F0D9" w14:textId="77777777" w:rsidR="00305EA8" w:rsidRDefault="00FB72CC">
            <w:pPr>
              <w:pStyle w:val="Textbody"/>
              <w:tabs>
                <w:tab w:val="left" w:pos="5616"/>
              </w:tabs>
              <w:spacing w:after="0" w:line="240" w:lineRule="auto"/>
              <w:jc w:val="both"/>
              <w:rPr>
                <w:rFonts w:ascii="Times New Roman" w:hAnsi="Times New Roman" w:cs="Times New Roman"/>
                <w:b/>
              </w:rPr>
            </w:pPr>
            <w:r>
              <w:rPr>
                <w:rFonts w:ascii="Times New Roman" w:hAnsi="Times New Roman" w:cs="Times New Roman"/>
                <w:b/>
              </w:rPr>
              <w:t>ASSEMBLÉE GÉNÉRALE</w:t>
            </w:r>
          </w:p>
          <w:p w14:paraId="35EC860E" w14:textId="77777777" w:rsidR="00305EA8" w:rsidRDefault="00FB72CC">
            <w:pPr>
              <w:pStyle w:val="Standard"/>
              <w:spacing w:line="200" w:lineRule="atLeast"/>
              <w:jc w:val="both"/>
              <w:rPr>
                <w:rFonts w:ascii="Times New Roman" w:hAnsi="Times New Roman" w:cs="Times New Roman"/>
                <w:b/>
                <w:bCs/>
              </w:rPr>
            </w:pPr>
            <w:r>
              <w:rPr>
                <w:rFonts w:ascii="Times New Roman" w:hAnsi="Times New Roman" w:cs="Times New Roman"/>
                <w:b/>
                <w:bCs/>
              </w:rPr>
              <w:t>CONSEIL DES DROITS DE L'HOMME</w:t>
            </w:r>
          </w:p>
          <w:p w14:paraId="4DDF9D07" w14:textId="77777777" w:rsidR="00305EA8" w:rsidRDefault="00FB72CC">
            <w:pPr>
              <w:pStyle w:val="Standard"/>
              <w:snapToGrid w:val="0"/>
              <w:spacing w:line="200" w:lineRule="atLeast"/>
              <w:jc w:val="both"/>
              <w:rPr>
                <w:rFonts w:ascii="Times New Roman" w:hAnsi="Times New Roman" w:cs="Times New Roman"/>
                <w:color w:val="000000"/>
                <w:shd w:val="clear" w:color="auto" w:fill="FFFFFF"/>
                <w:lang w:val="en-GB" w:bidi="ar-SA"/>
              </w:rPr>
            </w:pPr>
            <w:r>
              <w:rPr>
                <w:rFonts w:ascii="Times New Roman" w:hAnsi="Times New Roman" w:cs="Times New Roman"/>
                <w:i/>
                <w:iCs/>
                <w:color w:val="000000"/>
                <w:lang w:bidi="ar-SA"/>
              </w:rPr>
              <w:t>5</w:t>
            </w:r>
            <w:r>
              <w:rPr>
                <w:rFonts w:ascii="Times New Roman" w:hAnsi="Times New Roman" w:cs="Times New Roman"/>
                <w:i/>
                <w:iCs/>
                <w:color w:val="000000"/>
                <w:vertAlign w:val="superscript"/>
                <w:lang w:bidi="ar-SA"/>
              </w:rPr>
              <w:t>ème</w:t>
            </w:r>
            <w:r>
              <w:rPr>
                <w:rFonts w:ascii="Times New Roman" w:hAnsi="Times New Roman" w:cs="Times New Roman"/>
                <w:i/>
                <w:iCs/>
                <w:color w:val="000000"/>
                <w:lang w:bidi="ar-SA"/>
              </w:rPr>
              <w:t xml:space="preserve"> session du Groupe de travail intergouvernemental chargé d'élaborer un instrument international juridiquement contraignant sur les sociétés transnationales et autres entreprises (14-18 octobre 2019)</w:t>
            </w:r>
          </w:p>
          <w:p w14:paraId="1697FC7F" w14:textId="77777777" w:rsidR="00305EA8" w:rsidRDefault="00FB72CC">
            <w:pPr>
              <w:pStyle w:val="Standard"/>
              <w:snapToGrid w:val="0"/>
              <w:spacing w:line="200" w:lineRule="atLeast"/>
              <w:ind w:left="10" w:right="-50" w:hanging="20"/>
              <w:jc w:val="both"/>
              <w:rPr>
                <w:rFonts w:ascii="Times New Roman" w:hAnsi="Times New Roman" w:cs="Times New Roman"/>
                <w:b/>
                <w:bCs/>
                <w:i/>
                <w:iCs/>
                <w:color w:val="000000"/>
                <w:lang w:bidi="ar-SA"/>
              </w:rPr>
            </w:pPr>
            <w:r>
              <w:rPr>
                <w:rFonts w:ascii="Times New Roman" w:hAnsi="Times New Roman" w:cs="Times New Roman"/>
                <w:b/>
                <w:bCs/>
                <w:i/>
                <w:iCs/>
                <w:color w:val="000000"/>
                <w:lang w:bidi="ar-SA"/>
              </w:rPr>
              <w:t>Débat sur l’article 6</w:t>
            </w:r>
          </w:p>
        </w:tc>
      </w:tr>
    </w:tbl>
    <w:p w14:paraId="251B3DB0" w14:textId="77777777" w:rsidR="00305EA8" w:rsidRDefault="00305EA8">
      <w:pPr>
        <w:pStyle w:val="Textbody"/>
        <w:tabs>
          <w:tab w:val="left" w:pos="5728"/>
        </w:tabs>
        <w:spacing w:after="0" w:line="240" w:lineRule="auto"/>
        <w:jc w:val="both"/>
        <w:rPr>
          <w:rFonts w:ascii="Times New Roman" w:hAnsi="Times New Roman" w:cs="Calibri"/>
          <w:color w:val="000000"/>
          <w:lang w:bidi="ar-SA"/>
        </w:rPr>
      </w:pPr>
    </w:p>
    <w:p w14:paraId="211A4C00" w14:textId="77777777" w:rsidR="00305EA8" w:rsidRDefault="00305EA8">
      <w:pPr>
        <w:pStyle w:val="Textbody"/>
        <w:tabs>
          <w:tab w:val="left" w:pos="5616"/>
        </w:tabs>
        <w:spacing w:after="0" w:line="240" w:lineRule="auto"/>
        <w:jc w:val="both"/>
        <w:rPr>
          <w:rFonts w:ascii="Times New Roman" w:hAnsi="Times New Roman" w:cs="Times New Roman"/>
          <w:i/>
          <w:iCs/>
        </w:rPr>
      </w:pPr>
    </w:p>
    <w:p w14:paraId="08E26549" w14:textId="77777777" w:rsidR="00305EA8" w:rsidRDefault="00FB72CC">
      <w:pPr>
        <w:pStyle w:val="Textbody"/>
        <w:spacing w:after="0" w:line="240" w:lineRule="auto"/>
        <w:ind w:right="-567"/>
        <w:jc w:val="both"/>
        <w:rPr>
          <w:rFonts w:ascii="Times New Roman" w:hAnsi="Times New Roman"/>
          <w:b/>
          <w:bCs/>
          <w:i/>
          <w:iCs/>
          <w:u w:val="single"/>
        </w:rPr>
      </w:pPr>
      <w:r>
        <w:rPr>
          <w:rFonts w:ascii="Times New Roman" w:hAnsi="Times New Roman"/>
          <w:b/>
          <w:bCs/>
          <w:i/>
          <w:iCs/>
          <w:u w:val="single"/>
        </w:rPr>
        <w:t>Déclaration orale</w:t>
      </w:r>
    </w:p>
    <w:p w14:paraId="7054475B" w14:textId="77777777" w:rsidR="00305EA8" w:rsidRDefault="00FB72CC">
      <w:pPr>
        <w:pStyle w:val="Textbody"/>
        <w:spacing w:after="0" w:line="240" w:lineRule="auto"/>
        <w:ind w:right="-567"/>
        <w:jc w:val="both"/>
        <w:rPr>
          <w:rFonts w:ascii="Times New Roman" w:hAnsi="Times New Roman"/>
          <w:i/>
          <w:iCs/>
        </w:rPr>
      </w:pPr>
      <w:r>
        <w:rPr>
          <w:rFonts w:ascii="Times New Roman" w:hAnsi="Times New Roman"/>
          <w:i/>
          <w:iCs/>
        </w:rPr>
        <w:t>Vérifier à l'audition</w:t>
      </w:r>
    </w:p>
    <w:p w14:paraId="6C4263D8" w14:textId="77777777" w:rsidR="00305EA8" w:rsidRDefault="00305EA8">
      <w:pPr>
        <w:pStyle w:val="Textbody"/>
        <w:spacing w:after="0" w:line="240" w:lineRule="auto"/>
        <w:ind w:right="-567"/>
        <w:jc w:val="both"/>
        <w:rPr>
          <w:rFonts w:ascii="Times New Roman" w:hAnsi="Times New Roman"/>
        </w:rPr>
      </w:pPr>
    </w:p>
    <w:p w14:paraId="49FD43FD" w14:textId="77777777" w:rsidR="00305EA8" w:rsidRDefault="00FB72CC">
      <w:pPr>
        <w:pStyle w:val="Textbody"/>
        <w:spacing w:after="0" w:line="240" w:lineRule="auto"/>
        <w:ind w:right="-567"/>
        <w:jc w:val="both"/>
        <w:rPr>
          <w:rFonts w:ascii="Times New Roman" w:hAnsi="Times New Roman"/>
        </w:rPr>
      </w:pPr>
      <w:r>
        <w:rPr>
          <w:rFonts w:ascii="Times New Roman" w:hAnsi="Times New Roman"/>
        </w:rPr>
        <w:t>Monsieur le Président,</w:t>
      </w:r>
    </w:p>
    <w:p w14:paraId="142617C1" w14:textId="77777777" w:rsidR="00305EA8" w:rsidRDefault="00305EA8">
      <w:pPr>
        <w:pStyle w:val="Textbody"/>
        <w:spacing w:after="0" w:line="240" w:lineRule="auto"/>
        <w:ind w:right="-567"/>
        <w:jc w:val="both"/>
        <w:rPr>
          <w:rFonts w:ascii="Times New Roman" w:hAnsi="Times New Roman"/>
        </w:rPr>
      </w:pPr>
    </w:p>
    <w:p w14:paraId="146A0E99" w14:textId="77777777" w:rsidR="00305EA8" w:rsidRDefault="00FB72CC">
      <w:pPr>
        <w:pStyle w:val="Textbody"/>
        <w:spacing w:after="0" w:line="240" w:lineRule="auto"/>
        <w:ind w:right="-567"/>
        <w:jc w:val="both"/>
        <w:rPr>
          <w:rFonts w:ascii="Times New Roman" w:hAnsi="Times New Roman"/>
        </w:rPr>
      </w:pPr>
      <w:r>
        <w:rPr>
          <w:rFonts w:ascii="Times New Roman" w:hAnsi="Times New Roman"/>
        </w:rPr>
        <w:t>L'article 6 doit énoncer clairement les responsabilités administratives, civiles et pénales des STN et de leurs dirigeants. La responsabilité pénale est nécessaire étant donné que les condamnations au plan civil ne sont pas suffisantes et ne sont pas dissuasives. En effet, pour les entités qui brassent des milliards, il est plus bénéfique de violer les normes en vigueur et payer une amende</w:t>
      </w:r>
      <w:r>
        <w:rPr>
          <w:rStyle w:val="Policepardfaut"/>
          <w:rFonts w:eastAsia="Calibri" w:cs="Times New Roman"/>
          <w:color w:val="000000"/>
          <w:szCs w:val="22"/>
          <w:lang w:eastAsia="es-ES"/>
        </w:rPr>
        <w:t>. Cette dernière est mise par la suite dans le bilan global de la STN concernée en perte et profit.</w:t>
      </w:r>
    </w:p>
    <w:p w14:paraId="43BEC1FF" w14:textId="77777777" w:rsidR="00305EA8" w:rsidRDefault="00305EA8">
      <w:pPr>
        <w:pStyle w:val="Textbody"/>
        <w:spacing w:after="0" w:line="240" w:lineRule="auto"/>
        <w:ind w:right="-567"/>
        <w:jc w:val="both"/>
        <w:rPr>
          <w:rFonts w:ascii="Times New Roman" w:hAnsi="Times New Roman"/>
        </w:rPr>
      </w:pPr>
    </w:p>
    <w:p w14:paraId="0825393E" w14:textId="77777777" w:rsidR="00305EA8" w:rsidRDefault="00FB72CC">
      <w:pPr>
        <w:pStyle w:val="Textbody"/>
        <w:spacing w:after="0" w:line="240" w:lineRule="auto"/>
        <w:ind w:right="-567"/>
        <w:jc w:val="both"/>
        <w:rPr>
          <w:rFonts w:ascii="Times New Roman" w:hAnsi="Times New Roman"/>
        </w:rPr>
      </w:pPr>
      <w:r>
        <w:rPr>
          <w:rStyle w:val="Policepardfaut"/>
          <w:rFonts w:eastAsia="Calibri" w:cs="Times New Roman"/>
          <w:color w:val="000000"/>
          <w:szCs w:val="22"/>
          <w:lang w:eastAsia="es-ES"/>
        </w:rPr>
        <w:t>Il faudra également inclure dans cet article les obligations et responsabilités des maisons-mères des STN avec leur chaîne de valeur. A ce propos, il y a une confusion dans l’usage des termes « STN », « autres entreprises », « toutes les entreprises », etc.. Il faudra une harmonisation de ces termes et parler de « STN et autres entreprises à caractère international » dans tout le projet de traité, conformément à la résolution 26/9 du Conseil des droits de l’homme.</w:t>
      </w:r>
    </w:p>
    <w:p w14:paraId="1711BEB1" w14:textId="77777777" w:rsidR="00305EA8" w:rsidRDefault="00305EA8">
      <w:pPr>
        <w:pStyle w:val="Textbody"/>
        <w:spacing w:after="0" w:line="240" w:lineRule="auto"/>
        <w:ind w:right="-567"/>
        <w:jc w:val="both"/>
        <w:rPr>
          <w:rFonts w:ascii="Times New Roman" w:hAnsi="Times New Roman"/>
        </w:rPr>
      </w:pPr>
    </w:p>
    <w:p w14:paraId="1ECD4480" w14:textId="77777777" w:rsidR="00305EA8" w:rsidRDefault="00FB72CC">
      <w:pPr>
        <w:pStyle w:val="Textbody"/>
        <w:spacing w:after="0" w:line="240" w:lineRule="auto"/>
        <w:ind w:right="-567"/>
        <w:jc w:val="both"/>
        <w:rPr>
          <w:rFonts w:ascii="Times New Roman" w:hAnsi="Times New Roman"/>
        </w:rPr>
      </w:pPr>
      <w:r>
        <w:rPr>
          <w:rStyle w:val="Policepardfaut"/>
          <w:rFonts w:eastAsia="Calibri" w:cs="Times New Roman"/>
          <w:color w:val="000000"/>
          <w:szCs w:val="22"/>
          <w:lang w:eastAsia="es-ES"/>
        </w:rPr>
        <w:t>Le paragraphe 7 de l’article 6 est très restrictive pour deux raisons.</w:t>
      </w:r>
    </w:p>
    <w:p w14:paraId="43C99ED1" w14:textId="77777777" w:rsidR="00305EA8" w:rsidRDefault="00305EA8">
      <w:pPr>
        <w:pStyle w:val="Textbody"/>
        <w:spacing w:after="0" w:line="240" w:lineRule="auto"/>
        <w:ind w:right="-567"/>
        <w:jc w:val="both"/>
        <w:rPr>
          <w:rFonts w:ascii="Times New Roman" w:hAnsi="Times New Roman"/>
        </w:rPr>
      </w:pPr>
    </w:p>
    <w:p w14:paraId="28DE9A3C" w14:textId="77777777" w:rsidR="00305EA8" w:rsidRDefault="00FB72CC">
      <w:pPr>
        <w:pStyle w:val="Textbody"/>
        <w:spacing w:after="0" w:line="240" w:lineRule="auto"/>
        <w:ind w:left="709" w:right="-567"/>
        <w:jc w:val="both"/>
        <w:rPr>
          <w:rFonts w:ascii="Times New Roman" w:hAnsi="Times New Roman"/>
        </w:rPr>
      </w:pPr>
      <w:r>
        <w:rPr>
          <w:rStyle w:val="Policepardfaut"/>
          <w:rFonts w:eastAsia="Calibri" w:cs="Times New Roman"/>
          <w:color w:val="000000"/>
          <w:szCs w:val="22"/>
          <w:u w:val="single"/>
          <w:lang w:eastAsia="es-ES"/>
        </w:rPr>
        <w:t>Premièrement</w:t>
      </w:r>
      <w:r>
        <w:rPr>
          <w:rStyle w:val="Policepardfaut"/>
          <w:rFonts w:eastAsia="Calibri" w:cs="Times New Roman"/>
          <w:color w:val="000000"/>
          <w:szCs w:val="22"/>
          <w:lang w:eastAsia="es-ES"/>
        </w:rPr>
        <w:t>, les crimes énumérés sont très restrictifs. Ils doivent comprendre tous les droits humains (civils, politiques, économiques, sociaux et culturels ainsi que le droit au développement), le droit à l’autodétermination, etc. mais aussi les normes de l’OIT, les normes environnementales et le droit international humanitaire. Ce dernier domaine se justifie par le fait que certaines STN sont impliquées dans des conflits armés.</w:t>
      </w:r>
    </w:p>
    <w:p w14:paraId="7ECFAF42" w14:textId="77777777" w:rsidR="00305EA8" w:rsidRDefault="00305EA8">
      <w:pPr>
        <w:pStyle w:val="Textbody"/>
        <w:spacing w:after="0" w:line="240" w:lineRule="auto"/>
        <w:ind w:left="709" w:right="-567"/>
        <w:jc w:val="both"/>
        <w:rPr>
          <w:rFonts w:ascii="Times New Roman" w:hAnsi="Times New Roman"/>
        </w:rPr>
      </w:pPr>
    </w:p>
    <w:p w14:paraId="0083716A" w14:textId="77777777" w:rsidR="00305EA8" w:rsidRDefault="00FB72CC">
      <w:pPr>
        <w:pStyle w:val="Textbody"/>
        <w:spacing w:after="0" w:line="240" w:lineRule="auto"/>
        <w:ind w:left="709" w:right="-567"/>
        <w:jc w:val="both"/>
        <w:rPr>
          <w:rFonts w:ascii="Times New Roman" w:hAnsi="Times New Roman"/>
        </w:rPr>
      </w:pPr>
      <w:r>
        <w:rPr>
          <w:rStyle w:val="Policepardfaut"/>
          <w:rFonts w:eastAsia="Calibri" w:cs="Times New Roman"/>
          <w:color w:val="000000"/>
          <w:szCs w:val="22"/>
          <w:u w:val="single"/>
          <w:lang w:eastAsia="es-ES"/>
        </w:rPr>
        <w:t>Deuxièmement</w:t>
      </w:r>
      <w:r>
        <w:rPr>
          <w:rStyle w:val="Policepardfaut"/>
          <w:rFonts w:eastAsia="Calibri" w:cs="Times New Roman"/>
          <w:color w:val="000000"/>
          <w:szCs w:val="22"/>
          <w:lang w:eastAsia="es-ES"/>
        </w:rPr>
        <w:t>, la référence à la législation nationale réduit la portée de cet article. Elle doit être supprimée.</w:t>
      </w:r>
    </w:p>
    <w:p w14:paraId="4DA29B7D" w14:textId="77777777" w:rsidR="00305EA8" w:rsidRDefault="00305EA8">
      <w:pPr>
        <w:pStyle w:val="Textbody"/>
        <w:spacing w:after="0" w:line="240" w:lineRule="auto"/>
        <w:ind w:right="-567"/>
        <w:jc w:val="both"/>
        <w:rPr>
          <w:rFonts w:ascii="Times New Roman" w:hAnsi="Times New Roman"/>
        </w:rPr>
      </w:pPr>
    </w:p>
    <w:p w14:paraId="7233FC26" w14:textId="77777777" w:rsidR="00305EA8" w:rsidRDefault="00FB72CC">
      <w:pPr>
        <w:pStyle w:val="Standard"/>
        <w:ind w:right="-567"/>
        <w:jc w:val="both"/>
        <w:rPr>
          <w:rFonts w:hint="eastAsia"/>
        </w:rPr>
      </w:pPr>
      <w:r>
        <w:rPr>
          <w:rStyle w:val="systrantokenpunctuation"/>
          <w:rFonts w:ascii="Times New Roman" w:hAnsi="Times New Roman"/>
          <w:i/>
          <w:iCs/>
        </w:rPr>
        <w:t>Genève, le 16 octobre 2019</w:t>
      </w:r>
    </w:p>
    <w:sectPr w:rsidR="00305EA8">
      <w:headerReference w:type="first" r:id="rId8"/>
      <w:footerReference w:type="first" r:id="rId9"/>
      <w:pgSz w:w="11906" w:h="16838"/>
      <w:pgMar w:top="1418" w:right="1134" w:bottom="1077" w:left="1418" w:header="851"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969FF" w14:textId="77777777" w:rsidR="00D248C5" w:rsidRDefault="00D248C5">
      <w:pPr>
        <w:rPr>
          <w:rFonts w:hint="eastAsia"/>
        </w:rPr>
      </w:pPr>
      <w:r>
        <w:separator/>
      </w:r>
    </w:p>
  </w:endnote>
  <w:endnote w:type="continuationSeparator" w:id="0">
    <w:p w14:paraId="2ED888D1" w14:textId="77777777" w:rsidR="00D248C5" w:rsidRDefault="00D248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Liberation Serif">
    <w:altName w:val="Times New Roman"/>
    <w:charset w:val="00"/>
    <w:family w:val="roman"/>
    <w:pitch w:val="variable"/>
  </w:font>
  <w:font w:name="NSimSun">
    <w:altName w:val="Arial Unicode MS"/>
    <w:charset w:val="86"/>
    <w:family w:val="modern"/>
    <w:pitch w:val="fixed"/>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iberation Sans">
    <w:altName w:val="Arial"/>
    <w:charset w:val="00"/>
    <w:family w:val="roman"/>
    <w:pitch w:val="variable"/>
  </w:font>
  <w:font w:name="Microsoft YaHei">
    <w:panose1 w:val="020B0503020204020204"/>
    <w:charset w:val="86"/>
    <w:family w:val="auto"/>
    <w:pitch w:val="variable"/>
    <w:sig w:usb0="80000287" w:usb1="28CF3C52" w:usb2="00000016" w:usb3="00000000" w:csb0="0004001F" w:csb1="00000000"/>
  </w:font>
  <w:font w:name="Liberation Mono">
    <w:charset w:val="00"/>
    <w:family w:val="modern"/>
    <w:pitch w:val="default"/>
  </w:font>
  <w:font w:name="OpenSymbol">
    <w:altName w:val="Arial Unicode MS"/>
    <w:charset w:val="00"/>
    <w:family w:val="roman"/>
    <w:pitch w:val="variable"/>
  </w:font>
  <w:font w:name="Calibri">
    <w:panose1 w:val="020F0502020204030204"/>
    <w:charset w:val="00"/>
    <w:family w:val="auto"/>
    <w:pitch w:val="variable"/>
    <w:sig w:usb0="E00002FF" w:usb1="4000ACFF" w:usb2="00000001" w:usb3="00000000" w:csb0="0000019F" w:csb1="00000000"/>
  </w:font>
  <w:font w:name="Univers Condensed">
    <w:altName w:val="Arial"/>
    <w:charset w:val="00"/>
    <w:family w:val="swiss"/>
    <w:pitch w:val="variable"/>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4DA05" w14:textId="77777777" w:rsidR="00F74A52" w:rsidRDefault="00FB72CC">
    <w:pPr>
      <w:pStyle w:val="Pidipagina"/>
      <w:spacing w:after="80"/>
      <w:ind w:left="-170" w:right="-170"/>
      <w:jc w:val="center"/>
      <w:rPr>
        <w:rFonts w:hint="eastAsia"/>
      </w:rPr>
    </w:pPr>
    <w:r>
      <w:t>CCP(CHF): 12-19850-1   CCP(Euro): 91-13687-6      Banque: BCG, L 750 16 55, 1211 Genève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1173C" w14:textId="77777777" w:rsidR="00D248C5" w:rsidRDefault="00D248C5">
      <w:pPr>
        <w:rPr>
          <w:rFonts w:hint="eastAsia"/>
        </w:rPr>
      </w:pPr>
      <w:r>
        <w:rPr>
          <w:color w:val="000000"/>
        </w:rPr>
        <w:separator/>
      </w:r>
    </w:p>
  </w:footnote>
  <w:footnote w:type="continuationSeparator" w:id="0">
    <w:p w14:paraId="32552FFC" w14:textId="77777777" w:rsidR="00D248C5" w:rsidRDefault="00D248C5">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8" w:type="dxa"/>
      <w:tblInd w:w="-40" w:type="dxa"/>
      <w:tblLayout w:type="fixed"/>
      <w:tblCellMar>
        <w:left w:w="10" w:type="dxa"/>
        <w:right w:w="10" w:type="dxa"/>
      </w:tblCellMar>
      <w:tblLook w:val="0000" w:firstRow="0" w:lastRow="0" w:firstColumn="0" w:lastColumn="0" w:noHBand="0" w:noVBand="0"/>
    </w:tblPr>
    <w:tblGrid>
      <w:gridCol w:w="1700"/>
      <w:gridCol w:w="8538"/>
    </w:tblGrid>
    <w:tr w:rsidR="00F74A52" w14:paraId="38750569" w14:textId="77777777">
      <w:trPr>
        <w:trHeight w:val="1274"/>
      </w:trPr>
      <w:tc>
        <w:tcPr>
          <w:tcW w:w="1700" w:type="dxa"/>
          <w:shd w:val="clear" w:color="auto" w:fill="FFFFFF"/>
          <w:tcMar>
            <w:top w:w="0" w:type="dxa"/>
            <w:left w:w="70" w:type="dxa"/>
            <w:bottom w:w="0" w:type="dxa"/>
            <w:right w:w="70" w:type="dxa"/>
          </w:tcMar>
        </w:tcPr>
        <w:p w14:paraId="5443447F" w14:textId="77777777" w:rsidR="00F74A52" w:rsidRDefault="00FB72CC">
          <w:pPr>
            <w:pStyle w:val="Intestazione"/>
            <w:snapToGrid w:val="0"/>
            <w:rPr>
              <w:rFonts w:ascii="Univers Condensed" w:hAnsi="Univers Condensed" w:hint="eastAsia"/>
            </w:rPr>
          </w:pPr>
          <w:r>
            <w:rPr>
              <w:rFonts w:ascii="Univers Condensed" w:hAnsi="Univers Condensed"/>
              <w:noProof/>
              <w:lang w:val="it-IT" w:eastAsia="it-IT" w:bidi="ar-SA"/>
            </w:rPr>
            <w:drawing>
              <wp:anchor distT="0" distB="0" distL="114300" distR="114300" simplePos="0" relativeHeight="251659264" behindDoc="0" locked="0" layoutInCell="1" allowOverlap="1" wp14:anchorId="2CC640A2" wp14:editId="4CAA602A">
                <wp:simplePos x="0" y="0"/>
                <wp:positionH relativeFrom="column">
                  <wp:posOffset>-374760</wp:posOffset>
                </wp:positionH>
                <wp:positionV relativeFrom="paragraph">
                  <wp:posOffset>-108000</wp:posOffset>
                </wp:positionV>
                <wp:extent cx="1214280" cy="1214280"/>
                <wp:effectExtent l="0" t="0" r="4920" b="4920"/>
                <wp:wrapSquare wrapText="bothSides"/>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14280" cy="1214280"/>
                        </a:xfrm>
                        <a:prstGeom prst="rect">
                          <a:avLst/>
                        </a:prstGeom>
                      </pic:spPr>
                    </pic:pic>
                  </a:graphicData>
                </a:graphic>
              </wp:anchor>
            </w:drawing>
          </w:r>
        </w:p>
      </w:tc>
      <w:tc>
        <w:tcPr>
          <w:tcW w:w="8538" w:type="dxa"/>
          <w:shd w:val="clear" w:color="auto" w:fill="FFFFFF"/>
          <w:tcMar>
            <w:top w:w="0" w:type="dxa"/>
            <w:left w:w="70" w:type="dxa"/>
            <w:bottom w:w="0" w:type="dxa"/>
            <w:right w:w="70" w:type="dxa"/>
          </w:tcMar>
        </w:tcPr>
        <w:p w14:paraId="33A79261" w14:textId="77777777" w:rsidR="00F74A52" w:rsidRDefault="00FB72CC">
          <w:pPr>
            <w:pStyle w:val="Intestazione"/>
            <w:snapToGrid w:val="0"/>
            <w:spacing w:before="40" w:after="120"/>
            <w:rPr>
              <w:rFonts w:ascii="Garamond" w:hAnsi="Garamond"/>
              <w:spacing w:val="24"/>
              <w:sz w:val="56"/>
            </w:rPr>
          </w:pPr>
          <w:r>
            <w:rPr>
              <w:rFonts w:ascii="Garamond" w:hAnsi="Garamond"/>
              <w:spacing w:val="24"/>
              <w:sz w:val="56"/>
            </w:rPr>
            <w:t>Centre Europe - Tiers Monde</w:t>
          </w:r>
        </w:p>
        <w:p w14:paraId="3EA76FB3" w14:textId="77777777" w:rsidR="00F74A52" w:rsidRDefault="00FB72CC">
          <w:pPr>
            <w:pStyle w:val="Intestazione"/>
            <w:spacing w:before="227"/>
            <w:rPr>
              <w:rFonts w:ascii="Calibri" w:hAnsi="Calibri"/>
              <w:sz w:val="22"/>
            </w:rPr>
          </w:pPr>
          <w:r>
            <w:rPr>
              <w:rFonts w:ascii="Calibri" w:hAnsi="Calibri"/>
              <w:sz w:val="22"/>
            </w:rPr>
            <w:t xml:space="preserve">Centre de recherches et de publications sur les relations entre le Tiers Monde et l'Europe   </w:t>
          </w:r>
        </w:p>
      </w:tc>
    </w:tr>
  </w:tbl>
  <w:p w14:paraId="7C5D6FBF" w14:textId="77777777" w:rsidR="00F74A52" w:rsidRDefault="00D248C5">
    <w:pPr>
      <w:pStyle w:val="Intestazione"/>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B0953"/>
    <w:multiLevelType w:val="multilevel"/>
    <w:tmpl w:val="A99091F8"/>
    <w:styleLink w:val="WWNum2"/>
    <w:lvl w:ilvl="0">
      <w:numFmt w:val="bullet"/>
      <w:lvlText w:val="-"/>
      <w:lvlJc w:val="left"/>
      <w:pPr>
        <w:ind w:left="360" w:firstLine="0"/>
      </w:pPr>
      <w:rPr>
        <w:rFonts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7AA4391"/>
    <w:multiLevelType w:val="multilevel"/>
    <w:tmpl w:val="842E758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hideSpellingErrors/>
  <w:hideGrammaticalErrors/>
  <w:defaultTabStop w:val="709"/>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A8"/>
    <w:rsid w:val="00305EA8"/>
    <w:rsid w:val="00B36A14"/>
    <w:rsid w:val="00B6376F"/>
    <w:rsid w:val="00D248C5"/>
    <w:rsid w:val="00FB72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1F3F9C"/>
  <w15:docId w15:val="{2F4C07D6-BEFC-4158-96B0-63EECF6F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2">
    <w:name w:val="heading 2"/>
    <w:basedOn w:val="Heading"/>
    <w:next w:val="Textbody"/>
    <w:uiPriority w:val="9"/>
    <w:semiHidden/>
    <w:unhideWhenUsed/>
    <w:qFormat/>
    <w:pPr>
      <w:spacing w:before="200"/>
      <w:outlineLvl w:val="1"/>
    </w:pPr>
    <w:rPr>
      <w:rFonts w:ascii="Liberation Serif" w:eastAsia="SimSun" w:hAnsi="Liberation Serif"/>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071"/>
      </w:tabs>
    </w:pPr>
  </w:style>
  <w:style w:type="paragraph" w:styleId="Pidipagina">
    <w:name w:val="footer"/>
    <w:basedOn w:val="Standard"/>
    <w:pPr>
      <w:tabs>
        <w:tab w:val="center" w:pos="4819"/>
        <w:tab w:val="right" w:pos="9071"/>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hAnsi="Liberation Mono" w:cs="Liberation Mono"/>
      <w:sz w:val="20"/>
      <w:szCs w:val="20"/>
    </w:rPr>
  </w:style>
  <w:style w:type="paragraph" w:customStyle="1" w:styleId="Corpsdetexte2">
    <w:name w:val="Corps de texte 2"/>
    <w:basedOn w:val="Standard"/>
    <w:pPr>
      <w:jc w:val="both"/>
    </w:pPr>
    <w:rPr>
      <w:sz w:val="22"/>
      <w:szCs w:val="2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ListLabel73">
    <w:name w:val="ListLabel 73"/>
    <w:rPr>
      <w:rFonts w:cs="Times New Roman"/>
      <w:sz w:val="24"/>
    </w:rPr>
  </w:style>
  <w:style w:type="character" w:customStyle="1" w:styleId="ListLabel1">
    <w:name w:val="ListLabel 1"/>
    <w:rPr>
      <w:rFonts w:ascii="Times New Roman" w:eastAsia="Times New Roman" w:hAnsi="Times New Roman" w:cs="Times New Roman"/>
      <w:sz w:val="22"/>
      <w:szCs w:val="22"/>
    </w:rPr>
  </w:style>
  <w:style w:type="character" w:customStyle="1" w:styleId="systrantokenpunctuation">
    <w:name w:val="systran_token_punctuation"/>
    <w:basedOn w:val="Policepardfaut1"/>
  </w:style>
  <w:style w:type="character" w:customStyle="1" w:styleId="Policepardfaut1">
    <w:name w:val="Police par défaut1"/>
  </w:style>
  <w:style w:type="character" w:customStyle="1" w:styleId="Policepardfaut">
    <w:name w:val="Police par défaut"/>
  </w:style>
  <w:style w:type="numbering" w:customStyle="1" w:styleId="WWNum2">
    <w:name w:val="WWNum2"/>
    <w:basedOn w:val="Nessunelenco"/>
    <w:pPr>
      <w:numPr>
        <w:numId w:val="1"/>
      </w:numPr>
    </w:pPr>
  </w:style>
  <w:style w:type="numbering" w:customStyle="1" w:styleId="NoList1">
    <w:name w:val="No List_1"/>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etim.ch/" TargetMode="Externa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545EBC-AD76-45F7-871A-8BB86F50D34D}"/>
</file>

<file path=customXml/itemProps2.xml><?xml version="1.0" encoding="utf-8"?>
<ds:datastoreItem xmlns:ds="http://schemas.openxmlformats.org/officeDocument/2006/customXml" ds:itemID="{444E0F86-E3B1-479A-B335-7EC184AAF7CF}"/>
</file>

<file path=customXml/itemProps3.xml><?xml version="1.0" encoding="utf-8"?>
<ds:datastoreItem xmlns:ds="http://schemas.openxmlformats.org/officeDocument/2006/customXml" ds:itemID="{EA4D0A6E-22DE-4C9F-8D81-FAFF6474F450}"/>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1802</Characters>
  <Application>Microsoft Macintosh Word</Application>
  <DocSecurity>0</DocSecurity>
  <Lines>15</Lines>
  <Paragraphs>4</Paragraphs>
  <ScaleCrop>false</ScaleCrop>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Raffaele Morgantini</cp:lastModifiedBy>
  <cp:revision>2</cp:revision>
  <cp:lastPrinted>2019-06-13T09:25:00Z</cp:lastPrinted>
  <dcterms:created xsi:type="dcterms:W3CDTF">2019-10-17T11:49:00Z</dcterms:created>
  <dcterms:modified xsi:type="dcterms:W3CDTF">2019-10-17T11:49:00Z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5333400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