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2.xml.rels" ContentType="application/vnd.openxmlformats-package.relationship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Times New Roman" w:hAnsi="Times New Roman"/>
          <w:sz w:val="16"/>
        </w:rPr>
      </w:pPr>
      <w:r>
        <w:rPr>
          <w:rFonts w:ascii="Times New Roman" w:hAnsi="Times New Roman"/>
          <w:sz w:val="16"/>
        </w:rPr>
      </w:r>
      <w:bookmarkStart w:id="0" w:name="_GoBack"/>
      <w:bookmarkStart w:id="1" w:name="_GoBack"/>
      <w:bookmarkEnd w:id="1"/>
    </w:p>
    <w:p>
      <w:pPr>
        <w:pStyle w:val="Standard"/>
        <w:spacing w:before="0" w:after="113"/>
        <w:rPr>
          <w:rFonts w:ascii="Times New Roman" w:hAnsi="Times New Roman"/>
          <w:sz w:val="16"/>
        </w:rPr>
      </w:pPr>
      <w:r>
        <w:rPr>
          <w:rFonts w:ascii="Times New Roman" w:hAnsi="Times New Roman"/>
          <w:sz w:val="16"/>
        </w:rPr>
      </w:r>
    </w:p>
    <w:tbl>
      <w:tblPr>
        <w:tblW w:w="10632" w:type="dxa"/>
        <w:jc w:val="left"/>
        <w:tblInd w:w="-426" w:type="dxa"/>
        <w:tblCellMar>
          <w:top w:w="0" w:type="dxa"/>
          <w:left w:w="70" w:type="dxa"/>
          <w:bottom w:w="0" w:type="dxa"/>
          <w:right w:w="70" w:type="dxa"/>
        </w:tblCellMar>
        <w:tblLook w:firstRow="0" w:noVBand="0" w:lastRow="0" w:firstColumn="0" w:lastColumn="0" w:noHBand="0" w:val="0000"/>
      </w:tblPr>
      <w:tblGrid>
        <w:gridCol w:w="6069"/>
        <w:gridCol w:w="4562"/>
      </w:tblGrid>
      <w:tr>
        <w:trPr/>
        <w:tc>
          <w:tcPr>
            <w:tcW w:w="6069" w:type="dxa"/>
            <w:tcBorders/>
            <w:shd w:color="auto" w:fill="FFFFFF" w:val="clear"/>
          </w:tcPr>
          <w:p>
            <w:pPr>
              <w:pStyle w:val="Entte"/>
              <w:rPr>
                <w:rFonts w:ascii="Times New Roman" w:hAnsi="Times New Roman"/>
                <w:sz w:val="22"/>
                <w:szCs w:val="22"/>
              </w:rPr>
            </w:pPr>
            <w:r>
              <w:rPr>
                <w:rFonts w:ascii="Times New Roman" w:hAnsi="Times New Roman"/>
                <w:sz w:val="22"/>
                <w:szCs w:val="22"/>
              </w:rPr>
              <w:t>Rue Amat 6</w:t>
            </w:r>
          </w:p>
          <w:p>
            <w:pPr>
              <w:pStyle w:val="Entte"/>
              <w:spacing w:before="0" w:after="40"/>
              <w:rPr>
                <w:rFonts w:ascii="Times New Roman" w:hAnsi="Times New Roman"/>
                <w:sz w:val="22"/>
                <w:szCs w:val="22"/>
              </w:rPr>
            </w:pPr>
            <w:r>
              <w:rPr>
                <w:rFonts w:ascii="Times New Roman" w:hAnsi="Times New Roman"/>
                <w:sz w:val="22"/>
                <w:szCs w:val="22"/>
              </w:rPr>
              <w:t>CH-1202 Genève</w:t>
            </w:r>
          </w:p>
          <w:p>
            <w:pPr>
              <w:pStyle w:val="Entte"/>
              <w:rPr>
                <w:rFonts w:ascii="Times New Roman" w:hAnsi="Times New Roman"/>
                <w:sz w:val="22"/>
                <w:szCs w:val="22"/>
              </w:rPr>
            </w:pPr>
            <w:r>
              <w:rPr>
                <w:rFonts w:ascii="Times New Roman" w:hAnsi="Times New Roman"/>
                <w:sz w:val="22"/>
                <w:szCs w:val="22"/>
              </w:rPr>
              <w:t>Tel. +41 (0)22 731 59 63</w:t>
            </w:r>
          </w:p>
          <w:p>
            <w:pPr>
              <w:pStyle w:val="Entte"/>
              <w:spacing w:before="0" w:after="40"/>
              <w:rPr>
                <w:rFonts w:ascii="Times New Roman" w:hAnsi="Times New Roman"/>
                <w:sz w:val="22"/>
                <w:szCs w:val="22"/>
              </w:rPr>
            </w:pPr>
            <w:r>
              <w:rPr>
                <w:rFonts w:ascii="Times New Roman" w:hAnsi="Times New Roman"/>
                <w:sz w:val="22"/>
                <w:szCs w:val="22"/>
              </w:rPr>
              <w:t>Fax +41 (0)22 731 91 52</w:t>
            </w:r>
          </w:p>
          <w:p>
            <w:pPr>
              <w:pStyle w:val="Entte"/>
              <w:rPr>
                <w:rFonts w:ascii="Times New Roman" w:hAnsi="Times New Roman"/>
                <w:sz w:val="22"/>
                <w:szCs w:val="22"/>
              </w:rPr>
            </w:pPr>
            <w:r>
              <w:rPr>
                <w:rFonts w:ascii="Times New Roman" w:hAnsi="Times New Roman"/>
                <w:sz w:val="22"/>
                <w:szCs w:val="22"/>
              </w:rPr>
              <w:t>E-mail: contact@cetim.ch</w:t>
            </w:r>
          </w:p>
          <w:p>
            <w:pPr>
              <w:pStyle w:val="Entte"/>
              <w:rPr/>
            </w:pPr>
            <w:r>
              <w:rPr>
                <w:rFonts w:ascii="Times New Roman" w:hAnsi="Times New Roman"/>
                <w:sz w:val="22"/>
                <w:szCs w:val="22"/>
              </w:rPr>
              <w:t xml:space="preserve">Site Web: </w:t>
            </w:r>
            <w:hyperlink r:id="rId2">
              <w:r>
                <w:rPr>
                  <w:rStyle w:val="Internetlink"/>
                  <w:rFonts w:ascii="Times New Roman" w:hAnsi="Times New Roman"/>
                  <w:sz w:val="22"/>
                  <w:szCs w:val="22"/>
                </w:rPr>
                <w:t>www.cetim.ch</w:t>
              </w:r>
            </w:hyperlink>
          </w:p>
          <w:p>
            <w:pPr>
              <w:pStyle w:val="Entte"/>
              <w:rPr>
                <w:rFonts w:ascii="Times New Roman" w:hAnsi="Times New Roman"/>
                <w:sz w:val="22"/>
                <w:szCs w:val="22"/>
              </w:rPr>
            </w:pPr>
            <w:r>
              <w:rPr>
                <w:rFonts w:ascii="Times New Roman" w:hAnsi="Times New Roman"/>
                <w:sz w:val="22"/>
                <w:szCs w:val="22"/>
              </w:rPr>
            </w:r>
          </w:p>
        </w:tc>
        <w:tc>
          <w:tcPr>
            <w:tcW w:w="4562" w:type="dxa"/>
            <w:tcBorders/>
            <w:shd w:color="auto" w:fill="FFFFFF" w:val="clear"/>
          </w:tcPr>
          <w:p>
            <w:pPr>
              <w:pStyle w:val="Textbody"/>
              <w:tabs>
                <w:tab w:val="clear" w:pos="709"/>
                <w:tab w:val="left" w:pos="5616" w:leader="none"/>
              </w:tabs>
              <w:spacing w:lineRule="auto" w:line="240" w:before="0" w:after="0"/>
              <w:jc w:val="both"/>
              <w:rPr>
                <w:rFonts w:ascii="Times New Roman" w:hAnsi="Times New Roman" w:cs="Times New Roman"/>
                <w:b/>
                <w:b/>
              </w:rPr>
            </w:pPr>
            <w:r>
              <w:rPr>
                <w:rFonts w:cs="Times New Roman" w:ascii="Times New Roman" w:hAnsi="Times New Roman"/>
                <w:b/>
              </w:rPr>
              <w:t>ASSEMBLÉE GÉNÉRALE</w:t>
            </w:r>
          </w:p>
          <w:p>
            <w:pPr>
              <w:pStyle w:val="Standard"/>
              <w:spacing w:lineRule="atLeast" w:line="200"/>
              <w:jc w:val="both"/>
              <w:rPr>
                <w:rFonts w:ascii="Times New Roman" w:hAnsi="Times New Roman" w:cs="Times New Roman"/>
                <w:b/>
                <w:b/>
                <w:bCs/>
              </w:rPr>
            </w:pPr>
            <w:r>
              <w:rPr>
                <w:rFonts w:cs="Times New Roman" w:ascii="Times New Roman" w:hAnsi="Times New Roman"/>
                <w:b/>
                <w:bCs/>
              </w:rPr>
              <w:t>CONSEIL DES DROITS DE L'HOMME</w:t>
            </w:r>
          </w:p>
          <w:p>
            <w:pPr>
              <w:pStyle w:val="Standard"/>
              <w:snapToGrid w:val="false"/>
              <w:spacing w:lineRule="atLeast" w:line="200"/>
              <w:jc w:val="both"/>
              <w:rPr>
                <w:rFonts w:ascii="Times New Roman" w:hAnsi="Times New Roman" w:cs="Times New Roman"/>
                <w:color w:val="000000"/>
                <w:highlight w:val="white"/>
                <w:lang w:val="en-GB" w:bidi="ar-SA"/>
              </w:rPr>
            </w:pPr>
            <w:r>
              <w:rPr>
                <w:rFonts w:cs="Times New Roman" w:ascii="Times New Roman" w:hAnsi="Times New Roman"/>
                <w:i/>
                <w:iCs/>
                <w:color w:val="000000"/>
                <w:lang w:bidi="ar-SA"/>
              </w:rPr>
              <w:t>5</w:t>
            </w:r>
            <w:r>
              <w:rPr>
                <w:rFonts w:cs="Times New Roman" w:ascii="Times New Roman" w:hAnsi="Times New Roman"/>
                <w:i/>
                <w:iCs/>
                <w:color w:val="000000"/>
                <w:vertAlign w:val="superscript"/>
                <w:lang w:bidi="ar-SA"/>
              </w:rPr>
              <w:t>ème</w:t>
            </w:r>
            <w:r>
              <w:rPr>
                <w:rFonts w:cs="Times New Roman" w:ascii="Times New Roman" w:hAnsi="Times New Roman"/>
                <w:i/>
                <w:iCs/>
                <w:color w:val="000000"/>
                <w:lang w:bidi="ar-SA"/>
              </w:rPr>
              <w:t xml:space="preserve"> session du Groupe de travail intergouvernemental chargé d'élaborer un instrument international juridiquement contraignant sur les sociétés transnationales et autres entreprises (14-18 octobre 2019)</w:t>
            </w:r>
          </w:p>
          <w:p>
            <w:pPr>
              <w:pStyle w:val="Standard"/>
              <w:snapToGrid w:val="false"/>
              <w:spacing w:lineRule="atLeast" w:line="200"/>
              <w:ind w:left="10" w:right="-50" w:hanging="20"/>
              <w:jc w:val="both"/>
              <w:rPr/>
            </w:pPr>
            <w:r>
              <w:rPr>
                <w:rFonts w:cs="Times New Roman" w:ascii="Times New Roman" w:hAnsi="Times New Roman"/>
                <w:b/>
                <w:bCs/>
                <w:i/>
                <w:iCs/>
                <w:color w:val="000000"/>
                <w:lang w:bidi="ar-SA"/>
              </w:rPr>
              <w:t xml:space="preserve">Débat sur le préambule et articles </w:t>
            </w:r>
            <w:r>
              <w:rPr>
                <w:rFonts w:eastAsia="NSimSun" w:cs="Times New Roman" w:ascii="Times New Roman" w:hAnsi="Times New Roman"/>
                <w:b/>
                <w:bCs/>
                <w:i/>
                <w:iCs/>
                <w:color w:val="000000"/>
                <w:kern w:val="2"/>
                <w:sz w:val="24"/>
                <w:szCs w:val="24"/>
                <w:lang w:val="fr-FR" w:eastAsia="zh-CN" w:bidi="ar-SA"/>
              </w:rPr>
              <w:t>3 et 4</w:t>
            </w:r>
          </w:p>
        </w:tc>
      </w:tr>
    </w:tbl>
    <w:p>
      <w:pPr>
        <w:pStyle w:val="Textbody"/>
        <w:tabs>
          <w:tab w:val="clear" w:pos="709"/>
          <w:tab w:val="left" w:pos="5728" w:leader="none"/>
        </w:tabs>
        <w:spacing w:lineRule="auto" w:line="240" w:before="0" w:after="0"/>
        <w:jc w:val="both"/>
        <w:rPr>
          <w:rFonts w:ascii="Times New Roman" w:hAnsi="Times New Roman" w:cs="Calibri"/>
          <w:color w:val="000000"/>
          <w:lang w:bidi="ar-SA"/>
        </w:rPr>
      </w:pPr>
      <w:r>
        <w:rPr>
          <w:rFonts w:cs="Calibri" w:ascii="Times New Roman" w:hAnsi="Times New Roman"/>
          <w:color w:val="000000"/>
          <w:lang w:bidi="ar-SA"/>
        </w:rPr>
      </w:r>
    </w:p>
    <w:p>
      <w:pPr>
        <w:pStyle w:val="Textbody"/>
        <w:tabs>
          <w:tab w:val="clear" w:pos="709"/>
          <w:tab w:val="left" w:pos="5616" w:leader="none"/>
        </w:tabs>
        <w:spacing w:lineRule="auto" w:line="240" w:before="0" w:after="0"/>
        <w:jc w:val="both"/>
        <w:rPr>
          <w:rFonts w:ascii="Times New Roman" w:hAnsi="Times New Roman" w:cs="Times New Roman"/>
          <w:i/>
          <w:i/>
          <w:iCs/>
        </w:rPr>
      </w:pPr>
      <w:r>
        <w:rPr>
          <w:rFonts w:cs="Times New Roman" w:ascii="Times New Roman" w:hAnsi="Times New Roman"/>
          <w:i/>
          <w:iCs/>
        </w:rPr>
      </w:r>
    </w:p>
    <w:p>
      <w:pPr>
        <w:pStyle w:val="Textbody"/>
        <w:spacing w:lineRule="auto" w:line="240" w:before="0" w:after="0"/>
        <w:ind w:right="-567" w:hanging="0"/>
        <w:jc w:val="both"/>
        <w:rPr>
          <w:rFonts w:ascii="Times New Roman" w:hAnsi="Times New Roman"/>
          <w:b/>
          <w:b/>
          <w:bCs/>
          <w:i/>
          <w:i/>
          <w:iCs/>
          <w:u w:val="single"/>
        </w:rPr>
      </w:pPr>
      <w:r>
        <w:rPr>
          <w:rFonts w:ascii="Times New Roman" w:hAnsi="Times New Roman"/>
          <w:b/>
          <w:bCs/>
          <w:i/>
          <w:iCs/>
          <w:u w:val="single"/>
        </w:rPr>
        <w:t>Déclaration orale</w:t>
      </w:r>
    </w:p>
    <w:p>
      <w:pPr>
        <w:pStyle w:val="Textbody"/>
        <w:spacing w:lineRule="auto" w:line="240" w:before="0" w:after="0"/>
        <w:ind w:right="-567" w:hanging="0"/>
        <w:jc w:val="both"/>
        <w:rPr>
          <w:rFonts w:ascii="Times New Roman" w:hAnsi="Times New Roman"/>
          <w:i/>
          <w:i/>
          <w:iCs/>
        </w:rPr>
      </w:pPr>
      <w:r>
        <w:rPr>
          <w:rFonts w:ascii="Times New Roman" w:hAnsi="Times New Roman"/>
          <w:i/>
          <w:iCs/>
        </w:rPr>
        <w:t>Vérifier à l'audition</w:t>
      </w:r>
    </w:p>
    <w:p>
      <w:pPr>
        <w:pStyle w:val="Textbody"/>
        <w:spacing w:lineRule="auto" w:line="240" w:before="0" w:after="0"/>
        <w:ind w:right="-567" w:hanging="0"/>
        <w:jc w:val="both"/>
        <w:rPr>
          <w:rStyle w:val="Systrantokenpunctuation"/>
          <w:rFonts w:ascii="Times New Roman" w:hAnsi="Times New Roman"/>
          <w:i/>
          <w:i/>
          <w:iCs/>
        </w:rPr>
      </w:pPr>
      <w:r>
        <w:rPr/>
      </w:r>
    </w:p>
    <w:p>
      <w:pPr>
        <w:pStyle w:val="Textbody"/>
        <w:spacing w:lineRule="auto" w:line="240" w:before="0" w:after="0"/>
        <w:ind w:right="-567" w:hanging="0"/>
        <w:jc w:val="both"/>
        <w:rPr/>
      </w:pPr>
      <w:r>
        <w:rPr>
          <w:rStyle w:val="Systrantokenpunctuation"/>
          <w:rFonts w:ascii="Times New Roman" w:hAnsi="Times New Roman"/>
          <w:b w:val="false"/>
          <w:bCs w:val="false"/>
          <w:i w:val="false"/>
          <w:iCs w:val="false"/>
        </w:rPr>
        <w:t xml:space="preserve">Mister President,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I speak on behalf of </w:t>
      </w:r>
      <w:r>
        <w:rPr>
          <w:rFonts w:cs="Times New Roman" w:ascii="Times New Roman" w:hAnsi="Times New Roman"/>
          <w:sz w:val="24"/>
          <w:szCs w:val="24"/>
        </w:rPr>
        <w:t>CETIM, member of Global Campaign.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
        </w:numPr>
        <w:spacing w:lineRule="auto" w:line="240" w:before="0" w:after="0"/>
        <w:ind w:left="360" w:right="0" w:hanging="360"/>
        <w:jc w:val="both"/>
        <w:rPr>
          <w:rFonts w:ascii="Times New Roman" w:hAnsi="Times New Roman" w:cs="Times New Roman"/>
        </w:rPr>
      </w:pPr>
      <w:r>
        <w:rPr>
          <w:rFonts w:cs="Times New Roman" w:ascii="Times New Roman" w:hAnsi="Times New Roman"/>
        </w:rPr>
        <w:t xml:space="preserve">On article 3, It is important for this para, and for the whole text, to be consistent with intention of the LBI, as mandated by resolution 26/9, namely “with transnational character” into definition and scope. This also should applies to the whole text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pPr>
      <w:r>
        <w:rPr>
          <w:rFonts w:cs="Times New Roman" w:ascii="Times New Roman" w:hAnsi="Times New Roman"/>
        </w:rPr>
        <w:t xml:space="preserve">(2) on </w:t>
      </w:r>
      <w:r>
        <w:rPr>
          <w:rStyle w:val="T12"/>
          <w:rFonts w:cs="Times New Roman" w:ascii="Times New Roman" w:hAnsi="Times New Roman"/>
          <w:bCs/>
        </w:rPr>
        <w:t>Article 4 (: Rights of victims)</w:t>
      </w:r>
    </w:p>
    <w:p>
      <w:pPr>
        <w:pStyle w:val="Corpsdetexte"/>
        <w:spacing w:lineRule="auto" w:line="240" w:before="0" w:after="0"/>
        <w:jc w:val="both"/>
        <w:rPr/>
      </w:pPr>
      <w:r>
        <w:rPr>
          <w:rStyle w:val="T12"/>
          <w:rFonts w:cs="Times New Roman" w:ascii="Times New Roman" w:hAnsi="Times New Roman"/>
          <w:sz w:val="22"/>
          <w:szCs w:val="22"/>
          <w:lang w:val="en-GB"/>
        </w:rPr>
        <w:t>Although article 4 contains important elements to ensure justice for affected communities and individuals, it has gaps. We therefore propose the following changes.</w:t>
      </w:r>
    </w:p>
    <w:p>
      <w:pPr>
        <w:pStyle w:val="Corpsdetexte"/>
        <w:numPr>
          <w:ilvl w:val="0"/>
          <w:numId w:val="1"/>
        </w:numPr>
        <w:spacing w:lineRule="auto" w:line="240" w:before="0" w:after="0"/>
        <w:jc w:val="both"/>
        <w:rPr/>
      </w:pPr>
      <w:r>
        <w:rPr>
          <w:rStyle w:val="T12"/>
          <w:rFonts w:cs="Times New Roman" w:ascii="Times New Roman" w:hAnsi="Times New Roman"/>
          <w:sz w:val="22"/>
          <w:szCs w:val="22"/>
          <w:lang w:val="en-GB"/>
        </w:rPr>
        <w:t>(2.1.) Despite the provision on human rights defenders and the recognition of their role in the draft text, it is important to specify special guarantees in this article concerning them and to recognize their status as vulnerable persons, using the language of the Acuerdo de Escazú (Escazú agreement/Treaty)</w:t>
      </w:r>
      <w:r>
        <w:rPr>
          <w:rStyle w:val="LienInternet"/>
          <w:rStyle w:val="Ancredenotedebasdepage"/>
          <w:rFonts w:cs="Times New Roman" w:ascii="Times New Roman" w:hAnsi="Times New Roman"/>
          <w:sz w:val="22"/>
          <w:szCs w:val="22"/>
          <w:vertAlign w:val="superscript"/>
          <w:lang w:val="en-GB"/>
        </w:rPr>
        <w:footnoteReference w:id="2"/>
      </w:r>
      <w:r>
        <w:rPr>
          <w:rStyle w:val="T12"/>
          <w:rFonts w:cs="Times New Roman" w:ascii="Times New Roman" w:hAnsi="Times New Roman"/>
          <w:sz w:val="22"/>
          <w:szCs w:val="22"/>
          <w:lang w:val="en-GB"/>
        </w:rPr>
        <w:t>.</w:t>
      </w:r>
    </w:p>
    <w:p>
      <w:pPr>
        <w:pStyle w:val="Corpsdetexte"/>
        <w:numPr>
          <w:ilvl w:val="0"/>
          <w:numId w:val="1"/>
        </w:numPr>
        <w:spacing w:lineRule="auto" w:line="240" w:before="0" w:after="0"/>
        <w:jc w:val="both"/>
        <w:rPr/>
      </w:pPr>
      <w:r>
        <w:rPr>
          <w:rStyle w:val="T12"/>
          <w:rFonts w:cs="Times New Roman" w:ascii="Times New Roman" w:hAnsi="Times New Roman"/>
          <w:sz w:val="22"/>
          <w:szCs w:val="22"/>
          <w:lang w:val="en-GB"/>
        </w:rPr>
        <w:t xml:space="preserve">(2.2.) With regard to the right of victims to information, it should include, as matter of important example, access to information on public and private enterprises (i.e. legal persons) that form an economic group and/or are linked in the value chain, etc. Indeed, this information must reveal the links between a given TNC and its </w:t>
      </w:r>
      <w:r>
        <w:rPr>
          <w:rStyle w:val="T12"/>
          <w:rFonts w:eastAsia="Times New Roman" w:cs="Times New Roman" w:ascii="Times New Roman" w:hAnsi="Times New Roman"/>
          <w:sz w:val="22"/>
          <w:szCs w:val="22"/>
          <w:lang w:val="en-GB" w:bidi="ar-SA"/>
        </w:rPr>
        <w:t>supply</w:t>
      </w:r>
      <w:r>
        <w:rPr>
          <w:rStyle w:val="T12"/>
          <w:rFonts w:cs="Times New Roman" w:ascii="Times New Roman" w:hAnsi="Times New Roman"/>
          <w:sz w:val="22"/>
          <w:szCs w:val="22"/>
          <w:lang w:val="en-GB"/>
        </w:rPr>
        <w:t xml:space="preserve"> chain, so that national courts and the future international implementation mechanism can be operational. In this sense, the right to information would complement the reversal of the burden of proof in order to counterbalance the problems caused by the opaque functioning of TNCs (article 4.16).</w:t>
      </w:r>
    </w:p>
    <w:p>
      <w:pPr>
        <w:pStyle w:val="Corpsdetexte"/>
        <w:numPr>
          <w:ilvl w:val="0"/>
          <w:numId w:val="1"/>
        </w:numPr>
        <w:spacing w:lineRule="auto" w:line="240" w:before="0" w:after="0"/>
        <w:jc w:val="both"/>
        <w:rPr/>
      </w:pPr>
      <w:r>
        <w:rPr>
          <w:rStyle w:val="T12"/>
          <w:rFonts w:cs="Times New Roman" w:ascii="Times New Roman" w:hAnsi="Times New Roman"/>
          <w:sz w:val="22"/>
          <w:szCs w:val="22"/>
          <w:lang w:val="en-GB"/>
        </w:rPr>
        <w:t xml:space="preserve">(2.3.) With regard to non-judicial mechanisms (Article 4.8), a safeguard clause should be included to ensure that this particular provision does not and shall not compromise the access of rights holders to judicial mechanisms. The exercise of this very article should not be an obstacle to access to justice. </w:t>
      </w:r>
    </w:p>
    <w:p>
      <w:pPr>
        <w:pStyle w:val="Corpsdetexte"/>
        <w:numPr>
          <w:ilvl w:val="0"/>
          <w:numId w:val="1"/>
        </w:numPr>
        <w:spacing w:lineRule="auto" w:line="240" w:before="0" w:after="0"/>
        <w:jc w:val="both"/>
        <w:rPr>
          <w:rStyle w:val="Systrantokenpunctuation"/>
          <w:rFonts w:ascii="Times New Roman" w:hAnsi="Times New Roman"/>
          <w:i/>
          <w:i/>
          <w:iCs/>
        </w:rPr>
      </w:pPr>
      <w:r>
        <w:rPr>
          <w:rStyle w:val="T12"/>
          <w:rFonts w:cs="Times New Roman" w:ascii="Times New Roman" w:hAnsi="Times New Roman"/>
          <w:sz w:val="22"/>
          <w:szCs w:val="22"/>
          <w:lang w:val="en-GB"/>
        </w:rPr>
        <w:t>(2.4.) The references to  national legislation in paragraphs 11, 12.b, 14 and 16 limit the scope of article 4. They should therefore be deleted.</w:t>
      </w:r>
    </w:p>
    <w:sectPr>
      <w:headerReference w:type="default" r:id="rId3"/>
      <w:headerReference w:type="first" r:id="rId4"/>
      <w:footerReference w:type="default" r:id="rId5"/>
      <w:footerReference w:type="first" r:id="rId6"/>
      <w:footnotePr>
        <w:numFmt w:val="decimal"/>
      </w:footnotePr>
      <w:type w:val="nextPage"/>
      <w:pgSz w:w="11906" w:h="16838"/>
      <w:pgMar w:left="1418" w:right="1134" w:header="851" w:top="1418" w:footer="0" w:bottom="1077"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Symbol">
    <w:charset w:val="02"/>
    <w:family w:val="auto"/>
    <w:pitch w:val="variable"/>
  </w:font>
  <w:font w:name="Liberation Sans">
    <w:altName w:val="Arial"/>
    <w:charset w:val="00"/>
    <w:family w:val="roman"/>
    <w:pitch w:val="variable"/>
  </w:font>
  <w:font w:name="Liberation Mono">
    <w:altName w:val="Courier New"/>
    <w:charset w:val="00"/>
    <w:family w:val="roman"/>
    <w:pitch w:val="variable"/>
  </w:font>
  <w:font w:name="Univers Condensed">
    <w:charset w:val="00"/>
    <w:family w:val="roman"/>
    <w:pitch w:val="variable"/>
  </w:font>
  <w:font w:name="Garamond">
    <w:charset w:val="00"/>
    <w:family w:val="roman"/>
    <w:pitch w:val="variable"/>
  </w:font>
  <w:font w:name="Calibri">
    <w:charset w:val="00"/>
    <w:family w:val="roman"/>
    <w:pitch w:val="variable"/>
  </w:font>
  <w:font w:name="OpenSymbol">
    <w:altName w:val="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0" w:after="80"/>
      <w:ind w:left="-170" w:right="-170" w:hanging="0"/>
      <w:jc w:val="center"/>
      <w:rPr/>
    </w:pPr>
    <w:r>
      <w:rPr/>
      <w:t>CCP(CHF): 12-19850-1   CCP(Euro): 91-13687-6      Banque: BCG, L 750 16 55, 1211 Genève 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spacing w:before="0" w:after="200"/>
        <w:rPr/>
      </w:pPr>
      <w:r>
        <w:rPr>
          <w:rStyle w:val="Caractresdenotedebasdepage"/>
        </w:rPr>
        <w:footnoteRef/>
      </w:r>
      <w:r>
        <w:rPr>
          <w:rStyle w:val="FootnoteCharacters"/>
          <w:rFonts w:cs="Times New Roman" w:ascii="Times New Roman" w:hAnsi="Times New Roman"/>
          <w:lang w:val="en-GB"/>
        </w:rPr>
        <w:tab/>
        <w:t>“</w:t>
      </w:r>
      <w:r>
        <w:rPr>
          <w:rStyle w:val="FootnoteCharacters"/>
          <w:rFonts w:cs="Times New Roman" w:ascii="Times New Roman" w:hAnsi="Times New Roman"/>
          <w:lang w:val="en-GB"/>
        </w:rPr>
        <w:t>Each Party shall take adequate and effective measures to recognize, protect and promote all the rights of human rights defenders in environmental matters, including their right to life, personal integrity, freedom of opinion and expression, peaceful assembly and association, and free movement, as well as their ability to exercise their access rights,...” (Article 9.2 of the Regional Agreement on Access to Information, Public Participation and Justice in Environmental Matters in Latin America and the Caribbean, adopted the 4th March 2018).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38" w:type="dxa"/>
      <w:jc w:val="left"/>
      <w:tblInd w:w="-40" w:type="dxa"/>
      <w:tblCellMar>
        <w:top w:w="0" w:type="dxa"/>
        <w:left w:w="70" w:type="dxa"/>
        <w:bottom w:w="0" w:type="dxa"/>
        <w:right w:w="70" w:type="dxa"/>
      </w:tblCellMar>
      <w:tblLook w:firstRow="0" w:noVBand="0" w:lastRow="0" w:firstColumn="0" w:lastColumn="0" w:noHBand="0" w:val="0000"/>
    </w:tblPr>
    <w:tblGrid>
      <w:gridCol w:w="1698"/>
      <w:gridCol w:w="8539"/>
    </w:tblGrid>
    <w:tr>
      <w:trPr>
        <w:trHeight w:val="1274" w:hRule="atLeast"/>
      </w:trPr>
      <w:tc>
        <w:tcPr>
          <w:tcW w:w="1698" w:type="dxa"/>
          <w:tcBorders/>
          <w:shd w:color="auto" w:fill="FFFFFF" w:val="clear"/>
        </w:tcPr>
        <w:p>
          <w:pPr>
            <w:pStyle w:val="Entte"/>
            <w:snapToGrid w:val="false"/>
            <w:rPr>
              <w:rFonts w:ascii="Univers Condensed" w:hAnsi="Univers Condensed"/>
            </w:rPr>
          </w:pPr>
          <w:r>
            <w:rPr>
              <w:rFonts w:ascii="Univers Condensed" w:hAnsi="Univers Condensed"/>
            </w:rPr>
            <w:drawing>
              <wp:anchor behindDoc="0" distT="0" distB="0" distL="0" distR="0" simplePos="0" locked="0" layoutInCell="1" allowOverlap="1" relativeHeight="2">
                <wp:simplePos x="0" y="0"/>
                <wp:positionH relativeFrom="column">
                  <wp:posOffset>-184150</wp:posOffset>
                </wp:positionH>
                <wp:positionV relativeFrom="paragraph">
                  <wp:posOffset>-71755</wp:posOffset>
                </wp:positionV>
                <wp:extent cx="989330" cy="10807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989330" cy="1080770"/>
                        </a:xfrm>
                        <a:prstGeom prst="rect">
                          <a:avLst/>
                        </a:prstGeom>
                      </pic:spPr>
                    </pic:pic>
                  </a:graphicData>
                </a:graphic>
              </wp:anchor>
            </w:drawing>
          </w:r>
        </w:p>
      </w:tc>
      <w:tc>
        <w:tcPr>
          <w:tcW w:w="8539" w:type="dxa"/>
          <w:tcBorders/>
          <w:shd w:color="auto" w:fill="FFFFFF" w:val="clear"/>
        </w:tcPr>
        <w:p>
          <w:pPr>
            <w:pStyle w:val="Entte"/>
            <w:snapToGrid w:val="false"/>
            <w:spacing w:before="40" w:after="120"/>
            <w:rPr>
              <w:rFonts w:ascii="Garamond" w:hAnsi="Garamond"/>
              <w:spacing w:val="24"/>
              <w:sz w:val="56"/>
            </w:rPr>
          </w:pPr>
          <w:r>
            <w:rPr>
              <w:rFonts w:ascii="Garamond" w:hAnsi="Garamond"/>
              <w:spacing w:val="24"/>
              <w:sz w:val="56"/>
            </w:rPr>
            <w:t>Centre Europe - Tiers Monde</w:t>
          </w:r>
        </w:p>
        <w:p>
          <w:pPr>
            <w:pStyle w:val="Entte"/>
            <w:spacing w:before="227" w:after="0"/>
            <w:rPr>
              <w:rFonts w:ascii="Calibri" w:hAnsi="Calibri"/>
              <w:sz w:val="22"/>
            </w:rPr>
          </w:pPr>
          <w:r>
            <w:rPr>
              <w:rFonts w:ascii="Calibri" w:hAnsi="Calibri"/>
              <w:sz w:val="22"/>
            </w:rPr>
            <w:t xml:space="preserve">Centre de recherches et de publications sur les relations entre le Tiers Monde et l'Europe   </w:t>
          </w:r>
        </w:p>
      </w:tc>
    </w:tr>
  </w:tbl>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2"/>
        <w:szCs w:val="22"/>
        <w:rFonts w:cs="OpenSymbol;Arial Unicode MS"/>
        <w:lang w:val="en-GB"/>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sz w:val="22"/>
        <w:szCs w:val="22"/>
        <w:rFonts w:cs="OpenSymbol;Arial Unicode MS"/>
        <w:lang w:val="en-GB"/>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sz w:val="22"/>
        <w:szCs w:val="22"/>
        <w:rFonts w:cs="OpenSymbol;Arial Unicode MS"/>
        <w:lang w:val="en-GB"/>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2">
    <w:lvl w:ilvl="0">
      <w:start w:val="1"/>
      <w:numFmt w:val="decimal"/>
      <w:lvlText w:val="(%1)"/>
      <w:lvlJc w:val="left"/>
      <w:pPr>
        <w:ind w:left="720" w:hanging="36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9"/>
  <w:defaultTabStop w:val="709"/>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fr-CH" w:eastAsia="zh-CN" w:bidi="hi-IN"/>
      </w:rPr>
    </w:rPrDefault>
    <w:pPrDefault>
      <w:pPr>
        <w:widowControl/>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kinsoku w:val="true"/>
      <w:overflowPunct w:val="true"/>
      <w:autoSpaceDE w:val="true"/>
      <w:bidi w:val="0"/>
      <w:jc w:val="left"/>
      <w:textAlignment w:val="baseline"/>
    </w:pPr>
    <w:rPr>
      <w:rFonts w:ascii="Liberation Serif" w:hAnsi="Liberation Serif" w:eastAsia="NSimSun" w:cs="Mangal"/>
      <w:color w:val="auto"/>
      <w:kern w:val="2"/>
      <w:sz w:val="24"/>
      <w:szCs w:val="24"/>
      <w:lang w:val="fr-FR" w:eastAsia="zh-CN" w:bidi="hi-IN"/>
    </w:rPr>
  </w:style>
  <w:style w:type="paragraph" w:styleId="Titre2">
    <w:name w:val="Heading 2"/>
    <w:basedOn w:val="Titre"/>
    <w:next w:val="Textbody"/>
    <w:uiPriority w:val="9"/>
    <w:semiHidden/>
    <w:unhideWhenUsed/>
    <w:qFormat/>
    <w:pPr>
      <w:spacing w:before="200" w:after="120"/>
      <w:outlineLvl w:val="1"/>
    </w:pPr>
    <w:rPr>
      <w:rFonts w:ascii="Liberation Serif" w:hAnsi="Liberation Serif" w:eastAsia="SimSun"/>
      <w:b/>
      <w:bCs/>
      <w:sz w:val="36"/>
      <w:szCs w:val="36"/>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Puces" w:customStyle="1">
    <w:name w:val="Puces"/>
    <w:qFormat/>
    <w:rPr>
      <w:rFonts w:ascii="OpenSymbol" w:hAnsi="OpenSymbol" w:eastAsia="OpenSymbol" w:cs="OpenSymbol"/>
    </w:rPr>
  </w:style>
  <w:style w:type="character" w:styleId="Systrantokenpunctuation" w:customStyle="1">
    <w:name w:val="systran_token_punctuation"/>
    <w:basedOn w:val="Policepardfaut1"/>
    <w:qFormat/>
    <w:rPr/>
  </w:style>
  <w:style w:type="character" w:styleId="Policepardfaut1" w:customStyle="1">
    <w:name w:val="Police par défaut1"/>
    <w:qFormat/>
    <w:rPr/>
  </w:style>
  <w:style w:type="character" w:styleId="Policepardfaut" w:customStyle="1">
    <w:name w:val="Police par défaut"/>
    <w:qFormat/>
    <w:rPr/>
  </w:style>
  <w:style w:type="character" w:styleId="LienInternet">
    <w:name w:val="Lien Internet"/>
    <w:rPr>
      <w:color w:val="000080"/>
      <w:u w:val="single"/>
      <w:lang w:val="zxx" w:eastAsia="zxx" w:bidi="zxx"/>
    </w:rPr>
  </w:style>
  <w:style w:type="character" w:styleId="WWCaractresdenotedefin">
    <w:name w:val="WW-Caractères de note de fin"/>
    <w:qFormat/>
    <w:rPr/>
  </w:style>
  <w:style w:type="character" w:styleId="Caractresdenotedefin">
    <w:name w:val="Caractères de note de fin"/>
    <w:qFormat/>
    <w:rPr>
      <w:vertAlign w:val="superscript"/>
    </w:rPr>
  </w:style>
  <w:style w:type="character" w:styleId="Ancredenotedebasdepage">
    <w:name w:val="Ancre de note de bas de page"/>
    <w:rPr>
      <w:vertAlign w:val="superscript"/>
    </w:rPr>
  </w:style>
  <w:style w:type="character" w:styleId="TestonotaapidipaginaCarattere">
    <w:name w:val="Testo nota a piè di pagina Carattere"/>
    <w:qFormat/>
    <w:rPr>
      <w:rFonts w:ascii="Liberation Serif;Times New Roman" w:hAnsi="Liberation Serif;Times New Roman" w:eastAsia="NSimSun;Arial Unicode MS" w:cs="Mangal"/>
      <w:kern w:val="2"/>
      <w:lang w:val="fr-CH" w:eastAsia="zh-CN" w:bidi="hi-IN"/>
    </w:rPr>
  </w:style>
  <w:style w:type="character" w:styleId="FootnoteCharacters">
    <w:name w:val="Footnote Characters"/>
    <w:qFormat/>
    <w:rPr/>
  </w:style>
  <w:style w:type="character" w:styleId="Caractresdenotedebasdepage">
    <w:name w:val="Caractères de note de bas de page"/>
    <w:qFormat/>
    <w:rPr>
      <w:vertAlign w:val="superscript"/>
    </w:rPr>
  </w:style>
  <w:style w:type="character" w:styleId="CorpotestoCarattere">
    <w:name w:val="Corpo testo Carattere"/>
    <w:qFormat/>
    <w:rPr>
      <w:rFonts w:ascii="Liberation Serif;Times New Roman" w:hAnsi="Liberation Serif;Times New Roman" w:eastAsia="NSimSun;Arial Unicode MS" w:cs="Mangal"/>
      <w:kern w:val="2"/>
      <w:sz w:val="24"/>
      <w:szCs w:val="24"/>
      <w:lang w:val="fr-CH" w:eastAsia="zh-CN" w:bidi="hi-IN"/>
    </w:rPr>
  </w:style>
  <w:style w:type="character" w:styleId="T12">
    <w:name w:val="t12"/>
    <w:basedOn w:val="Carpredefinitoparagrafo"/>
    <w:qFormat/>
    <w:rPr/>
  </w:style>
  <w:style w:type="character" w:styleId="Carpredefinitoparagrafo">
    <w:name w:val="Car. predefinito paragrafo"/>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2z1">
    <w:name w:val="WW8Num2z1"/>
    <w:qFormat/>
    <w:rPr>
      <w:rFonts w:ascii="OpenSymbol;Arial Unicode MS" w:hAnsi="OpenSymbol;Arial Unicode MS" w:cs="OpenSymbol;Arial Unicode MS"/>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style>
  <w:style w:type="character" w:styleId="WW8Num1z1">
    <w:name w:val="WW8Num1z1"/>
    <w:qFormat/>
    <w:rPr>
      <w:rFonts w:ascii="OpenSymbol;Arial Unicode MS" w:hAnsi="OpenSymbol;Arial Unicode MS" w:cs="OpenSymbol;Arial Unicode MS"/>
    </w:rPr>
  </w:style>
  <w:style w:type="character" w:styleId="WW8Num1z0">
    <w:name w:val="WW8Num1z0"/>
    <w:qFormat/>
    <w:rPr>
      <w:rFonts w:ascii="Symbol" w:hAnsi="Symbol" w:cs="OpenSymbol;Arial Unicode MS"/>
      <w:sz w:val="22"/>
      <w:szCs w:val="22"/>
      <w:lang w:val="en-GB"/>
    </w:rPr>
  </w:style>
  <w:style w:type="character" w:styleId="Ancredenotedefin">
    <w:name w:val="Ancre de note de fin"/>
    <w:rPr>
      <w:vertAlign w:val="superscript"/>
    </w:rPr>
  </w:style>
  <w:style w:type="paragraph" w:styleId="Titre" w:customStyle="1">
    <w:name w:val="Titre"/>
    <w:next w:val="Textbody"/>
    <w:qFormat/>
    <w:pPr>
      <w:keepNext w:val="true"/>
      <w:widowControl/>
      <w:kinsoku w:val="true"/>
      <w:overflowPunct w:val="true"/>
      <w:autoSpaceDE w:val="true"/>
      <w:bidi w:val="0"/>
      <w:spacing w:before="240" w:after="120"/>
      <w:jc w:val="left"/>
    </w:pPr>
    <w:rPr>
      <w:rFonts w:ascii="Liberation Sans" w:hAnsi="Liberation Sans" w:eastAsia="Microsoft YaHei" w:cs="Mangal"/>
      <w:color w:val="auto"/>
      <w:kern w:val="2"/>
      <w:sz w:val="28"/>
      <w:szCs w:val="28"/>
      <w:lang w:val="fr-CH" w:eastAsia="zh-CN" w:bidi="hi-IN"/>
    </w:rPr>
  </w:style>
  <w:style w:type="paragraph" w:styleId="Corpsdetexte">
    <w:name w:val="Body Text"/>
    <w:basedOn w:val="Normal"/>
    <w:pPr>
      <w:spacing w:lineRule="auto" w:line="276" w:before="0" w:after="140"/>
    </w:pPr>
    <w:rPr/>
  </w:style>
  <w:style w:type="paragraph" w:styleId="Liste">
    <w:name w:val="List"/>
    <w:pPr>
      <w:widowControl/>
      <w:kinsoku w:val="true"/>
      <w:overflowPunct w:val="true"/>
      <w:autoSpaceDE w:val="true"/>
      <w:bidi w:val="0"/>
      <w:jc w:val="left"/>
    </w:pPr>
    <w:rPr>
      <w:rFonts w:ascii="Liberation Serif" w:hAnsi="Liberation Serif" w:eastAsia="NSimSun" w:cs="Mangal"/>
      <w:color w:val="auto"/>
      <w:kern w:val="2"/>
      <w:sz w:val="24"/>
      <w:szCs w:val="24"/>
      <w:lang w:val="fr-CH" w:eastAsia="zh-CN" w:bidi="hi-IN"/>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qFormat/>
    <w:pPr>
      <w:widowControl/>
      <w:suppressLineNumbers/>
      <w:kinsoku w:val="true"/>
      <w:overflowPunct w:val="true"/>
      <w:autoSpaceDE w:val="true"/>
      <w:bidi w:val="0"/>
      <w:jc w:val="left"/>
    </w:pPr>
    <w:rPr>
      <w:rFonts w:ascii="Liberation Serif" w:hAnsi="Liberation Serif" w:eastAsia="NSimSun" w:cs="Mangal"/>
      <w:color w:val="auto"/>
      <w:kern w:val="2"/>
      <w:sz w:val="24"/>
      <w:szCs w:val="24"/>
      <w:lang w:val="fr-CH" w:eastAsia="zh-CN" w:bidi="hi-IN"/>
    </w:rPr>
  </w:style>
  <w:style w:type="paragraph" w:styleId="Standard" w:customStyle="1">
    <w:name w:val="Standard"/>
    <w:qFormat/>
    <w:pPr>
      <w:widowControl/>
      <w:suppressAutoHyphens w:val="true"/>
      <w:kinsoku w:val="true"/>
      <w:overflowPunct w:val="true"/>
      <w:autoSpaceDE w:val="true"/>
      <w:bidi w:val="0"/>
      <w:jc w:val="left"/>
      <w:textAlignment w:val="baseline"/>
    </w:pPr>
    <w:rPr>
      <w:rFonts w:ascii="Liberation Serif" w:hAnsi="Liberation Serif" w:eastAsia="NSimSun" w:cs="Mangal"/>
      <w:color w:val="auto"/>
      <w:kern w:val="2"/>
      <w:sz w:val="24"/>
      <w:szCs w:val="24"/>
      <w:lang w:val="fr-FR"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Entteetpieddepage" w:customStyle="1">
    <w:name w:val="En-tête et pied de page"/>
    <w:basedOn w:val="Standard"/>
    <w:qFormat/>
    <w:pPr>
      <w:suppressLineNumbers/>
      <w:tabs>
        <w:tab w:val="clear" w:pos="709"/>
        <w:tab w:val="center" w:pos="4819" w:leader="none"/>
        <w:tab w:val="right" w:pos="9638" w:leader="none"/>
      </w:tabs>
    </w:pPr>
    <w:rPr/>
  </w:style>
  <w:style w:type="paragraph" w:styleId="Entte">
    <w:name w:val="Header"/>
    <w:basedOn w:val="Standard"/>
    <w:pPr>
      <w:tabs>
        <w:tab w:val="clear" w:pos="709"/>
        <w:tab w:val="center" w:pos="4819" w:leader="none"/>
        <w:tab w:val="right" w:pos="9071" w:leader="none"/>
      </w:tabs>
    </w:pPr>
    <w:rPr/>
  </w:style>
  <w:style w:type="paragraph" w:styleId="Pieddepage">
    <w:name w:val="Footer"/>
    <w:basedOn w:val="Standard"/>
    <w:pPr>
      <w:tabs>
        <w:tab w:val="clear" w:pos="709"/>
        <w:tab w:val="center" w:pos="4819" w:leader="none"/>
        <w:tab w:val="right" w:pos="9071" w:leader="none"/>
      </w:tabs>
    </w:pPr>
    <w:rPr/>
  </w:style>
  <w:style w:type="paragraph" w:styleId="Contenudetableau" w:customStyle="1">
    <w:name w:val="Contenu de tableau"/>
    <w:basedOn w:val="Standard"/>
    <w:qFormat/>
    <w:pPr>
      <w:suppressLineNumbers/>
    </w:pPr>
    <w:rPr/>
  </w:style>
  <w:style w:type="paragraph" w:styleId="Titredetableau" w:customStyle="1">
    <w:name w:val="Titre de tableau"/>
    <w:basedOn w:val="Contenudetableau"/>
    <w:qFormat/>
    <w:pPr>
      <w:jc w:val="center"/>
    </w:pPr>
    <w:rPr>
      <w:b/>
      <w:bCs/>
    </w:rPr>
  </w:style>
  <w:style w:type="paragraph" w:styleId="Texteprformat" w:customStyle="1">
    <w:name w:val="Texte préformaté"/>
    <w:basedOn w:val="Standard"/>
    <w:qFormat/>
    <w:pPr/>
    <w:rPr>
      <w:rFonts w:ascii="Liberation Mono" w:hAnsi="Liberation Mono" w:cs="Liberation Mono"/>
      <w:sz w:val="20"/>
      <w:szCs w:val="20"/>
    </w:rPr>
  </w:style>
  <w:style w:type="paragraph" w:styleId="Corpsdetexte2" w:customStyle="1">
    <w:name w:val="Corps de texte 2"/>
    <w:basedOn w:val="Standard"/>
    <w:qFormat/>
    <w:pPr>
      <w:jc w:val="both"/>
    </w:pPr>
    <w:rPr>
      <w:sz w:val="22"/>
      <w:szCs w:val="20"/>
    </w:rPr>
  </w:style>
  <w:style w:type="paragraph" w:styleId="Notedebasdepage">
    <w:name w:val="Footnote Text"/>
    <w:basedOn w:val="Normal"/>
    <w:pPr>
      <w:suppressLineNumbers/>
      <w:suppressAutoHyphens w:val="true"/>
      <w:spacing w:lineRule="auto" w:line="240" w:before="0" w:after="0"/>
      <w:ind w:left="339" w:right="0" w:hanging="339"/>
    </w:pPr>
    <w:rPr>
      <w:rFonts w:ascii="Liberation Serif;Times New Roman" w:hAnsi="Liberation Serif;Times New Roman" w:eastAsia="NSimSun;Arial Unicode MS" w:cs="Mangal"/>
      <w:kern w:val="2"/>
      <w:sz w:val="20"/>
      <w:szCs w:val="20"/>
      <w:lang w:val="fr-CH" w:eastAsia="zh-CN" w:bidi="hi-IN"/>
    </w:rPr>
  </w:style>
  <w:style w:type="numbering" w:styleId="NoList" w:default="1">
    <w:name w:val="No List"/>
    <w:uiPriority w:val="99"/>
    <w:semiHidden/>
    <w:unhideWhenUsed/>
    <w:qFormat/>
  </w:style>
  <w:style w:type="numbering" w:styleId="NoList1" w:customStyle="1">
    <w:name w:val="No List_1"/>
    <w:qFormat/>
  </w:style>
  <w:style w:type="numbering" w:styleId="WW8Num1">
    <w:name w:val="WW8Num1"/>
    <w:qFormat/>
  </w:style>
  <w:style w:type="numbering" w:styleId="WW8Num2">
    <w:name w:val="WW8Num2"/>
    <w:qFormat/>
  </w:style>
  <w:style w:type="numbering" w:styleId="WW8Num3">
    <w:name w:val="WW8Num3"/>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ustomXml" Target="../customXml/item1.xml"/><Relationship Id="rId2" Type="http://schemas.openxmlformats.org/officeDocument/2006/relationships/hyperlink" Target="http://www.cetim.ch/" TargetMode="Externa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header" Target="header2.xml"/><Relationship Id="rId9" Type="http://schemas.openxmlformats.org/officeDocument/2006/relationships/fontTable" Target="fontTable.xml"/><Relationship Id="rId14" Type="http://schemas.openxmlformats.org/officeDocument/2006/relationships/customXml" Target="../customXml/item3.xml"/></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AE2981-97EA-4700-AF35-90BC696C373E}"/>
</file>

<file path=customXml/itemProps2.xml><?xml version="1.0" encoding="utf-8"?>
<ds:datastoreItem xmlns:ds="http://schemas.openxmlformats.org/officeDocument/2006/customXml" ds:itemID="{07EF6652-89E1-469C-8477-182C82354DB3}"/>
</file>

<file path=customXml/itemProps3.xml><?xml version="1.0" encoding="utf-8"?>
<ds:datastoreItem xmlns:ds="http://schemas.openxmlformats.org/officeDocument/2006/customXml" ds:itemID="{4A082ECE-A2DF-4FCA-8B50-328464BB818F}"/>
</file>

<file path=docProps/app.xml><?xml version="1.0" encoding="utf-8"?>
<Properties xmlns="http://schemas.openxmlformats.org/officeDocument/2006/extended-properties" xmlns:vt="http://schemas.openxmlformats.org/officeDocument/2006/docPropsVTypes">
  <Template>Normal.dotm</Template>
  <TotalTime>2</TotalTime>
  <Application>LibreOffice/6.3.0.4$Windows_x86 LibreOffice_project/057fc023c990d676a43019934386b85b21a9ee99</Application>
  <Pages>1</Pages>
  <Words>493</Words>
  <Characters>2652</Characters>
  <CharactersWithSpaces>3129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cp:lastPrinted>2019-06-13T09:25:00Z</cp:lastPrinted>
  <dcterms:created xsi:type="dcterms:W3CDTF">2019-10-17T11:49:00Z</dcterms:created>
  <dcterms:modified xsi:type="dcterms:W3CDTF">2019-10-28T15:25:20Z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