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2.xml.rels" ContentType="application/vnd.openxmlformats-package.relationship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bookmarkStart w:id="0" w:name="_GoBack"/>
      <w:bookmarkStart w:id="1" w:name="_GoBack"/>
      <w:bookmarkEnd w:id="1"/>
    </w:p>
    <w:p>
      <w:pPr>
        <w:pStyle w:val="Standard"/>
        <w:spacing w:before="0" w:after="113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tbl>
      <w:tblPr>
        <w:tblW w:w="10632" w:type="dxa"/>
        <w:jc w:val="left"/>
        <w:tblInd w:w="-426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69"/>
        <w:gridCol w:w="4562"/>
      </w:tblGrid>
      <w:tr>
        <w:trPr/>
        <w:tc>
          <w:tcPr>
            <w:tcW w:w="6069" w:type="dxa"/>
            <w:tcBorders/>
            <w:shd w:color="auto" w:fill="FFFFFF" w:val="clear"/>
          </w:tcPr>
          <w:p>
            <w:pPr>
              <w:pStyle w:val="Ent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Rue Amat 6</w:t>
            </w:r>
          </w:p>
          <w:p>
            <w:pPr>
              <w:pStyle w:val="Entte"/>
              <w:spacing w:before="0" w:after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CH-1202 Genève</w:t>
            </w:r>
          </w:p>
          <w:p>
            <w:pPr>
              <w:pStyle w:val="Ent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Tel. +41 (0)22 731 59 63</w:t>
            </w:r>
          </w:p>
          <w:p>
            <w:pPr>
              <w:pStyle w:val="Entte"/>
              <w:spacing w:before="0" w:after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 +41 (0)22 731 91 52</w:t>
            </w:r>
          </w:p>
          <w:p>
            <w:pPr>
              <w:pStyle w:val="Ent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E-mail: contact@cetim.ch</w:t>
            </w:r>
          </w:p>
          <w:p>
            <w:pPr>
              <w:pStyle w:val="Entte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Site Web: </w:t>
            </w:r>
            <w:hyperlink r:id="rId2">
              <w:r>
                <w:rPr>
                  <w:rStyle w:val="Internetlink"/>
                  <w:rFonts w:ascii="Times New Roman" w:hAnsi="Times New Roman"/>
                  <w:sz w:val="22"/>
                  <w:szCs w:val="22"/>
                </w:rPr>
                <w:t>www.cetim.ch</w:t>
              </w:r>
            </w:hyperlink>
          </w:p>
          <w:p>
            <w:pPr>
              <w:pStyle w:val="Ent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62" w:type="dxa"/>
            <w:tcBorders/>
            <w:shd w:color="auto" w:fill="FFFFFF" w:val="clear"/>
          </w:tcPr>
          <w:p>
            <w:pPr>
              <w:pStyle w:val="Textbody"/>
              <w:tabs>
                <w:tab w:val="clear" w:pos="709"/>
                <w:tab w:val="left" w:pos="5616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ASSEMBLÉE GÉNÉRALE</w:t>
            </w:r>
          </w:p>
          <w:p>
            <w:pPr>
              <w:pStyle w:val="Standard"/>
              <w:spacing w:lineRule="atLeast" w:line="20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CONSEIL DES DROITS DE L'HOMME</w:t>
            </w:r>
          </w:p>
          <w:p>
            <w:pPr>
              <w:pStyle w:val="Standard"/>
              <w:snapToGrid w:val="false"/>
              <w:spacing w:lineRule="atLeast" w:line="200"/>
              <w:jc w:val="both"/>
              <w:rPr>
                <w:rFonts w:ascii="Times New Roman" w:hAnsi="Times New Roman" w:cs="Times New Roman"/>
                <w:color w:val="000000"/>
                <w:highlight w:val="white"/>
                <w:lang w:val="en-GB"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lang w:bidi="ar-SA"/>
              </w:rPr>
              <w:t>5</w:t>
            </w:r>
            <w:r>
              <w:rPr>
                <w:rFonts w:cs="Times New Roman" w:ascii="Times New Roman" w:hAnsi="Times New Roman"/>
                <w:i/>
                <w:iCs/>
                <w:color w:val="000000"/>
                <w:vertAlign w:val="superscript"/>
                <w:lang w:bidi="ar-SA"/>
              </w:rPr>
              <w:t>ème</w:t>
            </w:r>
            <w:r>
              <w:rPr>
                <w:rFonts w:cs="Times New Roman" w:ascii="Times New Roman" w:hAnsi="Times New Roman"/>
                <w:i/>
                <w:iCs/>
                <w:color w:val="000000"/>
                <w:lang w:bidi="ar-SA"/>
              </w:rPr>
              <w:t xml:space="preserve"> session du Groupe de travail intergouvernemental chargé d'élaborer un instrument international juridiquement contraignant sur les sociétés transnationales et autres entreprises (14-18 octobre 2019)</w:t>
            </w:r>
          </w:p>
          <w:p>
            <w:pPr>
              <w:pStyle w:val="Standard"/>
              <w:snapToGrid w:val="false"/>
              <w:spacing w:lineRule="atLeast" w:line="200"/>
              <w:ind w:left="10" w:right="-50" w:hanging="2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color w:val="000000"/>
                <w:lang w:bidi="ar-SA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bidi="ar-SA"/>
              </w:rPr>
              <w:t>Débat sur le préambule et articles 1 et 2</w:t>
            </w:r>
          </w:p>
        </w:tc>
      </w:tr>
    </w:tbl>
    <w:p>
      <w:pPr>
        <w:pStyle w:val="Textbody"/>
        <w:tabs>
          <w:tab w:val="clear" w:pos="709"/>
          <w:tab w:val="left" w:pos="5728" w:leader="none"/>
        </w:tabs>
        <w:spacing w:lineRule="auto" w:line="240" w:before="0" w:after="0"/>
        <w:jc w:val="both"/>
        <w:rPr>
          <w:rFonts w:ascii="Times New Roman" w:hAnsi="Times New Roman" w:cs="Calibri"/>
          <w:color w:val="000000"/>
          <w:lang w:bidi="ar-SA"/>
        </w:rPr>
      </w:pPr>
      <w:r>
        <w:rPr>
          <w:rFonts w:cs="Calibri" w:ascii="Times New Roman" w:hAnsi="Times New Roman"/>
          <w:color w:val="000000"/>
          <w:lang w:bidi="ar-SA"/>
        </w:rPr>
      </w:r>
    </w:p>
    <w:p>
      <w:pPr>
        <w:pStyle w:val="Textbody"/>
        <w:tabs>
          <w:tab w:val="clear" w:pos="709"/>
          <w:tab w:val="left" w:pos="5616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Textbody"/>
        <w:spacing w:lineRule="auto" w:line="240" w:before="0" w:after="0"/>
        <w:ind w:right="-567" w:hanging="0"/>
        <w:jc w:val="both"/>
        <w:rPr>
          <w:rFonts w:ascii="Times New Roman" w:hAnsi="Times New Roman"/>
          <w:b/>
          <w:b/>
          <w:bCs/>
          <w:i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Déclaration orale</w:t>
      </w:r>
    </w:p>
    <w:p>
      <w:pPr>
        <w:pStyle w:val="Textbody"/>
        <w:spacing w:lineRule="auto" w:line="240" w:before="0" w:after="0"/>
        <w:ind w:right="-567" w:hanging="0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Vérifier à l'audition</w:t>
      </w:r>
    </w:p>
    <w:p>
      <w:pPr>
        <w:pStyle w:val="Textbody"/>
        <w:spacing w:lineRule="auto" w:line="240" w:before="0" w:after="0"/>
        <w:ind w:right="-56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-567" w:hanging="0"/>
        <w:jc w:val="both"/>
        <w:rPr/>
      </w:pPr>
      <w:r>
        <w:rPr>
          <w:rStyle w:val="Systrantokenpunctuation"/>
          <w:rFonts w:ascii="Times New Roman" w:hAnsi="Times New Roman"/>
        </w:rPr>
        <w:t>Mi</w:t>
      </w:r>
      <w:r>
        <w:rPr>
          <w:rStyle w:val="Systrantokenpunctuation"/>
          <w:rFonts w:ascii="Times New Roman" w:hAnsi="Times New Roman"/>
          <w:i w:val="false"/>
          <w:iCs w:val="false"/>
        </w:rPr>
        <w:t>ster president,</w:t>
      </w:r>
    </w:p>
    <w:p>
      <w:pPr>
        <w:pStyle w:val="Normal"/>
        <w:spacing w:lineRule="auto" w:line="240" w:before="0" w:after="0"/>
        <w:ind w:right="-567" w:hanging="0"/>
        <w:jc w:val="both"/>
        <w:rPr>
          <w:rStyle w:val="Systrantokenpunctuation"/>
          <w:rFonts w:ascii="Times New Roman" w:hAnsi="Times New Roman"/>
          <w:i w:val="false"/>
          <w:i w:val="false"/>
          <w:iCs w:val="false"/>
        </w:rPr>
      </w:pPr>
      <w:r>
        <w:rPr/>
      </w:r>
    </w:p>
    <w:p>
      <w:pPr>
        <w:pStyle w:val="Corpsdetexte"/>
        <w:spacing w:lineRule="auto" w:line="240" w:before="0" w:after="0"/>
        <w:jc w:val="both"/>
        <w:rPr/>
      </w:pPr>
      <w:r>
        <w:rPr>
          <w:lang w:val="en-US"/>
        </w:rPr>
        <w:t xml:space="preserve">(1) As elaborated by delegate of France previously, </w:t>
      </w:r>
    </w:p>
    <w:p>
      <w:pPr>
        <w:pStyle w:val="Corpsdetexte"/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 xml:space="preserve">It is important to include provisions from French law on the (duty and vigilance) which goes beyond due diligence, as the this would cover a legal obligation to effectively implement this duty and a mechanism for liability and sanctions. On matter of non-compliance (preventive measures, as enumerated), the necessity of sanction should be considered, along this line. </w:t>
      </w:r>
      <w:r>
        <w:rPr>
          <w:lang w:val="en-US"/>
        </w:rPr>
        <w:t xml:space="preserve">.. </w:t>
      </w:r>
      <w:r>
        <w:rPr>
          <w:rStyle w:val="T12"/>
          <w:rFonts w:cs="Times New Roman" w:ascii="Times New Roman" w:hAnsi="Times New Roman"/>
          <w:lang w:val="en-GB"/>
        </w:rPr>
        <w:t xml:space="preserve">In this sense, it is necessary to restore the clause contained in the previous draft text, and I quote </w:t>
      </w:r>
      <w:r>
        <w:rPr>
          <w:rStyle w:val="T12"/>
          <w:rFonts w:eastAsia="Calibri" w:cs="Times New Roman" w:ascii="Times New Roman" w:hAnsi="Times New Roman"/>
          <w:color w:val="000000"/>
          <w:lang w:val="en-GB"/>
        </w:rPr>
        <w:t>“</w:t>
      </w:r>
      <w:r>
        <w:rPr>
          <w:rStyle w:val="T12"/>
          <w:rFonts w:eastAsia="Calibri" w:cs="Times New Roman" w:ascii="Times New Roman" w:hAnsi="Times New Roman"/>
          <w:i/>
          <w:iCs/>
          <w:color w:val="000000"/>
          <w:lang w:val="en-GB"/>
        </w:rPr>
        <w:t>Failure to comply with due diligence duties under this article shall result in commensurate liability and compensation in accordance with the articles of this convention”.</w:t>
      </w:r>
    </w:p>
    <w:p>
      <w:pPr>
        <w:pStyle w:val="Corpsdetexte"/>
        <w:spacing w:lineRule="auto" w:line="240" w:before="0" w:after="0"/>
        <w:jc w:val="both"/>
        <w:rPr/>
      </w:pPr>
      <w:r>
        <w:rPr/>
      </w:r>
    </w:p>
    <w:p>
      <w:pPr>
        <w:pStyle w:val="Corpsdetexte"/>
        <w:spacing w:lineRule="auto" w:line="240" w:before="0" w:after="0"/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</w:r>
    </w:p>
    <w:p>
      <w:pPr>
        <w:pStyle w:val="Corpsdetexte"/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 xml:space="preserve">(2) / art.5.3. The reference on consultation, not consent, is not sufficient to guarantee respect for the right to participate in the decision-making of the populations concerned  // </w:t>
      </w:r>
    </w:p>
    <w:p>
      <w:pPr>
        <w:pStyle w:val="Corpsdetexte"/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Corpsdetexte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>With regard to para 3.b of article 5 on consultations of concerned groups, we propose the following amendment: “</w:t>
      </w:r>
      <w:r>
        <w:rPr>
          <w:rStyle w:val="T12"/>
          <w:rFonts w:cs="Times New Roman" w:ascii="Times New Roman" w:hAnsi="Times New Roman"/>
          <w:i/>
          <w:iCs/>
          <w:lang w:val="en-GB"/>
        </w:rPr>
        <w:t xml:space="preserve">Consultations with indigenous peoples, </w:t>
      </w:r>
      <w:r>
        <w:rPr>
          <w:rStyle w:val="T12"/>
          <w:rFonts w:cs="Times New Roman" w:ascii="Times New Roman" w:hAnsi="Times New Roman"/>
          <w:b/>
          <w:bCs/>
          <w:i/>
          <w:iCs/>
          <w:lang w:val="en-GB"/>
        </w:rPr>
        <w:t>peasants, rural communities, and other concerned populations</w:t>
      </w:r>
      <w:r>
        <w:rPr>
          <w:rStyle w:val="T12"/>
          <w:rFonts w:cs="Times New Roman" w:ascii="Times New Roman" w:hAnsi="Times New Roman"/>
          <w:i/>
          <w:iCs/>
          <w:lang w:val="en-GB"/>
        </w:rPr>
        <w:t xml:space="preserve">, will be undertaken in accordance with the internationally agreed standards of free, prior and informed </w:t>
      </w:r>
      <w:r>
        <w:rPr>
          <w:rStyle w:val="T12"/>
          <w:rFonts w:cs="Times New Roman" w:ascii="Times New Roman" w:hAnsi="Times New Roman"/>
          <w:b/>
          <w:i/>
          <w:iCs/>
          <w:lang w:val="en-GB"/>
        </w:rPr>
        <w:t>consent</w:t>
      </w:r>
      <w:r>
        <w:rPr>
          <w:rStyle w:val="T12"/>
          <w:rFonts w:cs="Times New Roman" w:ascii="Times New Roman" w:hAnsi="Times New Roman"/>
          <w:i/>
          <w:iCs/>
          <w:lang w:val="en-GB"/>
        </w:rPr>
        <w:t>, as applicable”</w:t>
      </w:r>
      <w:r>
        <w:rPr>
          <w:rStyle w:val="T12"/>
          <w:rFonts w:cs="Times New Roman" w:ascii="Times New Roman" w:hAnsi="Times New Roman"/>
          <w:lang w:val="en-GB"/>
        </w:rPr>
        <w:t xml:space="preserve">. This should relate with the context of vulnerability in the context of land, natural resources, and biodiversity. The respect of the </w:t>
      </w:r>
      <w:r>
        <w:rPr>
          <w:rStyle w:val="T12"/>
          <w:rFonts w:eastAsia="Times New Roman" w:cs="Times New Roman" w:ascii="Times New Roman" w:hAnsi="Times New Roman"/>
          <w:lang w:val="en-GB" w:bidi="ar-SA"/>
        </w:rPr>
        <w:t>consultations</w:t>
      </w:r>
      <w:r>
        <w:rPr>
          <w:rStyle w:val="T12"/>
          <w:rFonts w:cs="Times New Roman" w:ascii="Times New Roman" w:hAnsi="Times New Roman"/>
          <w:lang w:val="en-GB"/>
        </w:rPr>
        <w:t xml:space="preserve"> means the right of the populations concerned to </w:t>
      </w:r>
      <w:r>
        <w:rPr>
          <w:rStyle w:val="T12"/>
          <w:rFonts w:eastAsia="Times New Roman" w:cs="Times New Roman" w:ascii="Times New Roman" w:hAnsi="Times New Roman"/>
          <w:lang w:val="en-GB" w:bidi="ar-SA"/>
        </w:rPr>
        <w:t xml:space="preserve">oppose </w:t>
      </w:r>
      <w:r>
        <w:rPr>
          <w:rStyle w:val="T12"/>
          <w:rFonts w:cs="Times New Roman" w:ascii="Times New Roman" w:hAnsi="Times New Roman"/>
          <w:lang w:val="en-GB"/>
        </w:rPr>
        <w:t>projects carried out by TNCs on their territory.</w:t>
      </w:r>
    </w:p>
    <w:p>
      <w:pPr>
        <w:pStyle w:val="Corpsdetexte"/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Corpsdetexte"/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Corpsdetexte"/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 xml:space="preserve">(3) / Article 5.5 also refers to the mechanisms of undue influence of TNCs on public policies. Although this paragraph is welcome, its scope is limited by the reference to national legislation. </w:t>
      </w:r>
      <w:r>
        <w:rPr>
          <w:rFonts w:cs="Times New Roman" w:ascii="Times New Roman" w:hAnsi="Times New Roman"/>
          <w:lang w:val="en-GB" w:bidi="ar-SA"/>
        </w:rPr>
        <w:t xml:space="preserve">In order to ensure a firm and effective clause on this issue, the Global Campaign proposes changes to </w:t>
      </w:r>
      <w:r>
        <w:rPr>
          <w:rStyle w:val="T12"/>
          <w:rFonts w:cs="Times New Roman" w:ascii="Times New Roman" w:hAnsi="Times New Roman"/>
          <w:lang w:val="en-GB"/>
        </w:rPr>
        <w:t>the last sentence of para 5, of article 5: “</w:t>
      </w:r>
      <w:r>
        <w:rPr>
          <w:i/>
          <w:lang w:val="es-ES_tradnl"/>
        </w:rPr>
        <w:t xml:space="preserve">In setting, developing, and implementing their public policies with respect to the implementation of this binding treaty on transnational corporations and other business enterprises, as well as </w:t>
      </w:r>
      <w:r>
        <w:rPr>
          <w:rFonts w:cs="Times New Roman" w:ascii="Times New Roman" w:hAnsi="Times New Roman"/>
          <w:i/>
          <w:iCs/>
          <w:lang w:val="en-GB"/>
        </w:rPr>
        <w:t>in their bilateral, regional, multilateral or other types of trade and investment agreements</w:t>
      </w:r>
      <w:r>
        <w:rPr>
          <w:i/>
          <w:iCs/>
          <w:lang w:val="en-GB"/>
        </w:rPr>
        <w:t>,</w:t>
      </w:r>
      <w:r>
        <w:rPr>
          <w:i/>
          <w:lang w:val="es-ES_tradnl"/>
        </w:rPr>
        <w:t xml:space="preserve"> State Parties shall act to protect these  policies from commercial and other vested interests of transnational charácter</w:t>
      </w:r>
      <w:r>
        <w:rPr>
          <w:rFonts w:cs="NSimSun;Arial Unicode MS" w:ascii="NSimSun;Arial Unicode MS" w:hAnsi="NSimSun;Arial Unicode MS"/>
          <w:i/>
          <w:lang w:val="es-ES_tradnl"/>
        </w:rPr>
        <w:t>…</w:t>
      </w:r>
      <w:r>
        <w:rPr>
          <w:i/>
          <w:lang w:val="es-ES_tradnl"/>
        </w:rPr>
        <w:t xml:space="preserve"> corporations and other business enterprises, and to uphold the primacy of human rights.</w:t>
      </w:r>
      <w:r>
        <w:rPr>
          <w:rFonts w:cs="NSimSun;Arial Unicode MS" w:ascii="NSimSun;Arial Unicode MS" w:hAnsi="NSimSun;Arial Unicode MS"/>
          <w:i/>
          <w:lang w:val="es-ES_tradnl"/>
        </w:rPr>
        <w:t>”</w:t>
      </w:r>
      <w:r>
        <w:rPr>
          <w:i/>
          <w:lang w:val="es-ES_tradnl"/>
        </w:rPr>
        <w:t xml:space="preserve"> </w:t>
      </w:r>
    </w:p>
    <w:p>
      <w:pPr>
        <w:pStyle w:val="Corpsdetexte"/>
        <w:spacing w:lineRule="auto" w:line="240" w:before="0" w:after="0"/>
        <w:jc w:val="both"/>
        <w:rPr>
          <w:i/>
          <w:i/>
          <w:lang w:val="es-ES_tradnl"/>
        </w:rPr>
      </w:pPr>
      <w:r>
        <w:rPr>
          <w:i/>
          <w:lang w:val="es-ES_tradnl"/>
        </w:rPr>
      </w:r>
    </w:p>
    <w:p>
      <w:pPr>
        <w:pStyle w:val="Corpsdetexte"/>
        <w:spacing w:lineRule="auto" w:line="240" w:before="0" w:after="0"/>
        <w:jc w:val="both"/>
        <w:rPr>
          <w:lang w:val="es-ES_tradnl"/>
        </w:rPr>
      </w:pPr>
      <w:r>
        <w:rPr>
          <w:lang w:val="es-ES_tradnl"/>
        </w:rPr>
        <w:t xml:space="preserve">Into, as follows: </w:t>
      </w:r>
    </w:p>
    <w:p>
      <w:pPr>
        <w:pStyle w:val="Corpsdetexte"/>
        <w:spacing w:lineRule="auto" w:line="240" w:before="0" w:after="0"/>
        <w:jc w:val="both"/>
        <w:rPr/>
      </w:pPr>
      <w:r>
        <w:rPr>
          <w:i/>
          <w:lang w:val="es-ES_tradnl"/>
        </w:rPr>
        <w:t xml:space="preserve">In setting, developing, and implementing their public policies with respect to the implementation of this binding treaty on transnational corporations and other business enterprises, as well as </w:t>
      </w:r>
      <w:r>
        <w:rPr>
          <w:rFonts w:cs="Times New Roman" w:ascii="Times New Roman" w:hAnsi="Times New Roman"/>
          <w:i/>
          <w:iCs/>
          <w:lang w:val="en-GB"/>
        </w:rPr>
        <w:t>in their bilateral, regional, multilateral or other types of trade and investment agreements</w:t>
      </w:r>
      <w:r>
        <w:rPr>
          <w:i/>
          <w:iCs/>
          <w:lang w:val="en-GB"/>
        </w:rPr>
        <w:t>,</w:t>
      </w:r>
      <w:r>
        <w:rPr>
          <w:i/>
          <w:lang w:val="es-ES_tradnl"/>
        </w:rPr>
        <w:t xml:space="preserve"> State Parties shall act to protect these policies, laws, policymaking processes and government bodies from commercial and other vested interests of transnational carácter</w:t>
      </w:r>
      <w:r>
        <w:rPr>
          <w:lang w:val="es-ES_tradnl"/>
        </w:rPr>
        <w:t>.</w:t>
      </w:r>
    </w:p>
    <w:p>
      <w:pPr>
        <w:pStyle w:val="Corpsdetexte"/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>In addition, this subject should also be included in article 14 “Implementation”, which covers the whole treaty.</w:t>
      </w:r>
    </w:p>
    <w:p>
      <w:pPr>
        <w:pStyle w:val="Corpsdetexte"/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Corpsdetexte"/>
        <w:spacing w:lineRule="auto" w:line="240" w:before="0" w:after="0"/>
        <w:jc w:val="both"/>
        <w:rPr/>
      </w:pPr>
      <w:r>
        <w:rPr>
          <w:rStyle w:val="T12"/>
          <w:rFonts w:eastAsia="Times New Roman" w:cs="Times New Roman" w:ascii="Times New Roman" w:hAnsi="Times New Roman"/>
          <w:lang w:val="en-GB"/>
        </w:rPr>
        <w:t xml:space="preserve"> </w:t>
      </w:r>
      <w:r>
        <w:rPr>
          <w:rStyle w:val="T12"/>
          <w:rFonts w:cs="Times New Roman" w:ascii="Times New Roman" w:hAnsi="Times New Roman"/>
          <w:lang w:val="en-GB"/>
        </w:rPr>
        <w:t xml:space="preserve">(5) there is not as yet the wording, as provision, on preventive standards in regard of public contracts, public-private partnerships, and provision of services or activities where TNC and transnational may link to. </w:t>
      </w:r>
    </w:p>
    <w:p>
      <w:pPr>
        <w:pStyle w:val="Corpsdetexte"/>
        <w:spacing w:lineRule="auto" w:line="240"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Corpsdetexte"/>
        <w:spacing w:lineRule="auto" w:line="240" w:before="0" w:after="0"/>
        <w:jc w:val="both"/>
        <w:rPr>
          <w:rFonts w:ascii="Times New Roman" w:hAnsi="Times New Roman" w:cs="Times New Roman"/>
          <w:lang w:val="en-GB"/>
        </w:rPr>
      </w:pPr>
      <w:r>
        <w:rPr>
          <w:rFonts w:cs="Times New Roman" w:ascii="Times New Roman" w:hAnsi="Times New Roman"/>
          <w:lang w:val="en-GB"/>
        </w:rPr>
      </w:r>
    </w:p>
    <w:p>
      <w:pPr>
        <w:pStyle w:val="Corpsdetexte"/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>We should add also following changes:</w:t>
      </w:r>
    </w:p>
    <w:p>
      <w:pPr>
        <w:pStyle w:val="Corpsdetexte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>Replace “constructive consultations” with “mandatory consultations”.</w:t>
      </w:r>
    </w:p>
    <w:p>
      <w:pPr>
        <w:pStyle w:val="Corpsdetexte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 xml:space="preserve">Delete the references to national legislation in paragraphs 4 and 5 which limit the scope of article 5. </w:t>
      </w:r>
    </w:p>
    <w:p>
      <w:pPr>
        <w:pStyle w:val="Corpsdetexte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>Provide preventive standards for state as a standard setting as we know, perhaps with reference to the framework like treaty mechanism in general comment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Style w:val="T12"/>
          <w:rFonts w:cs="Times New Roman" w:ascii="Times New Roman" w:hAnsi="Times New Roman"/>
          <w:lang w:val="en-GB"/>
        </w:rPr>
        <w:t>Include in this article precautionary measures to prevent irreparable damage.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1134" w:header="851" w:top="1418" w:footer="0" w:bottom="1077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NSimSun">
    <w:altName w:val="Arial Unicode MS"/>
    <w:charset w:val="00"/>
    <w:family w:val="modern"/>
    <w:pitch w:val="default"/>
  </w:font>
  <w:font w:name="Univers Condensed"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pacing w:before="0" w:after="80"/>
      <w:ind w:left="-170" w:right="-170" w:hanging="0"/>
      <w:jc w:val="center"/>
      <w:rPr/>
    </w:pPr>
    <w:r>
      <w:rPr/>
      <w:t>CCP(CHF): 12-19850-1   CCP(Euro): 91-13687-6      Banque: BCG, L 750 16 55, 1211 Genève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38" w:type="dxa"/>
      <w:jc w:val="left"/>
      <w:tblInd w:w="-40" w:type="dxa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698"/>
      <w:gridCol w:w="8539"/>
    </w:tblGrid>
    <w:tr>
      <w:trPr>
        <w:trHeight w:val="1274" w:hRule="atLeast"/>
      </w:trPr>
      <w:tc>
        <w:tcPr>
          <w:tcW w:w="1698" w:type="dxa"/>
          <w:tcBorders/>
          <w:shd w:color="auto" w:fill="FFFFFF" w:val="clear"/>
        </w:tcPr>
        <w:p>
          <w:pPr>
            <w:pStyle w:val="Entte"/>
            <w:snapToGrid w:val="false"/>
            <w:rPr>
              <w:rFonts w:ascii="Univers Condensed" w:hAnsi="Univers Condensed"/>
            </w:rPr>
          </w:pPr>
          <w:r>
            <w:rPr>
              <w:rFonts w:ascii="Univers Condensed" w:hAnsi="Univers Condensed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89330" cy="1080770"/>
                <wp:effectExtent l="0" t="0" r="0" b="0"/>
                <wp:wrapSquare wrapText="larges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1080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39" w:type="dxa"/>
          <w:tcBorders/>
          <w:shd w:color="auto" w:fill="FFFFFF" w:val="clear"/>
        </w:tcPr>
        <w:p>
          <w:pPr>
            <w:pStyle w:val="Entte"/>
            <w:snapToGrid w:val="false"/>
            <w:spacing w:before="40" w:after="120"/>
            <w:rPr>
              <w:rFonts w:ascii="Garamond" w:hAnsi="Garamond"/>
              <w:spacing w:val="24"/>
              <w:sz w:val="56"/>
            </w:rPr>
          </w:pPr>
          <w:r>
            <w:rPr>
              <w:rFonts w:ascii="Garamond" w:hAnsi="Garamond"/>
              <w:spacing w:val="24"/>
              <w:sz w:val="56"/>
            </w:rPr>
            <w:t>Centre Europe - Tiers Monde</w:t>
          </w:r>
        </w:p>
        <w:p>
          <w:pPr>
            <w:pStyle w:val="Entte"/>
            <w:spacing w:before="227" w:after="0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 xml:space="preserve">Centre de recherches et de publications sur les relations entre le Tiers Monde et l'Europe   </w:t>
          </w:r>
        </w:p>
      </w:tc>
    </w:tr>
  </w:tbl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;Arial Unicode MS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  <w:rFonts w:cs="OpenSymbol;Arial Unicode MS"/>
        <w:color w:val="00000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Cs w:val="22"/>
        <w:rFonts w:cs="OpenSymbol;Arial Unicode MS"/>
        <w:color w:val="00000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Cs w:val="22"/>
        <w:rFonts w:cs="OpenSymbol;Arial Unicode MS"/>
        <w:color w:val="00000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9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fr-CH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fr-FR" w:eastAsia="zh-CN" w:bidi="hi-IN"/>
    </w:rPr>
  </w:style>
  <w:style w:type="paragraph" w:styleId="Titre2">
    <w:name w:val="Heading 2"/>
    <w:basedOn w:val="Titre"/>
    <w:next w:val="Textbody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Systrantokenpunctuation" w:customStyle="1">
    <w:name w:val="systran_token_punctuation"/>
    <w:basedOn w:val="Policepardfaut1"/>
    <w:qFormat/>
    <w:rPr/>
  </w:style>
  <w:style w:type="character" w:styleId="Policepardfaut1" w:customStyle="1">
    <w:name w:val="Police par défaut1"/>
    <w:qFormat/>
    <w:rPr/>
  </w:style>
  <w:style w:type="character" w:styleId="Policepardfaut" w:customStyle="1">
    <w:name w:val="Police par défaut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CorpotestoCarattere">
    <w:name w:val="Corpo testo Carattere"/>
    <w:qFormat/>
    <w:rPr>
      <w:rFonts w:ascii="Liberation Serif;Times New Roman" w:hAnsi="Liberation Serif;Times New Roman" w:eastAsia="NSimSun;Arial Unicode MS" w:cs="Mangal"/>
      <w:kern w:val="2"/>
      <w:sz w:val="24"/>
      <w:szCs w:val="24"/>
      <w:lang w:val="fr-CH" w:eastAsia="zh-CN" w:bidi="hi-IN"/>
    </w:rPr>
  </w:style>
  <w:style w:type="character" w:styleId="T12">
    <w:name w:val="t12"/>
    <w:basedOn w:val="Carpredefinitoparagrafo"/>
    <w:qFormat/>
    <w:rPr/>
  </w:style>
  <w:style w:type="character" w:styleId="Carpredefinitoparagrafo">
    <w:name w:val="Car. predefinito paragrafo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000000"/>
      <w:szCs w:val="22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cs="OpenSymbol;Arial Unicode MS"/>
      <w:lang w:val="en-GB"/>
    </w:rPr>
  </w:style>
  <w:style w:type="paragraph" w:styleId="Titre" w:customStyle="1">
    <w:name w:val="Titre"/>
    <w:next w:val="Textbody"/>
    <w:qFormat/>
    <w:pPr>
      <w:keepNext w:val="true"/>
      <w:widowControl/>
      <w:kinsoku w:val="true"/>
      <w:overflowPunct w:val="true"/>
      <w:autoSpaceDE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fr-CH" w:eastAsia="zh-CN" w:bidi="hi-IN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fr-CH" w:eastAsia="zh-CN" w:bidi="hi-IN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qFormat/>
    <w:pPr>
      <w:widowControl/>
      <w:suppressLineNumbers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fr-CH" w:eastAsia="zh-CN" w:bidi="hi-IN"/>
    </w:rPr>
  </w:style>
  <w:style w:type="paragraph" w:styleId="Standard" w:customStyle="1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Entteetpieddepage" w:customStyle="1">
    <w:name w:val="En-tête et pied de page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Standard"/>
    <w:pPr>
      <w:tabs>
        <w:tab w:val="clear" w:pos="709"/>
        <w:tab w:val="center" w:pos="4819" w:leader="none"/>
        <w:tab w:val="right" w:pos="9071" w:leader="none"/>
      </w:tabs>
    </w:pPr>
    <w:rPr/>
  </w:style>
  <w:style w:type="paragraph" w:styleId="Pieddepage">
    <w:name w:val="Footer"/>
    <w:basedOn w:val="Standard"/>
    <w:pPr>
      <w:tabs>
        <w:tab w:val="clear" w:pos="709"/>
        <w:tab w:val="center" w:pos="4819" w:leader="none"/>
        <w:tab w:val="right" w:pos="9071" w:leader="none"/>
      </w:tabs>
    </w:pPr>
    <w:rPr/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Texteprformat" w:customStyle="1">
    <w:name w:val="Texte préformaté"/>
    <w:basedOn w:val="Standard"/>
    <w:qFormat/>
    <w:pPr/>
    <w:rPr>
      <w:rFonts w:ascii="Liberation Mono" w:hAnsi="Liberation Mono" w:cs="Liberation Mono"/>
      <w:sz w:val="20"/>
      <w:szCs w:val="20"/>
    </w:rPr>
  </w:style>
  <w:style w:type="paragraph" w:styleId="Corpsdetexte2" w:customStyle="1">
    <w:name w:val="Corps de texte 2"/>
    <w:basedOn w:val="Standard"/>
    <w:qFormat/>
    <w:pPr>
      <w:jc w:val="both"/>
    </w:pPr>
    <w:rPr>
      <w:sz w:val="22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_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customXml" Target="../customXml/item2.xml"/><Relationship Id="rId2" Type="http://schemas.openxmlformats.org/officeDocument/2006/relationships/hyperlink" Target="http://www.cetim.ch/" TargetMode="Externa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5E134-2ACF-49F0-98B4-CE5AC1A852E9}"/>
</file>

<file path=customXml/itemProps2.xml><?xml version="1.0" encoding="utf-8"?>
<ds:datastoreItem xmlns:ds="http://schemas.openxmlformats.org/officeDocument/2006/customXml" ds:itemID="{731037D4-CBCB-470E-8F35-21434BFE40E8}"/>
</file>

<file path=customXml/itemProps3.xml><?xml version="1.0" encoding="utf-8"?>
<ds:datastoreItem xmlns:ds="http://schemas.openxmlformats.org/officeDocument/2006/customXml" ds:itemID="{8237F7A1-FF68-4E3F-9FCE-F29BA5993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LibreOffice/6.3.0.4$Windows_x86 LibreOffice_project/057fc023c990d676a43019934386b85b21a9ee99</Application>
  <Pages>2</Pages>
  <Words>640</Words>
  <Characters>3609</Characters>
  <CharactersWithSpaces>4233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4</cp:revision>
  <cp:lastPrinted>2019-06-13T09:25:00Z</cp:lastPrinted>
  <dcterms:created xsi:type="dcterms:W3CDTF">2019-10-17T11:49:00Z</dcterms:created>
  <dcterms:modified xsi:type="dcterms:W3CDTF">2019-10-28T15:26:32Z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0x0101008822B9E06671B54FA89F14538B9B0FEA</vt:lpwstr>
  </property>
</Properties>
</file>