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10908A" w14:textId="77777777" w:rsidR="00566702" w:rsidRDefault="00566702">
      <w:pPr>
        <w:pStyle w:val="Standard"/>
        <w:rPr>
          <w:rFonts w:ascii="Times New Roman" w:hAnsi="Times New Roman"/>
          <w:sz w:val="16"/>
        </w:rPr>
      </w:pPr>
      <w:bookmarkStart w:id="0" w:name="_GoBack"/>
      <w:bookmarkEnd w:id="0"/>
    </w:p>
    <w:p w14:paraId="6C85F03F" w14:textId="77777777" w:rsidR="00566702" w:rsidRDefault="00566702">
      <w:pPr>
        <w:pStyle w:val="Standard"/>
        <w:spacing w:after="113"/>
        <w:rPr>
          <w:rFonts w:ascii="Times New Roman" w:hAnsi="Times New Roman"/>
          <w:sz w:val="16"/>
        </w:rPr>
      </w:pPr>
    </w:p>
    <w:tbl>
      <w:tblPr>
        <w:tblW w:w="10632" w:type="dxa"/>
        <w:tblInd w:w="-426" w:type="dxa"/>
        <w:tblLayout w:type="fixed"/>
        <w:tblCellMar>
          <w:left w:w="10" w:type="dxa"/>
          <w:right w:w="10" w:type="dxa"/>
        </w:tblCellMar>
        <w:tblLook w:val="0000" w:firstRow="0" w:lastRow="0" w:firstColumn="0" w:lastColumn="0" w:noHBand="0" w:noVBand="0"/>
      </w:tblPr>
      <w:tblGrid>
        <w:gridCol w:w="6071"/>
        <w:gridCol w:w="4561"/>
      </w:tblGrid>
      <w:tr w:rsidR="00566702" w14:paraId="237CD706" w14:textId="77777777">
        <w:tc>
          <w:tcPr>
            <w:tcW w:w="6071" w:type="dxa"/>
            <w:shd w:val="clear" w:color="auto" w:fill="FFFFFF"/>
            <w:tcMar>
              <w:top w:w="0" w:type="dxa"/>
              <w:left w:w="70" w:type="dxa"/>
              <w:bottom w:w="0" w:type="dxa"/>
              <w:right w:w="70" w:type="dxa"/>
            </w:tcMar>
          </w:tcPr>
          <w:p w14:paraId="695E933A" w14:textId="77777777" w:rsidR="00566702" w:rsidRDefault="00AD6B77">
            <w:pPr>
              <w:pStyle w:val="Intestazione"/>
              <w:rPr>
                <w:rFonts w:ascii="Times New Roman" w:hAnsi="Times New Roman"/>
                <w:sz w:val="22"/>
                <w:szCs w:val="22"/>
              </w:rPr>
            </w:pPr>
            <w:r>
              <w:rPr>
                <w:rFonts w:ascii="Times New Roman" w:hAnsi="Times New Roman"/>
                <w:sz w:val="22"/>
                <w:szCs w:val="22"/>
              </w:rPr>
              <w:t>Rue Amat 6</w:t>
            </w:r>
          </w:p>
          <w:p w14:paraId="6C42F91A" w14:textId="77777777" w:rsidR="00566702" w:rsidRDefault="00AD6B77">
            <w:pPr>
              <w:pStyle w:val="Intestazione"/>
              <w:spacing w:after="40"/>
              <w:rPr>
                <w:rFonts w:ascii="Times New Roman" w:hAnsi="Times New Roman"/>
                <w:sz w:val="22"/>
                <w:szCs w:val="22"/>
              </w:rPr>
            </w:pPr>
            <w:r>
              <w:rPr>
                <w:rFonts w:ascii="Times New Roman" w:hAnsi="Times New Roman"/>
                <w:sz w:val="22"/>
                <w:szCs w:val="22"/>
              </w:rPr>
              <w:t>CH-1202 Genève</w:t>
            </w:r>
          </w:p>
          <w:p w14:paraId="605B3CE6" w14:textId="77777777" w:rsidR="00566702" w:rsidRDefault="00AD6B77">
            <w:pPr>
              <w:pStyle w:val="Intestazione"/>
              <w:rPr>
                <w:rFonts w:ascii="Times New Roman" w:hAnsi="Times New Roman"/>
                <w:sz w:val="22"/>
                <w:szCs w:val="22"/>
              </w:rPr>
            </w:pPr>
            <w:r>
              <w:rPr>
                <w:rFonts w:ascii="Times New Roman" w:hAnsi="Times New Roman"/>
                <w:sz w:val="22"/>
                <w:szCs w:val="22"/>
              </w:rPr>
              <w:t>Tel. +41 (0)22 731 59 63</w:t>
            </w:r>
          </w:p>
          <w:p w14:paraId="273C3778" w14:textId="77777777" w:rsidR="00566702" w:rsidRDefault="00AD6B77">
            <w:pPr>
              <w:pStyle w:val="Intestazione"/>
              <w:spacing w:after="40"/>
              <w:rPr>
                <w:rFonts w:ascii="Times New Roman" w:hAnsi="Times New Roman"/>
                <w:sz w:val="22"/>
                <w:szCs w:val="22"/>
              </w:rPr>
            </w:pPr>
            <w:r>
              <w:rPr>
                <w:rFonts w:ascii="Times New Roman" w:hAnsi="Times New Roman"/>
                <w:sz w:val="22"/>
                <w:szCs w:val="22"/>
              </w:rPr>
              <w:t>Fax +41 (0)22 731 91 52</w:t>
            </w:r>
          </w:p>
          <w:p w14:paraId="4C28D05C" w14:textId="77777777" w:rsidR="00566702" w:rsidRDefault="00AD6B77">
            <w:pPr>
              <w:pStyle w:val="Intestazione"/>
              <w:rPr>
                <w:rFonts w:ascii="Times New Roman" w:hAnsi="Times New Roman"/>
                <w:sz w:val="22"/>
                <w:szCs w:val="22"/>
              </w:rPr>
            </w:pPr>
            <w:r>
              <w:rPr>
                <w:rFonts w:ascii="Times New Roman" w:hAnsi="Times New Roman"/>
                <w:sz w:val="22"/>
                <w:szCs w:val="22"/>
              </w:rPr>
              <w:t>E-mail: contact@cetim.ch</w:t>
            </w:r>
          </w:p>
          <w:p w14:paraId="54CE2420" w14:textId="77777777" w:rsidR="00566702" w:rsidRDefault="00AD6B77">
            <w:pPr>
              <w:pStyle w:val="Intestazione"/>
              <w:rPr>
                <w:rFonts w:hint="eastAsia"/>
              </w:rPr>
            </w:pPr>
            <w:r>
              <w:rPr>
                <w:rFonts w:ascii="Times New Roman" w:hAnsi="Times New Roman"/>
                <w:sz w:val="22"/>
                <w:szCs w:val="22"/>
              </w:rPr>
              <w:t xml:space="preserve">Site Web: </w:t>
            </w:r>
            <w:hyperlink r:id="rId7" w:history="1">
              <w:r>
                <w:rPr>
                  <w:rStyle w:val="Internetlink"/>
                  <w:rFonts w:ascii="Times New Roman" w:hAnsi="Times New Roman"/>
                  <w:sz w:val="22"/>
                  <w:szCs w:val="22"/>
                </w:rPr>
                <w:t>www.cetim.ch</w:t>
              </w:r>
            </w:hyperlink>
          </w:p>
          <w:p w14:paraId="034CBD24" w14:textId="77777777" w:rsidR="00566702" w:rsidRDefault="00566702">
            <w:pPr>
              <w:pStyle w:val="Intestazione"/>
              <w:rPr>
                <w:rFonts w:ascii="Times New Roman" w:hAnsi="Times New Roman"/>
                <w:sz w:val="22"/>
                <w:szCs w:val="22"/>
              </w:rPr>
            </w:pPr>
          </w:p>
        </w:tc>
        <w:tc>
          <w:tcPr>
            <w:tcW w:w="4561" w:type="dxa"/>
            <w:shd w:val="clear" w:color="auto" w:fill="FFFFFF"/>
            <w:tcMar>
              <w:top w:w="0" w:type="dxa"/>
              <w:left w:w="70" w:type="dxa"/>
              <w:bottom w:w="0" w:type="dxa"/>
              <w:right w:w="70" w:type="dxa"/>
            </w:tcMar>
          </w:tcPr>
          <w:p w14:paraId="3200B591" w14:textId="77777777" w:rsidR="00566702" w:rsidRDefault="00AD6B77">
            <w:pPr>
              <w:pStyle w:val="Textbody"/>
              <w:tabs>
                <w:tab w:val="left" w:pos="5616"/>
              </w:tabs>
              <w:spacing w:after="0" w:line="240" w:lineRule="auto"/>
              <w:jc w:val="both"/>
              <w:rPr>
                <w:rFonts w:ascii="Times New Roman" w:hAnsi="Times New Roman" w:cs="Times New Roman"/>
                <w:b/>
              </w:rPr>
            </w:pPr>
            <w:r>
              <w:rPr>
                <w:rFonts w:ascii="Times New Roman" w:hAnsi="Times New Roman" w:cs="Times New Roman"/>
                <w:b/>
              </w:rPr>
              <w:t>ASSEMBLÉE GÉNÉRALE</w:t>
            </w:r>
          </w:p>
          <w:p w14:paraId="60424AF3" w14:textId="77777777" w:rsidR="00566702" w:rsidRDefault="00AD6B77">
            <w:pPr>
              <w:pStyle w:val="Standard"/>
              <w:spacing w:line="200" w:lineRule="atLeast"/>
              <w:jc w:val="both"/>
              <w:rPr>
                <w:rFonts w:ascii="Times New Roman" w:hAnsi="Times New Roman" w:cs="Times New Roman"/>
                <w:b/>
                <w:bCs/>
              </w:rPr>
            </w:pPr>
            <w:r>
              <w:rPr>
                <w:rFonts w:ascii="Times New Roman" w:hAnsi="Times New Roman" w:cs="Times New Roman"/>
                <w:b/>
                <w:bCs/>
              </w:rPr>
              <w:t>CONSEIL DES DROITS DE L'HOMME</w:t>
            </w:r>
          </w:p>
          <w:p w14:paraId="6A4243DC" w14:textId="77777777" w:rsidR="00566702" w:rsidRDefault="00AD6B77">
            <w:pPr>
              <w:pStyle w:val="Standard"/>
              <w:snapToGrid w:val="0"/>
              <w:spacing w:line="200" w:lineRule="atLeast"/>
              <w:jc w:val="both"/>
              <w:rPr>
                <w:rFonts w:ascii="Times New Roman" w:hAnsi="Times New Roman" w:cs="Times New Roman"/>
                <w:color w:val="000000"/>
                <w:shd w:val="clear" w:color="auto" w:fill="FFFFFF"/>
                <w:lang w:val="en-GB" w:bidi="ar-SA"/>
              </w:rPr>
            </w:pPr>
            <w:r>
              <w:rPr>
                <w:rFonts w:ascii="Times New Roman" w:hAnsi="Times New Roman" w:cs="Times New Roman"/>
                <w:i/>
                <w:iCs/>
                <w:color w:val="000000"/>
                <w:lang w:bidi="ar-SA"/>
              </w:rPr>
              <w:t>5</w:t>
            </w:r>
            <w:r>
              <w:rPr>
                <w:rFonts w:ascii="Times New Roman" w:hAnsi="Times New Roman" w:cs="Times New Roman"/>
                <w:i/>
                <w:iCs/>
                <w:color w:val="000000"/>
                <w:vertAlign w:val="superscript"/>
                <w:lang w:bidi="ar-SA"/>
              </w:rPr>
              <w:t>ème</w:t>
            </w:r>
            <w:r>
              <w:rPr>
                <w:rFonts w:ascii="Times New Roman" w:hAnsi="Times New Roman" w:cs="Times New Roman"/>
                <w:i/>
                <w:iCs/>
                <w:color w:val="000000"/>
                <w:lang w:bidi="ar-SA"/>
              </w:rPr>
              <w:t xml:space="preserve"> session du Groupe de travail intergouvernemental chargé d'élaborer un instrument international juridiquement contraignant sur les sociétés transnationales et autres entreprises (14-18 octobre 2019)</w:t>
            </w:r>
          </w:p>
          <w:p w14:paraId="0B324B3B" w14:textId="77777777" w:rsidR="00566702" w:rsidRDefault="00AD6B77">
            <w:pPr>
              <w:pStyle w:val="Standard"/>
              <w:snapToGrid w:val="0"/>
              <w:spacing w:line="200" w:lineRule="atLeast"/>
              <w:ind w:left="10" w:right="-50" w:hanging="20"/>
              <w:jc w:val="both"/>
              <w:rPr>
                <w:rFonts w:ascii="Times New Roman" w:hAnsi="Times New Roman" w:cs="Times New Roman"/>
                <w:b/>
                <w:bCs/>
                <w:i/>
                <w:iCs/>
                <w:color w:val="000000"/>
                <w:lang w:bidi="ar-SA"/>
              </w:rPr>
            </w:pPr>
            <w:r>
              <w:rPr>
                <w:rFonts w:ascii="Times New Roman" w:hAnsi="Times New Roman" w:cs="Times New Roman"/>
                <w:b/>
                <w:bCs/>
                <w:i/>
                <w:iCs/>
                <w:color w:val="000000"/>
                <w:lang w:bidi="ar-SA"/>
              </w:rPr>
              <w:t>Débat sur l’article 13</w:t>
            </w:r>
          </w:p>
        </w:tc>
      </w:tr>
    </w:tbl>
    <w:p w14:paraId="0751CAB0" w14:textId="77777777" w:rsidR="00566702" w:rsidRDefault="00566702">
      <w:pPr>
        <w:pStyle w:val="Textbody"/>
        <w:tabs>
          <w:tab w:val="left" w:pos="5728"/>
        </w:tabs>
        <w:spacing w:after="0" w:line="240" w:lineRule="auto"/>
        <w:jc w:val="both"/>
        <w:rPr>
          <w:rFonts w:ascii="Times New Roman" w:hAnsi="Times New Roman" w:cs="Calibri"/>
          <w:color w:val="000000"/>
          <w:lang w:bidi="ar-SA"/>
        </w:rPr>
      </w:pPr>
    </w:p>
    <w:p w14:paraId="67D97CAE" w14:textId="77777777" w:rsidR="00566702" w:rsidRDefault="00AD6B77">
      <w:pPr>
        <w:pStyle w:val="Textbody"/>
        <w:spacing w:after="0" w:line="240" w:lineRule="auto"/>
        <w:ind w:right="-567"/>
        <w:jc w:val="both"/>
        <w:rPr>
          <w:rFonts w:ascii="Times New Roman" w:hAnsi="Times New Roman"/>
          <w:b/>
          <w:bCs/>
          <w:i/>
          <w:iCs/>
          <w:sz w:val="22"/>
          <w:szCs w:val="22"/>
          <w:u w:val="single"/>
        </w:rPr>
      </w:pPr>
      <w:r>
        <w:rPr>
          <w:rFonts w:ascii="Times New Roman" w:hAnsi="Times New Roman"/>
          <w:b/>
          <w:bCs/>
          <w:i/>
          <w:iCs/>
          <w:sz w:val="22"/>
          <w:szCs w:val="22"/>
          <w:u w:val="single"/>
        </w:rPr>
        <w:t>Déclaration orale</w:t>
      </w:r>
    </w:p>
    <w:p w14:paraId="1D9108A3" w14:textId="77777777" w:rsidR="00566702" w:rsidRDefault="00AD6B77">
      <w:pPr>
        <w:pStyle w:val="Textbody"/>
        <w:spacing w:after="0" w:line="240" w:lineRule="auto"/>
        <w:ind w:right="-567"/>
        <w:jc w:val="both"/>
        <w:rPr>
          <w:rFonts w:ascii="Times New Roman" w:hAnsi="Times New Roman"/>
          <w:i/>
          <w:iCs/>
          <w:sz w:val="22"/>
          <w:szCs w:val="22"/>
        </w:rPr>
      </w:pPr>
      <w:r>
        <w:rPr>
          <w:rFonts w:ascii="Times New Roman" w:hAnsi="Times New Roman"/>
          <w:i/>
          <w:iCs/>
          <w:sz w:val="22"/>
          <w:szCs w:val="22"/>
        </w:rPr>
        <w:t>Vérifier à l'audition</w:t>
      </w:r>
    </w:p>
    <w:p w14:paraId="60051E7E" w14:textId="77777777" w:rsidR="00566702" w:rsidRDefault="00566702">
      <w:pPr>
        <w:pStyle w:val="Textbody"/>
        <w:spacing w:after="0" w:line="240" w:lineRule="auto"/>
        <w:ind w:right="-567"/>
        <w:jc w:val="both"/>
        <w:rPr>
          <w:rFonts w:ascii="Times New Roman" w:hAnsi="Times New Roman"/>
          <w:sz w:val="22"/>
          <w:szCs w:val="22"/>
        </w:rPr>
      </w:pPr>
    </w:p>
    <w:p w14:paraId="3F6FBA57" w14:textId="77777777" w:rsidR="00566702" w:rsidRDefault="00AD6B77">
      <w:pPr>
        <w:pStyle w:val="Textbody"/>
        <w:spacing w:after="0" w:line="240" w:lineRule="auto"/>
        <w:ind w:right="-567"/>
        <w:jc w:val="both"/>
        <w:rPr>
          <w:rFonts w:ascii="Times New Roman" w:hAnsi="Times New Roman"/>
          <w:sz w:val="22"/>
          <w:szCs w:val="22"/>
        </w:rPr>
      </w:pPr>
      <w:r>
        <w:rPr>
          <w:rFonts w:ascii="Times New Roman" w:hAnsi="Times New Roman"/>
          <w:sz w:val="22"/>
          <w:szCs w:val="22"/>
        </w:rPr>
        <w:t>Monsieur le Président,</w:t>
      </w:r>
    </w:p>
    <w:p w14:paraId="3C4C6B08" w14:textId="77777777" w:rsidR="00566702" w:rsidRDefault="00AD6B77">
      <w:pPr>
        <w:pStyle w:val="Textbody"/>
        <w:spacing w:after="0" w:line="240" w:lineRule="auto"/>
        <w:jc w:val="both"/>
        <w:rPr>
          <w:rFonts w:hint="eastAsia"/>
        </w:rPr>
      </w:pPr>
      <w:r>
        <w:rPr>
          <w:rStyle w:val="Policepardfaut"/>
          <w:rFonts w:ascii="Times New Roman" w:eastAsia="Calibri" w:hAnsi="Times New Roman" w:cs="Times New Roman"/>
          <w:color w:val="000000"/>
          <w:sz w:val="22"/>
          <w:szCs w:val="22"/>
          <w:lang w:eastAsia="es-ES"/>
        </w:rPr>
        <w:t>Le projet révisé ne prévoit pas de mécanismes solides permettant aux communautés et personnes affectées d'accéder à la vérité, la justice, la réparation et à la garantie de non-répétition.</w:t>
      </w:r>
    </w:p>
    <w:p w14:paraId="5AB2DA10" w14:textId="77777777" w:rsidR="00566702" w:rsidRDefault="00566702">
      <w:pPr>
        <w:pStyle w:val="Textbody"/>
        <w:spacing w:after="0" w:line="240" w:lineRule="auto"/>
        <w:jc w:val="both"/>
        <w:rPr>
          <w:rFonts w:hint="eastAsia"/>
        </w:rPr>
      </w:pPr>
    </w:p>
    <w:p w14:paraId="1A646E95" w14:textId="77777777" w:rsidR="00566702" w:rsidRDefault="00AD6B77">
      <w:pPr>
        <w:pStyle w:val="Textbody"/>
        <w:spacing w:after="0" w:line="240" w:lineRule="auto"/>
        <w:jc w:val="both"/>
        <w:rPr>
          <w:rFonts w:hint="eastAsia"/>
        </w:rPr>
      </w:pPr>
      <w:r>
        <w:rPr>
          <w:rStyle w:val="Policepardfaut"/>
          <w:rFonts w:ascii="Times New Roman" w:hAnsi="Times New Roman"/>
          <w:sz w:val="22"/>
          <w:szCs w:val="22"/>
        </w:rPr>
        <w:t>Tel que formulé, le mandat du Comité proposé, en tant que mécanisme de mise en œuvre à l’échelle internationale, est en deçà des organes de traités de l’ONU existants. Il ne s’agit pas d’une « solution optimale », comme nous avons entendu dans cette salle. Vu la nature des activités des STN, nous devons sortir du cadre classique des organes de traité.</w:t>
      </w:r>
    </w:p>
    <w:p w14:paraId="19F30AA5" w14:textId="77777777" w:rsidR="00566702" w:rsidRDefault="00566702">
      <w:pPr>
        <w:pStyle w:val="Textbody"/>
        <w:spacing w:after="0" w:line="240" w:lineRule="auto"/>
        <w:jc w:val="both"/>
        <w:rPr>
          <w:rFonts w:hint="eastAsia"/>
        </w:rPr>
      </w:pPr>
    </w:p>
    <w:p w14:paraId="1BEC1E7B" w14:textId="77777777" w:rsidR="00566702" w:rsidRDefault="00AD6B77">
      <w:pPr>
        <w:pStyle w:val="Textbody"/>
        <w:spacing w:after="0" w:line="240" w:lineRule="auto"/>
        <w:jc w:val="both"/>
        <w:rPr>
          <w:rFonts w:hint="eastAsia"/>
        </w:rPr>
      </w:pPr>
      <w:r>
        <w:rPr>
          <w:rStyle w:val="Policepardfaut"/>
          <w:rFonts w:ascii="Times New Roman" w:hAnsi="Times New Roman"/>
          <w:sz w:val="22"/>
          <w:szCs w:val="22"/>
        </w:rPr>
        <w:t xml:space="preserve">En effet, si l’on veut combattre l’impunité des STN et que les décisions du Comité soient suivies d’effet, il faudra renforcer ses prérogatives. Par exemple, le Comité doit recevoir des plaintes contre les STN ; il doit pouvoir investiguer sur des allégations et ses décisions doivent être contraignantes. </w:t>
      </w:r>
      <w:r>
        <w:rPr>
          <w:rFonts w:ascii="Times New Roman" w:hAnsi="Times New Roman"/>
          <w:sz w:val="22"/>
          <w:szCs w:val="22"/>
        </w:rPr>
        <w:t>En outre, le Comité devrait guider les États dans leurs stratégies quant à la réglementation des activités STN afin de prévenir les violations des droits humains.</w:t>
      </w:r>
    </w:p>
    <w:p w14:paraId="4C5A138C" w14:textId="77777777" w:rsidR="00566702" w:rsidRDefault="00566702">
      <w:pPr>
        <w:pStyle w:val="Textbody"/>
        <w:spacing w:after="0" w:line="240" w:lineRule="auto"/>
        <w:jc w:val="both"/>
        <w:rPr>
          <w:rFonts w:hint="eastAsia"/>
        </w:rPr>
      </w:pPr>
    </w:p>
    <w:p w14:paraId="36ACCAE9" w14:textId="77777777" w:rsidR="00566702" w:rsidRDefault="00AD6B77">
      <w:pPr>
        <w:pStyle w:val="Textbody"/>
        <w:spacing w:after="0" w:line="240" w:lineRule="auto"/>
        <w:jc w:val="both"/>
        <w:rPr>
          <w:rFonts w:hint="eastAsia"/>
        </w:rPr>
      </w:pPr>
      <w:r>
        <w:rPr>
          <w:rStyle w:val="Policepardfaut"/>
          <w:rFonts w:ascii="Times New Roman" w:eastAsia="Calibri" w:hAnsi="Times New Roman" w:cs="Times New Roman"/>
          <w:color w:val="000000"/>
          <w:sz w:val="22"/>
          <w:szCs w:val="22"/>
          <w:lang w:eastAsia="es-ES"/>
        </w:rPr>
        <w:t>Le Groupe de travail pourrait aussi mettre en place d’autres types de mécanismes de mise en œuvre. À ce  propos, la Campagne mondiale propose de créer deux mécanismes :</w:t>
      </w:r>
    </w:p>
    <w:p w14:paraId="1DF11973" w14:textId="77777777" w:rsidR="00566702" w:rsidRDefault="00566702">
      <w:pPr>
        <w:pStyle w:val="Textbody"/>
        <w:spacing w:after="0" w:line="240" w:lineRule="auto"/>
        <w:jc w:val="both"/>
        <w:rPr>
          <w:rFonts w:ascii="Times New Roman" w:hAnsi="Times New Roman"/>
          <w:sz w:val="22"/>
          <w:szCs w:val="22"/>
        </w:rPr>
      </w:pPr>
    </w:p>
    <w:p w14:paraId="456A0B39" w14:textId="77777777" w:rsidR="00566702" w:rsidRDefault="00AD6B77">
      <w:pPr>
        <w:pStyle w:val="Textbody"/>
        <w:spacing w:after="0" w:line="240" w:lineRule="auto"/>
        <w:ind w:left="709"/>
        <w:jc w:val="both"/>
        <w:rPr>
          <w:rFonts w:hint="eastAsia"/>
        </w:rPr>
      </w:pPr>
      <w:r>
        <w:rPr>
          <w:rStyle w:val="Policepardfaut"/>
          <w:rFonts w:ascii="Times New Roman" w:eastAsia="Calibri" w:hAnsi="Times New Roman" w:cs="Times New Roman"/>
          <w:b/>
          <w:bCs/>
          <w:i/>
          <w:iCs/>
          <w:color w:val="000000"/>
          <w:sz w:val="22"/>
          <w:szCs w:val="22"/>
          <w:lang w:eastAsia="es-ES"/>
        </w:rPr>
        <w:t>1) Un centre international de surveillance des STN,</w:t>
      </w:r>
      <w:r>
        <w:rPr>
          <w:rStyle w:val="Policepardfaut"/>
          <w:rFonts w:ascii="Times New Roman" w:eastAsia="Calibri" w:hAnsi="Times New Roman" w:cs="Times New Roman"/>
          <w:i/>
          <w:iCs/>
          <w:color w:val="000000"/>
          <w:sz w:val="22"/>
          <w:szCs w:val="22"/>
          <w:lang w:eastAsia="es-ES"/>
        </w:rPr>
        <w:t xml:space="preserve"> chargé d'évaluer, d'enquêter et d'inspecter les activités et les pratiques des STN (gérées conjointement par les États, les mouvements sociaux, les communautés touchées et les autres organisations de la société civile).</w:t>
      </w:r>
    </w:p>
    <w:p w14:paraId="103D5743" w14:textId="77777777" w:rsidR="00566702" w:rsidRDefault="00AD6B77">
      <w:pPr>
        <w:pStyle w:val="Textbody"/>
        <w:spacing w:after="0" w:line="240" w:lineRule="auto"/>
        <w:ind w:left="709"/>
        <w:jc w:val="both"/>
        <w:rPr>
          <w:rFonts w:hint="eastAsia"/>
        </w:rPr>
      </w:pPr>
      <w:r>
        <w:rPr>
          <w:rStyle w:val="Policepardfaut"/>
          <w:rFonts w:ascii="Times New Roman" w:eastAsia="Calibri" w:hAnsi="Times New Roman" w:cs="Times New Roman"/>
          <w:b/>
          <w:bCs/>
          <w:i/>
          <w:iCs/>
          <w:color w:val="000000"/>
          <w:sz w:val="22"/>
          <w:szCs w:val="22"/>
          <w:lang w:eastAsia="es-ES"/>
        </w:rPr>
        <w:t>2) Une Cour internationale des STN</w:t>
      </w:r>
      <w:r>
        <w:rPr>
          <w:rStyle w:val="Policepardfaut"/>
          <w:rFonts w:ascii="Times New Roman" w:eastAsia="Calibri" w:hAnsi="Times New Roman" w:cs="Times New Roman"/>
          <w:i/>
          <w:iCs/>
          <w:color w:val="000000"/>
          <w:sz w:val="22"/>
          <w:szCs w:val="22"/>
          <w:lang w:eastAsia="es-ES"/>
        </w:rPr>
        <w:t xml:space="preserve"> avec compétence pour recevoir, instruire et juger les plaintes déposées contre des STN pour des violations des droits humains. Les décisions et sanctions de la Cour doivent être directement applicables et juridiquement contraignantes.</w:t>
      </w:r>
    </w:p>
    <w:p w14:paraId="1C4958BE" w14:textId="77777777" w:rsidR="00566702" w:rsidRDefault="00566702">
      <w:pPr>
        <w:pStyle w:val="Textbody"/>
        <w:spacing w:after="0" w:line="240" w:lineRule="auto"/>
        <w:ind w:left="709"/>
        <w:jc w:val="both"/>
        <w:rPr>
          <w:rFonts w:hint="eastAsia"/>
        </w:rPr>
      </w:pPr>
    </w:p>
    <w:p w14:paraId="44DE3BBA" w14:textId="77777777" w:rsidR="00566702" w:rsidRDefault="00AD6B77">
      <w:pPr>
        <w:pStyle w:val="Textbody"/>
        <w:spacing w:after="0" w:line="240" w:lineRule="auto"/>
        <w:ind w:right="-567"/>
        <w:jc w:val="both"/>
        <w:rPr>
          <w:rFonts w:ascii="Times New Roman" w:hAnsi="Times New Roman"/>
        </w:rPr>
      </w:pPr>
      <w:r>
        <w:rPr>
          <w:rStyle w:val="Policepardfaut"/>
          <w:rFonts w:eastAsia="Calibri" w:cs="Times New Roman"/>
          <w:color w:val="000000"/>
          <w:sz w:val="22"/>
          <w:szCs w:val="22"/>
          <w:lang w:eastAsia="es-ES"/>
        </w:rPr>
        <w:t>Pour financer les travaux du ou des mécanisme(s) de mise en œuvre et soutenir la participation des communautés et personnes affectées à ces travaux, nous proposons de créer un fond qui serait financé par un impôt imposé aux STN.</w:t>
      </w:r>
    </w:p>
    <w:p w14:paraId="1CA62C15" w14:textId="77777777" w:rsidR="00566702" w:rsidRDefault="00566702">
      <w:pPr>
        <w:pStyle w:val="Textbody"/>
        <w:spacing w:after="0" w:line="240" w:lineRule="auto"/>
        <w:ind w:right="-567"/>
        <w:jc w:val="both"/>
        <w:rPr>
          <w:rFonts w:ascii="Times New Roman" w:hAnsi="Times New Roman"/>
        </w:rPr>
      </w:pPr>
    </w:p>
    <w:p w14:paraId="2DF5EF7B" w14:textId="77777777" w:rsidR="00566702" w:rsidRDefault="00AD6B77">
      <w:pPr>
        <w:pStyle w:val="Textbody"/>
        <w:spacing w:after="0" w:line="240" w:lineRule="auto"/>
        <w:ind w:right="-567"/>
        <w:jc w:val="both"/>
        <w:rPr>
          <w:rFonts w:ascii="Times New Roman" w:hAnsi="Times New Roman"/>
        </w:rPr>
      </w:pPr>
      <w:r>
        <w:rPr>
          <w:rStyle w:val="Policepardfaut"/>
          <w:rFonts w:eastAsia="Calibri" w:cs="Times New Roman"/>
          <w:color w:val="000000"/>
          <w:sz w:val="22"/>
          <w:szCs w:val="22"/>
          <w:lang w:eastAsia="es-ES"/>
        </w:rPr>
        <w:t>Nous estimons donc que sans l'institution d'un mécanisme international indépendant de mise en œuvre du futur traité, dont les décisions devront être suivies d’effets, il ne sera pas possible de mettre fin à l'impunité des STN et de garantir l'accès à la justice pour les populations touchées.</w:t>
      </w:r>
    </w:p>
    <w:p w14:paraId="4EF110F5" w14:textId="77777777" w:rsidR="00566702" w:rsidRDefault="00566702">
      <w:pPr>
        <w:pStyle w:val="Standard"/>
        <w:ind w:right="-567"/>
        <w:jc w:val="both"/>
        <w:rPr>
          <w:rFonts w:hint="eastAsia"/>
        </w:rPr>
      </w:pPr>
    </w:p>
    <w:p w14:paraId="11246797" w14:textId="77777777" w:rsidR="00566702" w:rsidRDefault="00AD6B77">
      <w:pPr>
        <w:pStyle w:val="Standard"/>
        <w:ind w:right="-567"/>
        <w:jc w:val="both"/>
        <w:rPr>
          <w:rFonts w:hint="eastAsia"/>
        </w:rPr>
      </w:pPr>
      <w:r>
        <w:rPr>
          <w:rStyle w:val="systrantokenpunctuation"/>
          <w:rFonts w:ascii="Times New Roman" w:hAnsi="Times New Roman"/>
          <w:i/>
          <w:iCs/>
          <w:sz w:val="22"/>
          <w:szCs w:val="22"/>
        </w:rPr>
        <w:lastRenderedPageBreak/>
        <w:t>Genève, le 17 octobre 2019</w:t>
      </w:r>
    </w:p>
    <w:sectPr w:rsidR="00566702">
      <w:headerReference w:type="first" r:id="rId8"/>
      <w:footerReference w:type="first" r:id="rId9"/>
      <w:pgSz w:w="11906" w:h="16838"/>
      <w:pgMar w:top="1418" w:right="1134" w:bottom="1077" w:left="1418" w:header="851" w:footer="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A8A05" w14:textId="77777777" w:rsidR="00232FAE" w:rsidRDefault="00232FAE">
      <w:pPr>
        <w:rPr>
          <w:rFonts w:hint="eastAsia"/>
        </w:rPr>
      </w:pPr>
      <w:r>
        <w:separator/>
      </w:r>
    </w:p>
  </w:endnote>
  <w:endnote w:type="continuationSeparator" w:id="0">
    <w:p w14:paraId="2199E65A" w14:textId="77777777" w:rsidR="00232FAE" w:rsidRDefault="00232FA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Liberation Serif">
    <w:altName w:val="Times New Roman"/>
    <w:charset w:val="00"/>
    <w:family w:val="roman"/>
    <w:pitch w:val="variable"/>
  </w:font>
  <w:font w:name="NSimSun">
    <w:altName w:val="Arial Unicode MS"/>
    <w:charset w:val="86"/>
    <w:family w:val="modern"/>
    <w:pitch w:val="fixed"/>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Liberation Sans">
    <w:altName w:val="Arial"/>
    <w:charset w:val="00"/>
    <w:family w:val="roman"/>
    <w:pitch w:val="variable"/>
  </w:font>
  <w:font w:name="Microsoft YaHei">
    <w:panose1 w:val="020B0503020204020204"/>
    <w:charset w:val="86"/>
    <w:family w:val="auto"/>
    <w:pitch w:val="variable"/>
    <w:sig w:usb0="80000287" w:usb1="28CF3C52" w:usb2="00000016" w:usb3="00000000" w:csb0="0004001F" w:csb1="00000000"/>
  </w:font>
  <w:font w:name="Liberation Mono">
    <w:charset w:val="00"/>
    <w:family w:val="modern"/>
    <w:pitch w:val="default"/>
  </w:font>
  <w:font w:name="OpenSymbol">
    <w:altName w:val="Arial Unicode MS"/>
    <w:charset w:val="00"/>
    <w:family w:val="roman"/>
    <w:pitch w:val="variable"/>
  </w:font>
  <w:font w:name="Calibri">
    <w:panose1 w:val="020F0502020204030204"/>
    <w:charset w:val="00"/>
    <w:family w:val="auto"/>
    <w:pitch w:val="variable"/>
    <w:sig w:usb0="E00002FF" w:usb1="4000ACFF" w:usb2="00000001" w:usb3="00000000" w:csb0="0000019F" w:csb1="00000000"/>
  </w:font>
  <w:font w:name="Univers Condensed">
    <w:altName w:val="Arial"/>
    <w:charset w:val="00"/>
    <w:family w:val="swiss"/>
    <w:pitch w:val="variable"/>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AD419" w14:textId="77777777" w:rsidR="000A074F" w:rsidRDefault="00AD6B77">
    <w:pPr>
      <w:pStyle w:val="Pidipagina"/>
      <w:spacing w:after="80"/>
      <w:ind w:left="-170" w:right="-170"/>
      <w:jc w:val="center"/>
      <w:rPr>
        <w:rFonts w:hint="eastAsia"/>
      </w:rPr>
    </w:pPr>
    <w:r>
      <w:t>CCP(CHF): 12-19850-1   CCP(Euro): 91-13687-6      Banque: BCG, L 750 16 55, 1211 Genève 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AC2913" w14:textId="77777777" w:rsidR="00232FAE" w:rsidRDefault="00232FAE">
      <w:pPr>
        <w:rPr>
          <w:rFonts w:hint="eastAsia"/>
        </w:rPr>
      </w:pPr>
      <w:r>
        <w:rPr>
          <w:color w:val="000000"/>
        </w:rPr>
        <w:separator/>
      </w:r>
    </w:p>
  </w:footnote>
  <w:footnote w:type="continuationSeparator" w:id="0">
    <w:p w14:paraId="132760C9" w14:textId="77777777" w:rsidR="00232FAE" w:rsidRDefault="00232FAE">
      <w:pPr>
        <w:rPr>
          <w:rFonts w:hint="eastAsia"/>
        </w:rPr>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38" w:type="dxa"/>
      <w:tblInd w:w="-40" w:type="dxa"/>
      <w:tblLayout w:type="fixed"/>
      <w:tblCellMar>
        <w:left w:w="10" w:type="dxa"/>
        <w:right w:w="10" w:type="dxa"/>
      </w:tblCellMar>
      <w:tblLook w:val="0000" w:firstRow="0" w:lastRow="0" w:firstColumn="0" w:lastColumn="0" w:noHBand="0" w:noVBand="0"/>
    </w:tblPr>
    <w:tblGrid>
      <w:gridCol w:w="1700"/>
      <w:gridCol w:w="8538"/>
    </w:tblGrid>
    <w:tr w:rsidR="000A074F" w14:paraId="26A4A487" w14:textId="77777777">
      <w:trPr>
        <w:trHeight w:val="1274"/>
      </w:trPr>
      <w:tc>
        <w:tcPr>
          <w:tcW w:w="1700" w:type="dxa"/>
          <w:shd w:val="clear" w:color="auto" w:fill="FFFFFF"/>
          <w:tcMar>
            <w:top w:w="0" w:type="dxa"/>
            <w:left w:w="70" w:type="dxa"/>
            <w:bottom w:w="0" w:type="dxa"/>
            <w:right w:w="70" w:type="dxa"/>
          </w:tcMar>
        </w:tcPr>
        <w:p w14:paraId="24EFC0EF" w14:textId="77777777" w:rsidR="000A074F" w:rsidRDefault="00AD6B77">
          <w:pPr>
            <w:pStyle w:val="Intestazione"/>
            <w:snapToGrid w:val="0"/>
            <w:rPr>
              <w:rFonts w:ascii="Univers Condensed" w:hAnsi="Univers Condensed" w:hint="eastAsia"/>
            </w:rPr>
          </w:pPr>
          <w:r>
            <w:rPr>
              <w:rFonts w:ascii="Univers Condensed" w:hAnsi="Univers Condensed"/>
              <w:noProof/>
              <w:lang w:val="it-IT" w:eastAsia="it-IT" w:bidi="ar-SA"/>
            </w:rPr>
            <w:drawing>
              <wp:anchor distT="0" distB="0" distL="114300" distR="114300" simplePos="0" relativeHeight="251659264" behindDoc="0" locked="0" layoutInCell="1" allowOverlap="1" wp14:anchorId="2A148BC9" wp14:editId="71437A67">
                <wp:simplePos x="0" y="0"/>
                <wp:positionH relativeFrom="column">
                  <wp:posOffset>-374760</wp:posOffset>
                </wp:positionH>
                <wp:positionV relativeFrom="paragraph">
                  <wp:posOffset>-108000</wp:posOffset>
                </wp:positionV>
                <wp:extent cx="1214280" cy="1214280"/>
                <wp:effectExtent l="0" t="0" r="4920" b="4920"/>
                <wp:wrapSquare wrapText="bothSides"/>
                <wp:docPr id="1"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214280" cy="1214280"/>
                        </a:xfrm>
                        <a:prstGeom prst="rect">
                          <a:avLst/>
                        </a:prstGeom>
                      </pic:spPr>
                    </pic:pic>
                  </a:graphicData>
                </a:graphic>
              </wp:anchor>
            </w:drawing>
          </w:r>
        </w:p>
      </w:tc>
      <w:tc>
        <w:tcPr>
          <w:tcW w:w="8538" w:type="dxa"/>
          <w:shd w:val="clear" w:color="auto" w:fill="FFFFFF"/>
          <w:tcMar>
            <w:top w:w="0" w:type="dxa"/>
            <w:left w:w="70" w:type="dxa"/>
            <w:bottom w:w="0" w:type="dxa"/>
            <w:right w:w="70" w:type="dxa"/>
          </w:tcMar>
        </w:tcPr>
        <w:p w14:paraId="1CC955FC" w14:textId="77777777" w:rsidR="000A074F" w:rsidRDefault="00AD6B77">
          <w:pPr>
            <w:pStyle w:val="Intestazione"/>
            <w:snapToGrid w:val="0"/>
            <w:spacing w:before="40" w:after="120"/>
            <w:rPr>
              <w:rFonts w:ascii="Garamond" w:hAnsi="Garamond"/>
              <w:spacing w:val="24"/>
              <w:sz w:val="56"/>
            </w:rPr>
          </w:pPr>
          <w:r>
            <w:rPr>
              <w:rFonts w:ascii="Garamond" w:hAnsi="Garamond"/>
              <w:spacing w:val="24"/>
              <w:sz w:val="56"/>
            </w:rPr>
            <w:t>Centre Europe - Tiers Monde</w:t>
          </w:r>
        </w:p>
        <w:p w14:paraId="72F4711F" w14:textId="77777777" w:rsidR="000A074F" w:rsidRDefault="00AD6B77">
          <w:pPr>
            <w:pStyle w:val="Intestazione"/>
            <w:spacing w:before="227"/>
            <w:rPr>
              <w:rFonts w:ascii="Calibri" w:hAnsi="Calibri"/>
              <w:sz w:val="22"/>
            </w:rPr>
          </w:pPr>
          <w:r>
            <w:rPr>
              <w:rFonts w:ascii="Calibri" w:hAnsi="Calibri"/>
              <w:sz w:val="22"/>
            </w:rPr>
            <w:t xml:space="preserve">Centre de recherches et de publications sur les relations entre le Tiers Monde et l'Europe   </w:t>
          </w:r>
        </w:p>
      </w:tc>
    </w:tr>
  </w:tbl>
  <w:p w14:paraId="1548A909" w14:textId="77777777" w:rsidR="000A074F" w:rsidRDefault="00232FAE">
    <w:pPr>
      <w:pStyle w:val="Intestazione"/>
      <w:rPr>
        <w:rFonts w:hint="eastAsia"/>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EE2DAE"/>
    <w:multiLevelType w:val="multilevel"/>
    <w:tmpl w:val="4EA45FF0"/>
    <w:styleLink w:val="WWNum2"/>
    <w:lvl w:ilvl="0">
      <w:numFmt w:val="bullet"/>
      <w:lvlText w:val="-"/>
      <w:lvlJc w:val="left"/>
      <w:pPr>
        <w:ind w:left="360" w:firstLine="0"/>
      </w:pPr>
      <w:rPr>
        <w:rFonts w:cs="Times New Roman"/>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71FC25A9"/>
    <w:multiLevelType w:val="multilevel"/>
    <w:tmpl w:val="0ECACAC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9"/>
  <w:autoHyphenation/>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702"/>
    <w:rsid w:val="00232FAE"/>
    <w:rsid w:val="00320C8F"/>
    <w:rsid w:val="00566702"/>
    <w:rsid w:val="008F7A5E"/>
    <w:rsid w:val="00AD6B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1C924E3"/>
  <w15:docId w15:val="{909C5671-BC93-434F-B34D-16C485A29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paragraph" w:styleId="Titolo2">
    <w:name w:val="heading 2"/>
    <w:basedOn w:val="Heading"/>
    <w:next w:val="Textbody"/>
    <w:uiPriority w:val="9"/>
    <w:semiHidden/>
    <w:unhideWhenUsed/>
    <w:qFormat/>
    <w:pPr>
      <w:spacing w:before="200"/>
      <w:outlineLvl w:val="1"/>
    </w:pPr>
    <w:rPr>
      <w:rFonts w:ascii="Liberation Serif" w:eastAsia="SimSun" w:hAnsi="Liberation Serif"/>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tabs>
        <w:tab w:val="center" w:pos="4819"/>
        <w:tab w:val="right" w:pos="9071"/>
      </w:tabs>
    </w:pPr>
  </w:style>
  <w:style w:type="paragraph" w:styleId="Pidipagina">
    <w:name w:val="footer"/>
    <w:basedOn w:val="Standard"/>
    <w:pPr>
      <w:tabs>
        <w:tab w:val="center" w:pos="4819"/>
        <w:tab w:val="right" w:pos="9071"/>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Standard"/>
    <w:rPr>
      <w:rFonts w:ascii="Liberation Mono" w:hAnsi="Liberation Mono" w:cs="Liberation Mono"/>
      <w:sz w:val="20"/>
      <w:szCs w:val="20"/>
    </w:rPr>
  </w:style>
  <w:style w:type="paragraph" w:customStyle="1" w:styleId="Corpsdetexte2">
    <w:name w:val="Corps de texte 2"/>
    <w:basedOn w:val="Standard"/>
    <w:pPr>
      <w:jc w:val="both"/>
    </w:pPr>
    <w:rPr>
      <w:sz w:val="22"/>
      <w:szCs w:val="20"/>
    </w:r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ListLabel73">
    <w:name w:val="ListLabel 73"/>
    <w:rPr>
      <w:rFonts w:cs="Times New Roman"/>
      <w:sz w:val="24"/>
    </w:rPr>
  </w:style>
  <w:style w:type="character" w:customStyle="1" w:styleId="ListLabel1">
    <w:name w:val="ListLabel 1"/>
    <w:rPr>
      <w:rFonts w:ascii="Times New Roman" w:eastAsia="Times New Roman" w:hAnsi="Times New Roman" w:cs="Times New Roman"/>
      <w:sz w:val="22"/>
      <w:szCs w:val="22"/>
    </w:rPr>
  </w:style>
  <w:style w:type="character" w:customStyle="1" w:styleId="systrantokenpunctuation">
    <w:name w:val="systran_token_punctuation"/>
    <w:basedOn w:val="Policepardfaut1"/>
  </w:style>
  <w:style w:type="character" w:customStyle="1" w:styleId="Policepardfaut1">
    <w:name w:val="Police par défaut1"/>
  </w:style>
  <w:style w:type="character" w:customStyle="1" w:styleId="Policepardfaut">
    <w:name w:val="Police par défaut"/>
  </w:style>
  <w:style w:type="numbering" w:customStyle="1" w:styleId="WWNum2">
    <w:name w:val="WWNum2"/>
    <w:basedOn w:val="Nessunelenco"/>
    <w:pPr>
      <w:numPr>
        <w:numId w:val="1"/>
      </w:numPr>
    </w:pPr>
  </w:style>
  <w:style w:type="numbering" w:customStyle="1" w:styleId="NoList1">
    <w:name w:val="No List_1"/>
    <w:basedOn w:val="Nessunelenco"/>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cetim.ch/" TargetMode="External"/><Relationship Id="rId12" Type="http://schemas.openxmlformats.org/officeDocument/2006/relationships/customXml" Target="../customXml/item1.xml"/><Relationship Id="rId2"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1" Type="http://schemas.openxmlformats.org/officeDocument/2006/relationships/numbering" Target="numbering.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FAB8339-0A48-44A5-9E3A-B48468427C3E}"/>
</file>

<file path=customXml/itemProps2.xml><?xml version="1.0" encoding="utf-8"?>
<ds:datastoreItem xmlns:ds="http://schemas.openxmlformats.org/officeDocument/2006/customXml" ds:itemID="{B51B9280-865F-4552-9485-844AC4BAB3E4}"/>
</file>

<file path=customXml/itemProps3.xml><?xml version="1.0" encoding="utf-8"?>
<ds:datastoreItem xmlns:ds="http://schemas.openxmlformats.org/officeDocument/2006/customXml" ds:itemID="{4BE08436-C226-4726-BC43-69854878190F}"/>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2368</Characters>
  <Application>Microsoft Macintosh Word</Application>
  <DocSecurity>0</DocSecurity>
  <Lines>19</Lines>
  <Paragraphs>5</Paragraphs>
  <ScaleCrop>false</ScaleCrop>
  <Company/>
  <LinksUpToDate>false</LinksUpToDate>
  <CharactersWithSpaces>2778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Raffaele Morgantini</cp:lastModifiedBy>
  <cp:revision>2</cp:revision>
  <cp:lastPrinted>2019-06-13T09:25:00Z</cp:lastPrinted>
  <dcterms:created xsi:type="dcterms:W3CDTF">2019-10-17T14:58:00Z</dcterms:created>
  <dcterms:modified xsi:type="dcterms:W3CDTF">2019-10-17T14:58:00Z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5333700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