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6C4" w:rsidRDefault="006446C4" w:rsidP="006446C4">
      <w:pPr>
        <w:ind w:left="284" w:right="283"/>
        <w:jc w:val="center"/>
        <w:rPr>
          <w:rFonts w:ascii="Times New Roman" w:hAnsi="Times New Roman" w:cs="Times New Roman"/>
          <w:b/>
          <w:lang w:val="en-US"/>
        </w:rPr>
      </w:pPr>
      <w:r>
        <w:rPr>
          <w:rFonts w:ascii="Times New Roman" w:hAnsi="Times New Roman" w:cs="Times New Roman"/>
          <w:b/>
          <w:lang w:val="en-US"/>
        </w:rPr>
        <w:t>Oral statement</w:t>
      </w:r>
    </w:p>
    <w:p w:rsidR="006446C4" w:rsidRDefault="006446C4" w:rsidP="006446C4">
      <w:pPr>
        <w:ind w:left="284" w:right="283"/>
        <w:jc w:val="center"/>
        <w:rPr>
          <w:rFonts w:ascii="Times New Roman" w:hAnsi="Times New Roman" w:cs="Times New Roman"/>
          <w:b/>
          <w:lang w:val="en-US"/>
        </w:rPr>
      </w:pPr>
    </w:p>
    <w:p w:rsidR="006446C4" w:rsidRDefault="006446C4" w:rsidP="006446C4">
      <w:pPr>
        <w:ind w:left="284" w:right="283"/>
        <w:jc w:val="both"/>
        <w:rPr>
          <w:rFonts w:ascii="Times New Roman" w:hAnsi="Times New Roman" w:cs="Times New Roman"/>
          <w:b/>
          <w:lang w:val="en-US"/>
        </w:rPr>
      </w:pPr>
      <w:r>
        <w:rPr>
          <w:rFonts w:ascii="Times New Roman" w:hAnsi="Times New Roman" w:cs="Times New Roman"/>
          <w:b/>
          <w:lang w:val="en-US"/>
        </w:rPr>
        <w:t>Fifth session of the Open-ended intergovernmental working group on transnational corporations and other business enterprises with respect to human rights (OEIGWG)</w:t>
      </w:r>
    </w:p>
    <w:p w:rsidR="006446C4" w:rsidRDefault="006446C4" w:rsidP="006446C4">
      <w:pPr>
        <w:ind w:left="284" w:right="283"/>
        <w:jc w:val="right"/>
        <w:rPr>
          <w:rFonts w:ascii="Times New Roman" w:hAnsi="Times New Roman" w:cs="Times New Roman"/>
          <w:i/>
          <w:lang w:val="en-US"/>
        </w:rPr>
      </w:pPr>
    </w:p>
    <w:p w:rsidR="006446C4" w:rsidRDefault="006446C4" w:rsidP="006446C4">
      <w:pPr>
        <w:ind w:left="284" w:right="283"/>
        <w:jc w:val="right"/>
        <w:rPr>
          <w:rFonts w:ascii="Times New Roman" w:hAnsi="Times New Roman" w:cs="Times New Roman"/>
          <w:lang w:val="en-US"/>
        </w:rPr>
      </w:pPr>
      <w:r>
        <w:rPr>
          <w:rFonts w:ascii="Times New Roman" w:hAnsi="Times New Roman" w:cs="Times New Roman"/>
          <w:i/>
          <w:lang w:val="en-US"/>
        </w:rPr>
        <w:t xml:space="preserve">Delivered by </w:t>
      </w:r>
      <w:proofErr w:type="spellStart"/>
      <w:r>
        <w:rPr>
          <w:rFonts w:ascii="Times New Roman" w:hAnsi="Times New Roman" w:cs="Times New Roman"/>
          <w:i/>
          <w:lang w:val="en-US"/>
        </w:rPr>
        <w:t>Sacha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Feierabend</w:t>
      </w:r>
      <w:proofErr w:type="spellEnd"/>
      <w:r>
        <w:rPr>
          <w:rFonts w:ascii="Times New Roman" w:hAnsi="Times New Roman" w:cs="Times New Roman"/>
          <w:i/>
          <w:lang w:val="en-US"/>
        </w:rPr>
        <w:br/>
        <w:t>Check against delivery</w:t>
      </w:r>
      <w:r>
        <w:rPr>
          <w:rFonts w:ascii="Times New Roman" w:hAnsi="Times New Roman" w:cs="Times New Roman"/>
          <w:lang w:val="en-US"/>
        </w:rPr>
        <w:t xml:space="preserve"> </w:t>
      </w:r>
    </w:p>
    <w:p w:rsidR="006446C4" w:rsidRDefault="006446C4" w:rsidP="006446C4">
      <w:pPr>
        <w:tabs>
          <w:tab w:val="left" w:pos="8017"/>
        </w:tabs>
        <w:ind w:left="284" w:right="283"/>
        <w:jc w:val="both"/>
        <w:rPr>
          <w:rFonts w:ascii="Times New Roman" w:hAnsi="Times New Roman" w:cs="Times New Roman"/>
          <w:lang w:val="en-US"/>
        </w:rPr>
      </w:pPr>
    </w:p>
    <w:p w:rsidR="006446C4" w:rsidRDefault="006446C4" w:rsidP="006446C4">
      <w:pPr>
        <w:tabs>
          <w:tab w:val="left" w:pos="8017"/>
        </w:tabs>
        <w:ind w:left="284" w:right="283"/>
        <w:jc w:val="both"/>
        <w:rPr>
          <w:rFonts w:ascii="Times New Roman" w:hAnsi="Times New Roman" w:cs="Times New Roman"/>
          <w:lang w:val="en-US"/>
        </w:rPr>
      </w:pPr>
      <w:r>
        <w:rPr>
          <w:rFonts w:ascii="Times New Roman" w:hAnsi="Times New Roman" w:cs="Times New Roman"/>
          <w:lang w:val="en-US"/>
        </w:rPr>
        <w:t xml:space="preserve">Fifth session - OEIGWG: Item 4, Plenary Discussion – Article 6. Liability </w:t>
      </w:r>
      <w:r>
        <w:rPr>
          <w:rFonts w:ascii="Times New Roman" w:hAnsi="Times New Roman" w:cs="Times New Roman"/>
          <w:lang w:val="en-US"/>
        </w:rPr>
        <w:tab/>
      </w:r>
    </w:p>
    <w:p w:rsidR="006446C4" w:rsidRDefault="006446C4" w:rsidP="006446C4">
      <w:pPr>
        <w:ind w:left="284" w:right="283"/>
        <w:jc w:val="both"/>
        <w:rPr>
          <w:rFonts w:ascii="Times New Roman" w:hAnsi="Times New Roman" w:cs="Times New Roman"/>
          <w:lang w:val="en-US"/>
        </w:rPr>
      </w:pPr>
      <w:r>
        <w:rPr>
          <w:rFonts w:ascii="Times New Roman" w:hAnsi="Times New Roman" w:cs="Times New Roman"/>
          <w:lang w:val="en-US"/>
        </w:rPr>
        <w:t>Wednesday 16 October 2019</w:t>
      </w:r>
    </w:p>
    <w:p w:rsidR="005F27A8" w:rsidRDefault="005F27A8">
      <w:pPr>
        <w:pStyle w:val="Standard"/>
        <w:jc w:val="both"/>
        <w:rPr>
          <w:rFonts w:ascii="Roboto" w:hAnsi="Roboto"/>
          <w:sz w:val="22"/>
          <w:szCs w:val="22"/>
          <w:lang w:val="en-US"/>
        </w:rPr>
      </w:pPr>
    </w:p>
    <w:p w:rsidR="005F27A8" w:rsidRPr="006446C4" w:rsidRDefault="005F27A8">
      <w:pPr>
        <w:pStyle w:val="Standard"/>
        <w:jc w:val="both"/>
        <w:rPr>
          <w:lang w:val="en-US"/>
        </w:rPr>
      </w:pPr>
    </w:p>
    <w:p w:rsidR="005F27A8" w:rsidRDefault="00AE1A58">
      <w:pPr>
        <w:pStyle w:val="Standard"/>
        <w:spacing w:line="276" w:lineRule="auto"/>
        <w:jc w:val="both"/>
        <w:rPr>
          <w:lang w:val="en-US"/>
        </w:rPr>
      </w:pPr>
      <w:r>
        <w:rPr>
          <w:rFonts w:ascii="Roboto" w:hAnsi="Roboto"/>
          <w:sz w:val="22"/>
          <w:szCs w:val="22"/>
          <w:lang w:val="en-US"/>
        </w:rPr>
        <w:t xml:space="preserve">Thank you Mr. Chairperson </w:t>
      </w:r>
      <w:proofErr w:type="spellStart"/>
      <w:r>
        <w:rPr>
          <w:rFonts w:ascii="Roboto" w:hAnsi="Roboto"/>
          <w:sz w:val="22"/>
          <w:szCs w:val="22"/>
          <w:lang w:val="en-US"/>
        </w:rPr>
        <w:t>Rapporteur</w:t>
      </w:r>
      <w:proofErr w:type="spellEnd"/>
      <w:r>
        <w:rPr>
          <w:rFonts w:ascii="Roboto" w:hAnsi="Roboto"/>
          <w:sz w:val="22"/>
          <w:szCs w:val="22"/>
          <w:lang w:val="en-US"/>
        </w:rPr>
        <w:t>,</w:t>
      </w:r>
    </w:p>
    <w:p w:rsidR="005F27A8" w:rsidRDefault="005F27A8">
      <w:pPr>
        <w:pStyle w:val="Standard"/>
        <w:spacing w:line="276" w:lineRule="auto"/>
        <w:jc w:val="both"/>
        <w:rPr>
          <w:lang w:val="en-US"/>
        </w:rPr>
      </w:pPr>
    </w:p>
    <w:p w:rsidR="005F27A8" w:rsidRDefault="00AE1A58">
      <w:pPr>
        <w:pStyle w:val="Standard"/>
        <w:spacing w:line="276" w:lineRule="auto"/>
        <w:jc w:val="both"/>
        <w:rPr>
          <w:lang w:val="en-US"/>
        </w:rPr>
      </w:pPr>
      <w:r>
        <w:rPr>
          <w:rFonts w:ascii="Roboto" w:hAnsi="Roboto"/>
          <w:sz w:val="22"/>
          <w:szCs w:val="22"/>
          <w:lang w:val="en-US"/>
        </w:rPr>
        <w:t>I deliver this statement on behalf of F</w:t>
      </w:r>
      <w:r w:rsidR="006446C4">
        <w:rPr>
          <w:rFonts w:ascii="Roboto" w:hAnsi="Roboto"/>
          <w:sz w:val="22"/>
          <w:szCs w:val="22"/>
          <w:lang w:val="en-US"/>
        </w:rPr>
        <w:t xml:space="preserve">IDH, Franciscans International and </w:t>
      </w:r>
      <w:r>
        <w:rPr>
          <w:rFonts w:ascii="Roboto" w:hAnsi="Roboto"/>
          <w:sz w:val="22"/>
          <w:szCs w:val="22"/>
          <w:lang w:val="en-US"/>
        </w:rPr>
        <w:t>SOMO</w:t>
      </w:r>
    </w:p>
    <w:p w:rsidR="005F27A8" w:rsidRDefault="005F27A8">
      <w:pPr>
        <w:pStyle w:val="Standard"/>
        <w:spacing w:line="276" w:lineRule="auto"/>
        <w:jc w:val="both"/>
        <w:rPr>
          <w:lang w:val="en-US"/>
        </w:rPr>
      </w:pPr>
    </w:p>
    <w:p w:rsidR="005F27A8" w:rsidRDefault="00AE1A58">
      <w:pPr>
        <w:pStyle w:val="Standard"/>
        <w:spacing w:line="276" w:lineRule="auto"/>
        <w:jc w:val="both"/>
        <w:rPr>
          <w:lang w:val="en-US"/>
        </w:rPr>
      </w:pPr>
      <w:r>
        <w:rPr>
          <w:rFonts w:ascii="Roboto" w:hAnsi="Roboto"/>
          <w:sz w:val="22"/>
          <w:szCs w:val="22"/>
          <w:lang w:val="en-US"/>
        </w:rPr>
        <w:t xml:space="preserve">In order to represent a meaningful response to existing challenges related to corporate accountability, the present article should </w:t>
      </w:r>
      <w:r>
        <w:rPr>
          <w:rFonts w:ascii="Roboto" w:hAnsi="Roboto"/>
          <w:sz w:val="22"/>
          <w:szCs w:val="22"/>
          <w:lang w:val="en-US"/>
        </w:rPr>
        <w:t>require states to establish a clear duty of care on business enterprises, particularly those with transnational character, over human rights abuses that take place in their global value chain. In this respect, we suggest the following points to be consider</w:t>
      </w:r>
      <w:r>
        <w:rPr>
          <w:rFonts w:ascii="Roboto" w:hAnsi="Roboto"/>
          <w:sz w:val="22"/>
          <w:szCs w:val="22"/>
          <w:lang w:val="en-US"/>
        </w:rPr>
        <w:t>ed:</w:t>
      </w:r>
    </w:p>
    <w:p w:rsidR="005F27A8" w:rsidRDefault="00AE1A58">
      <w:pPr>
        <w:pStyle w:val="Standard"/>
        <w:numPr>
          <w:ilvl w:val="0"/>
          <w:numId w:val="2"/>
        </w:numPr>
        <w:spacing w:before="285" w:after="285" w:line="276" w:lineRule="auto"/>
        <w:jc w:val="both"/>
        <w:rPr>
          <w:lang w:val="en-US"/>
        </w:rPr>
      </w:pPr>
      <w:r>
        <w:rPr>
          <w:rFonts w:ascii="Roboto" w:hAnsi="Roboto"/>
          <w:sz w:val="22"/>
          <w:szCs w:val="22"/>
          <w:u w:val="single"/>
          <w:lang w:val="en-US"/>
        </w:rPr>
        <w:t xml:space="preserve">First, article 6 </w:t>
      </w:r>
      <w:proofErr w:type="spellStart"/>
      <w:r>
        <w:rPr>
          <w:rFonts w:ascii="Roboto" w:hAnsi="Roboto"/>
          <w:sz w:val="22"/>
          <w:szCs w:val="22"/>
          <w:u w:val="single"/>
          <w:lang w:val="en-US"/>
        </w:rPr>
        <w:t>para</w:t>
      </w:r>
      <w:proofErr w:type="spellEnd"/>
      <w:r>
        <w:rPr>
          <w:rFonts w:ascii="Roboto" w:hAnsi="Roboto"/>
          <w:sz w:val="22"/>
          <w:szCs w:val="22"/>
          <w:u w:val="single"/>
          <w:lang w:val="en-US"/>
        </w:rPr>
        <w:t xml:space="preserve"> 2.</w:t>
      </w:r>
      <w:r>
        <w:rPr>
          <w:rFonts w:ascii="Roboto" w:hAnsi="Roboto"/>
          <w:sz w:val="22"/>
          <w:szCs w:val="22"/>
          <w:lang w:val="en-US"/>
        </w:rPr>
        <w:t xml:space="preserve"> states that "liability of legal persons shall be without prejudice to the liability of natural persons". However, it falls short of clarifying when one type of liability or the other should be engaged. This point must be clarif</w:t>
      </w:r>
      <w:r>
        <w:rPr>
          <w:rFonts w:ascii="Roboto" w:hAnsi="Roboto"/>
          <w:sz w:val="22"/>
          <w:szCs w:val="22"/>
          <w:lang w:val="en-US"/>
        </w:rPr>
        <w:t>ied.</w:t>
      </w:r>
    </w:p>
    <w:p w:rsidR="005F27A8" w:rsidRPr="006446C4" w:rsidRDefault="00AE1A58">
      <w:pPr>
        <w:pStyle w:val="Standard"/>
        <w:numPr>
          <w:ilvl w:val="0"/>
          <w:numId w:val="1"/>
        </w:numPr>
        <w:spacing w:before="285" w:after="285" w:line="276" w:lineRule="auto"/>
        <w:jc w:val="both"/>
        <w:rPr>
          <w:lang w:val="en-US"/>
        </w:rPr>
      </w:pPr>
      <w:r>
        <w:rPr>
          <w:rFonts w:ascii="Roboto" w:hAnsi="Roboto"/>
          <w:sz w:val="22"/>
          <w:szCs w:val="22"/>
          <w:u w:val="single"/>
          <w:lang w:val="en-US"/>
        </w:rPr>
        <w:t xml:space="preserve">Second, </w:t>
      </w:r>
      <w:r>
        <w:rPr>
          <w:rFonts w:ascii="Roboto" w:hAnsi="Roboto"/>
          <w:sz w:val="22"/>
          <w:szCs w:val="22"/>
          <w:lang w:val="en-GB"/>
        </w:rPr>
        <w:t xml:space="preserve">The difficulty for victims to prove elements like effective control or </w:t>
      </w:r>
      <w:proofErr w:type="spellStart"/>
      <w:r>
        <w:rPr>
          <w:rFonts w:ascii="Roboto" w:hAnsi="Roboto"/>
          <w:sz w:val="22"/>
          <w:szCs w:val="22"/>
          <w:lang w:val="en-GB"/>
        </w:rPr>
        <w:t>foreseeability</w:t>
      </w:r>
      <w:proofErr w:type="spellEnd"/>
      <w:r>
        <w:rPr>
          <w:rFonts w:ascii="Roboto" w:hAnsi="Roboto"/>
          <w:sz w:val="22"/>
          <w:szCs w:val="22"/>
          <w:lang w:val="en-GB"/>
        </w:rPr>
        <w:t xml:space="preserve"> on the part of the parent company is one of the most recurring barriers in access to justice in cases of business-related human rights abuses. The instrument</w:t>
      </w:r>
      <w:r>
        <w:rPr>
          <w:rFonts w:ascii="Roboto" w:hAnsi="Roboto"/>
          <w:sz w:val="22"/>
          <w:szCs w:val="22"/>
          <w:lang w:val="en-GB"/>
        </w:rPr>
        <w:t xml:space="preserve"> tries to face these difficulties, by allowing better access to information for victims and the possibility of reversal of the burden of proof.</w:t>
      </w:r>
    </w:p>
    <w:p w:rsidR="005F27A8" w:rsidRDefault="00AE1A58">
      <w:pPr>
        <w:pStyle w:val="Standard"/>
        <w:spacing w:before="285" w:after="285" w:line="276" w:lineRule="auto"/>
        <w:jc w:val="both"/>
        <w:rPr>
          <w:lang w:val="en-US"/>
        </w:rPr>
      </w:pPr>
      <w:r>
        <w:rPr>
          <w:rFonts w:ascii="Roboto" w:hAnsi="Roboto"/>
          <w:sz w:val="22"/>
          <w:szCs w:val="22"/>
          <w:lang w:val="en-GB"/>
        </w:rPr>
        <w:t xml:space="preserve">However, we insist that </w:t>
      </w:r>
      <w:r>
        <w:rPr>
          <w:rFonts w:ascii="Roboto" w:hAnsi="Roboto"/>
          <w:sz w:val="22"/>
          <w:szCs w:val="22"/>
          <w:u w:val="single"/>
          <w:lang w:val="en-GB"/>
        </w:rPr>
        <w:t xml:space="preserve">Article 6 </w:t>
      </w:r>
      <w:proofErr w:type="spellStart"/>
      <w:r>
        <w:rPr>
          <w:rFonts w:ascii="Roboto" w:hAnsi="Roboto"/>
          <w:sz w:val="22"/>
          <w:szCs w:val="22"/>
          <w:u w:val="single"/>
          <w:lang w:val="en-GB"/>
        </w:rPr>
        <w:t>para</w:t>
      </w:r>
      <w:proofErr w:type="spellEnd"/>
      <w:r>
        <w:rPr>
          <w:rFonts w:ascii="Roboto" w:hAnsi="Roboto"/>
          <w:sz w:val="22"/>
          <w:szCs w:val="22"/>
          <w:u w:val="single"/>
          <w:lang w:val="en-GB"/>
        </w:rPr>
        <w:t xml:space="preserve"> 6</w:t>
      </w:r>
      <w:r>
        <w:rPr>
          <w:rFonts w:ascii="Roboto" w:hAnsi="Roboto"/>
          <w:sz w:val="22"/>
          <w:szCs w:val="22"/>
          <w:lang w:val="en-GB"/>
        </w:rPr>
        <w:t xml:space="preserve"> won't be easy to apply </w:t>
      </w:r>
      <w:r>
        <w:rPr>
          <w:rFonts w:ascii="Roboto" w:hAnsi="Roboto"/>
          <w:i/>
          <w:sz w:val="22"/>
          <w:szCs w:val="22"/>
          <w:lang w:val="en-GB"/>
        </w:rPr>
        <w:t>if the victim is required to prove effective con</w:t>
      </w:r>
      <w:r>
        <w:rPr>
          <w:rFonts w:ascii="Roboto" w:hAnsi="Roboto"/>
          <w:i/>
          <w:sz w:val="22"/>
          <w:szCs w:val="22"/>
          <w:lang w:val="en-GB"/>
        </w:rPr>
        <w:t xml:space="preserve">trol or supervision of the parent company over the </w:t>
      </w:r>
      <w:r>
        <w:rPr>
          <w:rFonts w:ascii="Roboto" w:hAnsi="Roboto"/>
          <w:i/>
          <w:sz w:val="22"/>
          <w:szCs w:val="22"/>
          <w:u w:val="single"/>
          <w:lang w:val="en-GB"/>
        </w:rPr>
        <w:t>activities of its subsidiary of affiliate</w:t>
      </w:r>
      <w:r>
        <w:rPr>
          <w:rFonts w:ascii="Roboto" w:hAnsi="Roboto"/>
          <w:sz w:val="22"/>
          <w:szCs w:val="22"/>
          <w:lang w:val="en-GB"/>
        </w:rPr>
        <w:t xml:space="preserve">. Conversely, it will be quite convenient for the company at the top of the chain to claim that it does not have control or supervision over these </w:t>
      </w:r>
      <w:r>
        <w:rPr>
          <w:rFonts w:ascii="Roboto" w:hAnsi="Roboto"/>
          <w:sz w:val="22"/>
          <w:szCs w:val="22"/>
          <w:u w:val="single"/>
          <w:lang w:val="en-GB"/>
        </w:rPr>
        <w:t>activities</w:t>
      </w:r>
      <w:r>
        <w:rPr>
          <w:rFonts w:ascii="Roboto" w:hAnsi="Roboto"/>
          <w:sz w:val="22"/>
          <w:szCs w:val="22"/>
          <w:lang w:val="en-GB"/>
        </w:rPr>
        <w:t>.</w:t>
      </w:r>
    </w:p>
    <w:p w:rsidR="005F27A8" w:rsidRPr="006446C4" w:rsidRDefault="00AE1A58">
      <w:pPr>
        <w:pStyle w:val="Standard"/>
        <w:spacing w:before="285" w:after="285" w:line="276" w:lineRule="auto"/>
        <w:jc w:val="both"/>
        <w:rPr>
          <w:lang w:val="en-US"/>
        </w:rPr>
      </w:pPr>
      <w:r>
        <w:rPr>
          <w:rFonts w:ascii="Roboto" w:hAnsi="Roboto"/>
          <w:sz w:val="22"/>
          <w:szCs w:val="22"/>
          <w:lang w:val="en-US"/>
        </w:rPr>
        <w:t>In or</w:t>
      </w:r>
      <w:r>
        <w:rPr>
          <w:rFonts w:ascii="Roboto" w:hAnsi="Roboto"/>
          <w:sz w:val="22"/>
          <w:szCs w:val="22"/>
          <w:lang w:val="en-US"/>
        </w:rPr>
        <w:t>der t</w:t>
      </w:r>
      <w:r>
        <w:rPr>
          <w:rFonts w:ascii="Roboto" w:hAnsi="Roboto"/>
          <w:sz w:val="22"/>
          <w:szCs w:val="22"/>
          <w:lang w:val="en-GB"/>
        </w:rPr>
        <w:t xml:space="preserve">o </w:t>
      </w:r>
      <w:r>
        <w:rPr>
          <w:rFonts w:ascii="Roboto" w:hAnsi="Roboto"/>
          <w:i/>
          <w:sz w:val="22"/>
          <w:szCs w:val="22"/>
          <w:lang w:val="en-GB"/>
        </w:rPr>
        <w:t>effectively</w:t>
      </w:r>
      <w:r>
        <w:rPr>
          <w:rFonts w:ascii="Roboto" w:hAnsi="Roboto"/>
          <w:sz w:val="22"/>
          <w:szCs w:val="22"/>
          <w:lang w:val="en-GB"/>
        </w:rPr>
        <w:t xml:space="preserve"> close the remaining loopholes, we suggest to include</w:t>
      </w:r>
      <w:r>
        <w:rPr>
          <w:rFonts w:ascii="Roboto" w:hAnsi="Roboto"/>
          <w:sz w:val="22"/>
          <w:szCs w:val="22"/>
          <w:lang w:val="en-GB"/>
        </w:rPr>
        <w:t xml:space="preserve"> a rebuttable presumption of effective control when there is dominant influence of a company or other forms of so called ‘negative control’ such as power to veto. Such presumptions alre</w:t>
      </w:r>
      <w:r>
        <w:rPr>
          <w:rFonts w:ascii="Roboto" w:hAnsi="Roboto"/>
          <w:sz w:val="22"/>
          <w:szCs w:val="22"/>
          <w:lang w:val="en-GB"/>
        </w:rPr>
        <w:t>ady exists in certain legal systems.  For ex: European competition law and trust law</w:t>
      </w:r>
      <w:r>
        <w:rPr>
          <w:rFonts w:ascii="Roboto" w:hAnsi="Roboto"/>
          <w:sz w:val="22"/>
          <w:szCs w:val="22"/>
          <w:lang w:val="en-GB"/>
        </w:rPr>
        <w:t>.</w:t>
      </w:r>
    </w:p>
    <w:p w:rsidR="005F27A8" w:rsidRDefault="00AE1A58">
      <w:pPr>
        <w:pStyle w:val="Standard"/>
        <w:numPr>
          <w:ilvl w:val="0"/>
          <w:numId w:val="1"/>
        </w:numPr>
        <w:spacing w:before="285" w:after="285" w:line="276" w:lineRule="auto"/>
        <w:jc w:val="both"/>
        <w:rPr>
          <w:lang w:val="en-US"/>
        </w:rPr>
      </w:pPr>
      <w:r>
        <w:rPr>
          <w:rFonts w:ascii="Roboto" w:hAnsi="Roboto"/>
          <w:sz w:val="22"/>
          <w:szCs w:val="22"/>
          <w:lang w:val="en-GB"/>
        </w:rPr>
        <w:t xml:space="preserve">Third, </w:t>
      </w:r>
      <w:r>
        <w:rPr>
          <w:rFonts w:ascii="Roboto" w:hAnsi="Roboto"/>
          <w:sz w:val="22"/>
          <w:szCs w:val="22"/>
          <w:u w:val="single"/>
          <w:lang w:val="en-GB"/>
        </w:rPr>
        <w:t>art. 6 paragraph 6</w:t>
      </w:r>
      <w:r>
        <w:rPr>
          <w:rFonts w:ascii="Roboto" w:hAnsi="Roboto"/>
          <w:sz w:val="22"/>
          <w:szCs w:val="22"/>
          <w:lang w:val="en-GB"/>
        </w:rPr>
        <w:t xml:space="preserve"> needs to effectively address the barriers to access to justice that are linked to the use of the ‘corporate veil’ doctrine. One of the ways to d</w:t>
      </w:r>
      <w:r>
        <w:rPr>
          <w:rFonts w:ascii="Roboto" w:hAnsi="Roboto"/>
          <w:sz w:val="22"/>
          <w:szCs w:val="22"/>
          <w:lang w:val="en-GB"/>
        </w:rPr>
        <w:t>o so, as has notably been put forward by General Comment 24 of the UN Committee on ESCR, would be to impose a duty of care on the parent company and thus create a parent-based extraterritorial regulation imposing a liability on the parent company for failu</w:t>
      </w:r>
      <w:r>
        <w:rPr>
          <w:rFonts w:ascii="Roboto" w:hAnsi="Roboto"/>
          <w:sz w:val="22"/>
          <w:szCs w:val="22"/>
          <w:lang w:val="en-GB"/>
        </w:rPr>
        <w:t>re to prevent human rights harms in its value chain.</w:t>
      </w:r>
    </w:p>
    <w:p w:rsidR="005F27A8" w:rsidRDefault="00AE1A58">
      <w:pPr>
        <w:pStyle w:val="Standard"/>
        <w:spacing w:before="285" w:after="285"/>
        <w:jc w:val="both"/>
      </w:pPr>
      <w:r>
        <w:rPr>
          <w:rFonts w:ascii="Roboto" w:hAnsi="Roboto"/>
          <w:bCs/>
          <w:sz w:val="22"/>
          <w:szCs w:val="22"/>
          <w:lang w:val="en-US"/>
        </w:rPr>
        <w:t>Thank you.</w:t>
      </w:r>
    </w:p>
    <w:sectPr w:rsidR="005F27A8" w:rsidSect="005F27A8">
      <w:pgSz w:w="11906" w:h="16838"/>
      <w:pgMar w:top="1134" w:right="1134" w:bottom="1134" w:left="113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auto"/>
    <w:pitch w:val="variable"/>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Roboto">
    <w:panose1 w:val="00000000000000000000"/>
    <w:charset w:val="00"/>
    <w:family w:val="auto"/>
    <w:pitch w:val="variable"/>
    <w:sig w:usb0="E00002EF" w:usb1="5000205B" w:usb2="0000002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1CA6"/>
    <w:multiLevelType w:val="multilevel"/>
    <w:tmpl w:val="D5163C16"/>
    <w:lvl w:ilvl="0">
      <w:start w:val="1"/>
      <w:numFmt w:val="bullet"/>
      <w:lvlText w:val=""/>
      <w:lvlJc w:val="left"/>
      <w:pPr>
        <w:ind w:left="0" w:firstLine="0"/>
      </w:pPr>
      <w:rPr>
        <w:rFonts w:ascii="Symbol" w:hAnsi="Symbol" w:cs="OpenSymbol" w:hint="default"/>
        <w:sz w:val="22"/>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Symbol" w:hAnsi="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1">
    <w:nsid w:val="352E7367"/>
    <w:multiLevelType w:val="multilevel"/>
    <w:tmpl w:val="0ECAB8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E318FC"/>
    <w:multiLevelType w:val="multilevel"/>
    <w:tmpl w:val="5282CD74"/>
    <w:lvl w:ilvl="0">
      <w:start w:val="1"/>
      <w:numFmt w:val="bullet"/>
      <w:lvlText w:val=""/>
      <w:lvlJc w:val="left"/>
      <w:pPr>
        <w:ind w:left="0" w:firstLine="0"/>
      </w:pPr>
      <w:rPr>
        <w:rFonts w:ascii="Symbol" w:hAnsi="Symbol" w:cs="OpenSymbol" w:hint="default"/>
        <w:sz w:val="22"/>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Symbol" w:hAnsi="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Symbol" w:hAnsi="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compat/>
  <w:rsids>
    <w:rsidRoot w:val="005F27A8"/>
    <w:rsid w:val="005F27A8"/>
    <w:rsid w:val="006446C4"/>
    <w:rsid w:val="00AE1A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Lohit Devanagari"/>
        <w:kern w:val="2"/>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59"/>
    <w:pPr>
      <w:suppressAutoHyphens/>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235">
    <w:name w:val="ListLabel 1235"/>
    <w:qFormat/>
    <w:rsid w:val="00544B59"/>
    <w:rPr>
      <w:rFonts w:ascii="Roboto" w:eastAsia="Roboto" w:hAnsi="Roboto" w:cs="OpenSymbol"/>
      <w:sz w:val="22"/>
    </w:rPr>
  </w:style>
  <w:style w:type="character" w:customStyle="1" w:styleId="ListLabel1236">
    <w:name w:val="ListLabel 1236"/>
    <w:qFormat/>
    <w:rsid w:val="00544B59"/>
    <w:rPr>
      <w:rFonts w:cs="OpenSymbol"/>
    </w:rPr>
  </w:style>
  <w:style w:type="character" w:customStyle="1" w:styleId="ListLabel1237">
    <w:name w:val="ListLabel 1237"/>
    <w:qFormat/>
    <w:rsid w:val="00544B59"/>
    <w:rPr>
      <w:rFonts w:cs="OpenSymbol"/>
    </w:rPr>
  </w:style>
  <w:style w:type="character" w:customStyle="1" w:styleId="ListLabel1238">
    <w:name w:val="ListLabel 1238"/>
    <w:qFormat/>
    <w:rsid w:val="00544B59"/>
    <w:rPr>
      <w:rFonts w:cs="OpenSymbol"/>
    </w:rPr>
  </w:style>
  <w:style w:type="character" w:customStyle="1" w:styleId="ListLabel1239">
    <w:name w:val="ListLabel 1239"/>
    <w:qFormat/>
    <w:rsid w:val="00544B59"/>
    <w:rPr>
      <w:rFonts w:cs="OpenSymbol"/>
    </w:rPr>
  </w:style>
  <w:style w:type="character" w:customStyle="1" w:styleId="ListLabel1240">
    <w:name w:val="ListLabel 1240"/>
    <w:qFormat/>
    <w:rsid w:val="00544B59"/>
    <w:rPr>
      <w:rFonts w:cs="OpenSymbol"/>
    </w:rPr>
  </w:style>
  <w:style w:type="character" w:customStyle="1" w:styleId="ListLabel1241">
    <w:name w:val="ListLabel 1241"/>
    <w:qFormat/>
    <w:rsid w:val="00544B59"/>
    <w:rPr>
      <w:rFonts w:cs="OpenSymbol"/>
    </w:rPr>
  </w:style>
  <w:style w:type="character" w:customStyle="1" w:styleId="ListLabel1242">
    <w:name w:val="ListLabel 1242"/>
    <w:qFormat/>
    <w:rsid w:val="00544B59"/>
    <w:rPr>
      <w:rFonts w:cs="OpenSymbol"/>
    </w:rPr>
  </w:style>
  <w:style w:type="character" w:customStyle="1" w:styleId="ListLabel1243">
    <w:name w:val="ListLabel 1243"/>
    <w:qFormat/>
    <w:rsid w:val="00544B59"/>
    <w:rPr>
      <w:rFonts w:cs="OpenSymbol"/>
    </w:rPr>
  </w:style>
  <w:style w:type="character" w:customStyle="1" w:styleId="Ancredenotedebasdepage">
    <w:name w:val="Ancre de note de bas de page"/>
    <w:rsid w:val="00544B59"/>
    <w:rPr>
      <w:vertAlign w:val="superscript"/>
    </w:rPr>
  </w:style>
  <w:style w:type="character" w:customStyle="1" w:styleId="Caractresdenotedebasdepage">
    <w:name w:val="Caractères de note de bas de page"/>
    <w:qFormat/>
    <w:rsid w:val="00544B59"/>
  </w:style>
  <w:style w:type="character" w:styleId="Marquedecommentaire">
    <w:name w:val="annotation reference"/>
    <w:basedOn w:val="Policepardfaut"/>
    <w:uiPriority w:val="99"/>
    <w:semiHidden/>
    <w:unhideWhenUsed/>
    <w:qFormat/>
    <w:rsid w:val="00F74743"/>
    <w:rPr>
      <w:sz w:val="16"/>
      <w:szCs w:val="16"/>
    </w:rPr>
  </w:style>
  <w:style w:type="character" w:customStyle="1" w:styleId="CommentaireCar">
    <w:name w:val="Commentaire Car"/>
    <w:basedOn w:val="Policepardfaut"/>
    <w:link w:val="Commentaire"/>
    <w:uiPriority w:val="99"/>
    <w:semiHidden/>
    <w:qFormat/>
    <w:rsid w:val="00F74743"/>
    <w:rPr>
      <w:rFonts w:cs="Mangal"/>
      <w:sz w:val="20"/>
      <w:szCs w:val="18"/>
    </w:rPr>
  </w:style>
  <w:style w:type="character" w:customStyle="1" w:styleId="ObjetducommentaireCar">
    <w:name w:val="Objet du commentaire Car"/>
    <w:basedOn w:val="CommentaireCar"/>
    <w:link w:val="Objetducommentaire"/>
    <w:uiPriority w:val="99"/>
    <w:semiHidden/>
    <w:qFormat/>
    <w:rsid w:val="00F74743"/>
    <w:rPr>
      <w:b/>
      <w:bCs/>
    </w:rPr>
  </w:style>
  <w:style w:type="character" w:customStyle="1" w:styleId="CommentReference">
    <w:name w:val="Comment Reference"/>
    <w:basedOn w:val="Policepardfaut"/>
    <w:qFormat/>
    <w:rsid w:val="00544B59"/>
    <w:rPr>
      <w:sz w:val="16"/>
      <w:szCs w:val="16"/>
    </w:rPr>
  </w:style>
  <w:style w:type="character" w:customStyle="1" w:styleId="CommentTextChar">
    <w:name w:val="Comment Text Char"/>
    <w:basedOn w:val="Policepardfaut"/>
    <w:qFormat/>
    <w:rsid w:val="00544B59"/>
    <w:rPr>
      <w:rFonts w:cs="Mangal"/>
      <w:sz w:val="20"/>
      <w:szCs w:val="18"/>
    </w:rPr>
  </w:style>
  <w:style w:type="character" w:customStyle="1" w:styleId="CommentSubjectChar">
    <w:name w:val="Comment Subject Char"/>
    <w:basedOn w:val="CommentTextChar"/>
    <w:qFormat/>
    <w:rsid w:val="00544B59"/>
    <w:rPr>
      <w:rFonts w:cs="Mangal"/>
      <w:b/>
      <w:bCs/>
      <w:sz w:val="20"/>
      <w:szCs w:val="18"/>
    </w:rPr>
  </w:style>
  <w:style w:type="character" w:customStyle="1" w:styleId="BalloonTextChar">
    <w:name w:val="Balloon Text Char"/>
    <w:basedOn w:val="Policepardfaut"/>
    <w:qFormat/>
    <w:rsid w:val="00544B59"/>
    <w:rPr>
      <w:rFonts w:ascii="Segoe UI" w:hAnsi="Segoe UI" w:cs="Mangal"/>
      <w:sz w:val="18"/>
      <w:szCs w:val="16"/>
    </w:rPr>
  </w:style>
  <w:style w:type="character" w:customStyle="1" w:styleId="ListLabel1244">
    <w:name w:val="ListLabel 1244"/>
    <w:qFormat/>
    <w:rsid w:val="005F27A8"/>
    <w:rPr>
      <w:rFonts w:cs="OpenSymbol"/>
      <w:sz w:val="22"/>
    </w:rPr>
  </w:style>
  <w:style w:type="character" w:customStyle="1" w:styleId="ListLabel1245">
    <w:name w:val="ListLabel 1245"/>
    <w:qFormat/>
    <w:rsid w:val="005F27A8"/>
    <w:rPr>
      <w:rFonts w:cs="OpenSymbol"/>
    </w:rPr>
  </w:style>
  <w:style w:type="character" w:customStyle="1" w:styleId="ListLabel1246">
    <w:name w:val="ListLabel 1246"/>
    <w:qFormat/>
    <w:rsid w:val="005F27A8"/>
    <w:rPr>
      <w:rFonts w:cs="OpenSymbol"/>
    </w:rPr>
  </w:style>
  <w:style w:type="character" w:customStyle="1" w:styleId="ListLabel1247">
    <w:name w:val="ListLabel 1247"/>
    <w:qFormat/>
    <w:rsid w:val="005F27A8"/>
    <w:rPr>
      <w:rFonts w:cs="OpenSymbol"/>
    </w:rPr>
  </w:style>
  <w:style w:type="character" w:customStyle="1" w:styleId="ListLabel1248">
    <w:name w:val="ListLabel 1248"/>
    <w:qFormat/>
    <w:rsid w:val="005F27A8"/>
    <w:rPr>
      <w:rFonts w:cs="OpenSymbol"/>
    </w:rPr>
  </w:style>
  <w:style w:type="character" w:customStyle="1" w:styleId="ListLabel1249">
    <w:name w:val="ListLabel 1249"/>
    <w:qFormat/>
    <w:rsid w:val="005F27A8"/>
    <w:rPr>
      <w:rFonts w:cs="OpenSymbol"/>
    </w:rPr>
  </w:style>
  <w:style w:type="character" w:customStyle="1" w:styleId="ListLabel1250">
    <w:name w:val="ListLabel 1250"/>
    <w:qFormat/>
    <w:rsid w:val="005F27A8"/>
    <w:rPr>
      <w:rFonts w:cs="OpenSymbol"/>
    </w:rPr>
  </w:style>
  <w:style w:type="character" w:customStyle="1" w:styleId="ListLabel1251">
    <w:name w:val="ListLabel 1251"/>
    <w:qFormat/>
    <w:rsid w:val="005F27A8"/>
    <w:rPr>
      <w:rFonts w:cs="OpenSymbol"/>
    </w:rPr>
  </w:style>
  <w:style w:type="character" w:customStyle="1" w:styleId="ListLabel1252">
    <w:name w:val="ListLabel 1252"/>
    <w:qFormat/>
    <w:rsid w:val="005F27A8"/>
    <w:rPr>
      <w:rFonts w:cs="OpenSymbol"/>
    </w:rPr>
  </w:style>
  <w:style w:type="character" w:customStyle="1" w:styleId="ListLabel1253">
    <w:name w:val="ListLabel 1253"/>
    <w:qFormat/>
    <w:rsid w:val="005F27A8"/>
    <w:rPr>
      <w:rFonts w:cs="OpenSymbol"/>
      <w:sz w:val="22"/>
    </w:rPr>
  </w:style>
  <w:style w:type="character" w:customStyle="1" w:styleId="ListLabel1254">
    <w:name w:val="ListLabel 1254"/>
    <w:qFormat/>
    <w:rsid w:val="005F27A8"/>
    <w:rPr>
      <w:rFonts w:cs="OpenSymbol"/>
    </w:rPr>
  </w:style>
  <w:style w:type="character" w:customStyle="1" w:styleId="ListLabel1255">
    <w:name w:val="ListLabel 1255"/>
    <w:qFormat/>
    <w:rsid w:val="005F27A8"/>
    <w:rPr>
      <w:rFonts w:cs="OpenSymbol"/>
    </w:rPr>
  </w:style>
  <w:style w:type="character" w:customStyle="1" w:styleId="ListLabel1256">
    <w:name w:val="ListLabel 1256"/>
    <w:qFormat/>
    <w:rsid w:val="005F27A8"/>
    <w:rPr>
      <w:rFonts w:cs="OpenSymbol"/>
    </w:rPr>
  </w:style>
  <w:style w:type="character" w:customStyle="1" w:styleId="ListLabel1257">
    <w:name w:val="ListLabel 1257"/>
    <w:qFormat/>
    <w:rsid w:val="005F27A8"/>
    <w:rPr>
      <w:rFonts w:cs="OpenSymbol"/>
    </w:rPr>
  </w:style>
  <w:style w:type="character" w:customStyle="1" w:styleId="ListLabel1258">
    <w:name w:val="ListLabel 1258"/>
    <w:qFormat/>
    <w:rsid w:val="005F27A8"/>
    <w:rPr>
      <w:rFonts w:cs="OpenSymbol"/>
    </w:rPr>
  </w:style>
  <w:style w:type="character" w:customStyle="1" w:styleId="ListLabel1259">
    <w:name w:val="ListLabel 1259"/>
    <w:qFormat/>
    <w:rsid w:val="005F27A8"/>
    <w:rPr>
      <w:rFonts w:cs="OpenSymbol"/>
    </w:rPr>
  </w:style>
  <w:style w:type="character" w:customStyle="1" w:styleId="ListLabel1260">
    <w:name w:val="ListLabel 1260"/>
    <w:qFormat/>
    <w:rsid w:val="005F27A8"/>
    <w:rPr>
      <w:rFonts w:cs="OpenSymbol"/>
    </w:rPr>
  </w:style>
  <w:style w:type="character" w:customStyle="1" w:styleId="ListLabel1261">
    <w:name w:val="ListLabel 1261"/>
    <w:qFormat/>
    <w:rsid w:val="005F27A8"/>
    <w:rPr>
      <w:rFonts w:cs="OpenSymbol"/>
    </w:rPr>
  </w:style>
  <w:style w:type="paragraph" w:customStyle="1" w:styleId="Titre1">
    <w:name w:val="Titre1"/>
    <w:basedOn w:val="Standard"/>
    <w:next w:val="Corpsdetexte"/>
    <w:qFormat/>
    <w:rsid w:val="00544B59"/>
    <w:pPr>
      <w:keepNext/>
      <w:spacing w:before="240" w:after="120"/>
    </w:pPr>
    <w:rPr>
      <w:rFonts w:ascii="Liberation Sans" w:hAnsi="Liberation Sans"/>
      <w:sz w:val="28"/>
      <w:szCs w:val="28"/>
    </w:rPr>
  </w:style>
  <w:style w:type="paragraph" w:styleId="Corpsdetexte">
    <w:name w:val="Body Text"/>
    <w:basedOn w:val="Normal"/>
    <w:rsid w:val="005F27A8"/>
    <w:pPr>
      <w:spacing w:after="140" w:line="276" w:lineRule="auto"/>
    </w:pPr>
  </w:style>
  <w:style w:type="paragraph" w:styleId="Liste">
    <w:name w:val="List"/>
    <w:basedOn w:val="Textbody"/>
    <w:rsid w:val="00544B59"/>
  </w:style>
  <w:style w:type="paragraph" w:customStyle="1" w:styleId="Caption">
    <w:name w:val="Caption"/>
    <w:basedOn w:val="Standard"/>
    <w:qFormat/>
    <w:rsid w:val="00544B59"/>
    <w:pPr>
      <w:suppressLineNumbers/>
      <w:spacing w:before="120" w:after="120"/>
    </w:pPr>
    <w:rPr>
      <w:i/>
      <w:iCs/>
    </w:rPr>
  </w:style>
  <w:style w:type="paragraph" w:customStyle="1" w:styleId="Index">
    <w:name w:val="Index"/>
    <w:basedOn w:val="Standard"/>
    <w:qFormat/>
    <w:rsid w:val="00544B59"/>
    <w:pPr>
      <w:suppressLineNumbers/>
    </w:pPr>
  </w:style>
  <w:style w:type="paragraph" w:customStyle="1" w:styleId="Standard">
    <w:name w:val="Standard"/>
    <w:qFormat/>
    <w:rsid w:val="00544B59"/>
    <w:pPr>
      <w:suppressAutoHyphens/>
    </w:pPr>
  </w:style>
  <w:style w:type="paragraph" w:customStyle="1" w:styleId="Textbody">
    <w:name w:val="Text body"/>
    <w:basedOn w:val="Standard"/>
    <w:qFormat/>
    <w:rsid w:val="00544B59"/>
    <w:pPr>
      <w:spacing w:after="140" w:line="276" w:lineRule="auto"/>
    </w:pPr>
  </w:style>
  <w:style w:type="paragraph" w:customStyle="1" w:styleId="Footnote">
    <w:name w:val="Footnote"/>
    <w:basedOn w:val="Standard"/>
    <w:qFormat/>
    <w:rsid w:val="00544B59"/>
    <w:pPr>
      <w:suppressLineNumbers/>
      <w:ind w:left="339" w:hanging="339"/>
    </w:pPr>
    <w:rPr>
      <w:sz w:val="20"/>
      <w:szCs w:val="20"/>
    </w:rPr>
  </w:style>
  <w:style w:type="paragraph" w:customStyle="1" w:styleId="CommentText">
    <w:name w:val="Comment Text"/>
    <w:basedOn w:val="Normal"/>
    <w:qFormat/>
    <w:rsid w:val="00544B59"/>
    <w:rPr>
      <w:rFonts w:cs="Mangal"/>
      <w:sz w:val="20"/>
      <w:szCs w:val="18"/>
    </w:rPr>
  </w:style>
  <w:style w:type="paragraph" w:customStyle="1" w:styleId="CommentSubject">
    <w:name w:val="Comment Subject"/>
    <w:basedOn w:val="CommentText"/>
    <w:qFormat/>
    <w:rsid w:val="00544B59"/>
    <w:rPr>
      <w:b/>
      <w:bCs/>
    </w:rPr>
  </w:style>
  <w:style w:type="paragraph" w:styleId="Textedebulles">
    <w:name w:val="Balloon Text"/>
    <w:basedOn w:val="Normal"/>
    <w:qFormat/>
    <w:rsid w:val="00544B59"/>
    <w:rPr>
      <w:rFonts w:ascii="Segoe UI" w:hAnsi="Segoe UI" w:cs="Mangal"/>
      <w:sz w:val="18"/>
      <w:szCs w:val="16"/>
    </w:rPr>
  </w:style>
  <w:style w:type="paragraph" w:styleId="Commentaire">
    <w:name w:val="annotation text"/>
    <w:basedOn w:val="Normal"/>
    <w:link w:val="CommentaireCar"/>
    <w:uiPriority w:val="99"/>
    <w:semiHidden/>
    <w:unhideWhenUsed/>
    <w:qFormat/>
    <w:rsid w:val="00F74743"/>
    <w:rPr>
      <w:rFonts w:cs="Mangal"/>
      <w:sz w:val="20"/>
      <w:szCs w:val="18"/>
    </w:rPr>
  </w:style>
  <w:style w:type="paragraph" w:styleId="Objetducommentaire">
    <w:name w:val="annotation subject"/>
    <w:basedOn w:val="Commentaire"/>
    <w:link w:val="ObjetducommentaireCar"/>
    <w:uiPriority w:val="99"/>
    <w:semiHidden/>
    <w:unhideWhenUsed/>
    <w:qFormat/>
    <w:rsid w:val="00F7474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B267E7-84F8-4578-AF7C-6257A05CAB81}"/>
</file>

<file path=customXml/itemProps2.xml><?xml version="1.0" encoding="utf-8"?>
<ds:datastoreItem xmlns:ds="http://schemas.openxmlformats.org/officeDocument/2006/customXml" ds:itemID="{72D0C5C6-D943-4982-A170-50DE4A13E67C}"/>
</file>

<file path=customXml/itemProps3.xml><?xml version="1.0" encoding="utf-8"?>
<ds:datastoreItem xmlns:ds="http://schemas.openxmlformats.org/officeDocument/2006/customXml" ds:itemID="{F7028F02-84F2-4308-A3D9-004B2B1FB185}"/>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2286</Characters>
  <Application>Microsoft Office Word</Application>
  <DocSecurity>0</DocSecurity>
  <Lines>19</Lines>
  <Paragraphs>5</Paragraphs>
  <ScaleCrop>false</ScaleCrop>
  <Company>Hewlett-Packard</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Mariëtte van Huijstee</dc:creator>
  <cp:lastModifiedBy>Sacha</cp:lastModifiedBy>
  <cp:revision>2</cp:revision>
  <dcterms:created xsi:type="dcterms:W3CDTF">2019-10-16T07:56:00Z</dcterms:created>
  <dcterms:modified xsi:type="dcterms:W3CDTF">2019-10-16T07:56:00Z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