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5769" w:rsidRPr="00D35769" w:rsidRDefault="00D35769" w:rsidP="00D35769">
      <w:pPr>
        <w:rPr>
          <w:rFonts w:ascii="Georgia" w:eastAsia="Times New Roman" w:hAnsi="Georgia" w:cs="Times New Roman"/>
        </w:rPr>
      </w:pPr>
      <w:r w:rsidRPr="00D35769">
        <w:rPr>
          <w:rFonts w:ascii="Georgia" w:eastAsia="Times New Roman" w:hAnsi="Georgia" w:cs="Arial"/>
          <w:u w:val="single"/>
        </w:rPr>
        <w:t>Oral statement</w:t>
      </w:r>
    </w:p>
    <w:p w:rsidR="00D35769" w:rsidRPr="00D35769" w:rsidRDefault="00D35769" w:rsidP="00D35769">
      <w:pPr>
        <w:rPr>
          <w:rFonts w:ascii="Georgia" w:eastAsia="Times New Roman" w:hAnsi="Georgia" w:cs="Times New Roman"/>
        </w:rPr>
      </w:pPr>
      <w:r w:rsidRPr="00D35769">
        <w:rPr>
          <w:rFonts w:ascii="Georgia" w:eastAsia="Times New Roman" w:hAnsi="Georgia" w:cs="Arial"/>
          <w:u w:val="single"/>
        </w:rPr>
        <w:t>Date and Time: Oct 16 morning</w:t>
      </w:r>
    </w:p>
    <w:p w:rsidR="00D35769" w:rsidRPr="00D35769" w:rsidRDefault="00D35769" w:rsidP="00D35769">
      <w:pPr>
        <w:rPr>
          <w:rFonts w:ascii="Georgia" w:eastAsia="Times New Roman" w:hAnsi="Georgia" w:cs="Times New Roman"/>
        </w:rPr>
      </w:pPr>
      <w:r w:rsidRPr="00D35769">
        <w:rPr>
          <w:rFonts w:ascii="Georgia" w:eastAsia="Times New Roman" w:hAnsi="Georgia" w:cs="Arial"/>
          <w:u w:val="single"/>
        </w:rPr>
        <w:t xml:space="preserve">Panel: </w:t>
      </w:r>
      <w:r w:rsidRPr="00D35769">
        <w:rPr>
          <w:rFonts w:ascii="Georgia" w:eastAsia="Times New Roman" w:hAnsi="Georgia" w:cs="Arial"/>
          <w:u w:val="single"/>
        </w:rPr>
        <w:t xml:space="preserve">Article 6 </w:t>
      </w:r>
      <w:r w:rsidRPr="00D35769">
        <w:rPr>
          <w:rFonts w:ascii="Georgia" w:eastAsia="Times New Roman" w:hAnsi="Georgia" w:cs="Arial"/>
          <w:u w:val="single"/>
        </w:rPr>
        <w:t>ON LEGAL LIABILITY</w:t>
      </w:r>
    </w:p>
    <w:p w:rsidR="00D35769" w:rsidRPr="00D35769" w:rsidRDefault="00D35769" w:rsidP="00D35769">
      <w:pPr>
        <w:rPr>
          <w:rFonts w:ascii="Georgia" w:eastAsia="Times New Roman" w:hAnsi="Georgia" w:cs="Times New Roman"/>
        </w:rPr>
      </w:pPr>
      <w:r w:rsidRPr="00D35769">
        <w:rPr>
          <w:rFonts w:ascii="Georgia" w:eastAsia="Times New Roman" w:hAnsi="Georgia" w:cs="Arial"/>
          <w:u w:val="single"/>
        </w:rPr>
        <w:t>F</w:t>
      </w:r>
      <w:r w:rsidRPr="00D35769">
        <w:rPr>
          <w:rFonts w:ascii="Georgia" w:eastAsia="Times New Roman" w:hAnsi="Georgia" w:cs="Arial"/>
          <w:u w:val="single"/>
        </w:rPr>
        <w:t xml:space="preserve">riends </w:t>
      </w:r>
      <w:r w:rsidRPr="00D35769">
        <w:rPr>
          <w:rFonts w:ascii="Georgia" w:eastAsia="Times New Roman" w:hAnsi="Georgia" w:cs="Arial"/>
          <w:u w:val="single"/>
        </w:rPr>
        <w:t>o</w:t>
      </w:r>
      <w:r w:rsidRPr="00D35769">
        <w:rPr>
          <w:rFonts w:ascii="Georgia" w:eastAsia="Times New Roman" w:hAnsi="Georgia" w:cs="Arial"/>
          <w:u w:val="single"/>
        </w:rPr>
        <w:t xml:space="preserve">f the </w:t>
      </w:r>
      <w:r w:rsidRPr="00D35769">
        <w:rPr>
          <w:rFonts w:ascii="Georgia" w:eastAsia="Times New Roman" w:hAnsi="Georgia" w:cs="Arial"/>
          <w:u w:val="single"/>
        </w:rPr>
        <w:t>E</w:t>
      </w:r>
      <w:r w:rsidRPr="00D35769">
        <w:rPr>
          <w:rFonts w:ascii="Georgia" w:eastAsia="Times New Roman" w:hAnsi="Georgia" w:cs="Arial"/>
          <w:u w:val="single"/>
        </w:rPr>
        <w:t>arth International</w:t>
      </w:r>
      <w:r w:rsidRPr="00D35769">
        <w:rPr>
          <w:rFonts w:ascii="Georgia" w:eastAsia="Times New Roman" w:hAnsi="Georgia" w:cs="Arial"/>
          <w:u w:val="single"/>
        </w:rPr>
        <w:t xml:space="preserve"> speaker: Pochoy</w:t>
      </w:r>
      <w:r w:rsidRPr="00D35769">
        <w:rPr>
          <w:rFonts w:ascii="Georgia" w:eastAsia="Times New Roman" w:hAnsi="Georgia" w:cs="Arial"/>
          <w:u w:val="single"/>
        </w:rPr>
        <w:t xml:space="preserve"> Labog</w:t>
      </w:r>
      <w:r w:rsidRPr="00D35769">
        <w:rPr>
          <w:rFonts w:ascii="Georgia" w:eastAsia="Times New Roman" w:hAnsi="Georgia" w:cs="Arial"/>
          <w:u w:val="single"/>
        </w:rPr>
        <w:t xml:space="preserve"> </w:t>
      </w:r>
    </w:p>
    <w:p w:rsidR="00D35769" w:rsidRPr="00D35769" w:rsidRDefault="00D35769" w:rsidP="00D35769">
      <w:pPr>
        <w:jc w:val="both"/>
        <w:rPr>
          <w:rFonts w:ascii="Georgia" w:eastAsia="Times New Roman" w:hAnsi="Georgia" w:cs="Times New Roman"/>
        </w:rPr>
      </w:pPr>
      <w:r w:rsidRPr="00D35769">
        <w:rPr>
          <w:rFonts w:ascii="Georgia" w:eastAsia="Times New Roman" w:hAnsi="Georgia" w:cs="Arial"/>
        </w:rPr>
        <w:br/>
      </w:r>
      <w:r w:rsidRPr="00D35769">
        <w:rPr>
          <w:rFonts w:ascii="Georgia" w:eastAsia="Times New Roman" w:hAnsi="Georgia" w:cs="Arial"/>
        </w:rPr>
        <w:br/>
      </w:r>
      <w:r w:rsidRPr="00D35769">
        <w:rPr>
          <w:rFonts w:ascii="Georgia" w:eastAsia="Times New Roman" w:hAnsi="Georgia" w:cs="Arial"/>
        </w:rPr>
        <w:t>Mr. Chair-Rapporteur,</w:t>
      </w:r>
    </w:p>
    <w:p w:rsidR="00D35769" w:rsidRPr="00D35769" w:rsidRDefault="00D35769" w:rsidP="00D35769">
      <w:pPr>
        <w:rPr>
          <w:rFonts w:ascii="Georgia" w:eastAsia="Times New Roman" w:hAnsi="Georgia" w:cs="Times New Roman"/>
        </w:rPr>
      </w:pPr>
      <w:r w:rsidRPr="00D35769">
        <w:rPr>
          <w:rFonts w:ascii="Georgia" w:eastAsia="Times New Roman" w:hAnsi="Georgia" w:cs="Arial"/>
        </w:rPr>
        <w:t> </w:t>
      </w:r>
    </w:p>
    <w:p w:rsidR="00D35769" w:rsidRPr="00D35769" w:rsidRDefault="00D35769" w:rsidP="00D35769">
      <w:pPr>
        <w:rPr>
          <w:rFonts w:ascii="Georgia" w:eastAsia="Times New Roman" w:hAnsi="Georgia" w:cs="Arial"/>
        </w:rPr>
      </w:pPr>
      <w:r w:rsidRPr="00D35769">
        <w:rPr>
          <w:rFonts w:ascii="Georgia" w:eastAsia="Times New Roman" w:hAnsi="Georgia" w:cs="Arial"/>
        </w:rPr>
        <w:t>I am Pochoy Labog fro</w:t>
      </w:r>
      <w:r w:rsidRPr="00D35769">
        <w:rPr>
          <w:rFonts w:ascii="Georgia" w:eastAsia="Times New Roman" w:hAnsi="Georgia" w:cs="Arial"/>
        </w:rPr>
        <w:t xml:space="preserve">m </w:t>
      </w:r>
      <w:r w:rsidRPr="00D35769">
        <w:rPr>
          <w:rFonts w:ascii="Georgia" w:eastAsia="Times New Roman" w:hAnsi="Georgia" w:cs="Arial"/>
        </w:rPr>
        <w:t xml:space="preserve">Friends of the Earth </w:t>
      </w:r>
      <w:r w:rsidRPr="00D35769">
        <w:rPr>
          <w:rFonts w:ascii="Georgia" w:eastAsia="Times New Roman" w:hAnsi="Georgia" w:cs="Arial"/>
        </w:rPr>
        <w:t>International</w:t>
      </w:r>
      <w:r w:rsidRPr="00D35769">
        <w:rPr>
          <w:rFonts w:ascii="Georgia" w:eastAsia="Times New Roman" w:hAnsi="Georgia" w:cs="Arial"/>
        </w:rPr>
        <w:t>.</w:t>
      </w:r>
    </w:p>
    <w:p w:rsidR="00D35769" w:rsidRPr="00D35769" w:rsidRDefault="00D35769" w:rsidP="00D35769">
      <w:pPr>
        <w:rPr>
          <w:rFonts w:ascii="Georgia" w:eastAsia="Times New Roman" w:hAnsi="Georgia" w:cs="Times New Roman"/>
        </w:rPr>
      </w:pPr>
      <w:r w:rsidRPr="00D35769">
        <w:rPr>
          <w:rFonts w:ascii="Georgia" w:eastAsia="Times New Roman" w:hAnsi="Georgia" w:cs="Arial"/>
        </w:rPr>
        <w:t> </w:t>
      </w:r>
    </w:p>
    <w:p w:rsidR="00D35769" w:rsidRPr="00D35769" w:rsidRDefault="00D35769" w:rsidP="00D35769">
      <w:pPr>
        <w:rPr>
          <w:rFonts w:ascii="Georgia" w:eastAsia="Times New Roman" w:hAnsi="Georgia" w:cs="Times New Roman"/>
        </w:rPr>
      </w:pPr>
      <w:r w:rsidRPr="00D35769">
        <w:rPr>
          <w:rFonts w:ascii="Georgia" w:eastAsia="Times New Roman" w:hAnsi="Georgia" w:cs="Arial"/>
        </w:rPr>
        <w:t>Article 6 on Legal Liability can be viewed as the heart of this Treaty. Thus, the Article should clearly establish which entities and how these entities should be made accountable for human rights violations.</w:t>
      </w:r>
    </w:p>
    <w:p w:rsidR="00D35769" w:rsidRPr="00D35769" w:rsidRDefault="00D35769" w:rsidP="00D35769">
      <w:pPr>
        <w:rPr>
          <w:rFonts w:ascii="Georgia" w:eastAsia="Times New Roman" w:hAnsi="Georgia" w:cs="Times New Roman"/>
        </w:rPr>
      </w:pPr>
      <w:r w:rsidRPr="00D35769">
        <w:rPr>
          <w:rFonts w:ascii="Georgia" w:eastAsia="Times New Roman" w:hAnsi="Georgia" w:cs="Arial"/>
        </w:rPr>
        <w:t> </w:t>
      </w:r>
    </w:p>
    <w:p w:rsidR="00D35769" w:rsidRPr="00D35769" w:rsidRDefault="00D35769" w:rsidP="00D35769">
      <w:pPr>
        <w:rPr>
          <w:rFonts w:ascii="Georgia" w:eastAsia="Times New Roman" w:hAnsi="Georgia" w:cs="Times New Roman"/>
        </w:rPr>
      </w:pPr>
      <w:r w:rsidRPr="00D35769">
        <w:rPr>
          <w:rFonts w:ascii="Georgia" w:eastAsia="Times New Roman" w:hAnsi="Georgia" w:cs="Arial"/>
        </w:rPr>
        <w:t>As you know, there can be several key actors in the supply chain that needs to be addressed by the LBI.</w:t>
      </w:r>
    </w:p>
    <w:p w:rsidR="00D35769" w:rsidRPr="00D35769" w:rsidRDefault="00D35769" w:rsidP="00D35769">
      <w:pPr>
        <w:rPr>
          <w:rFonts w:ascii="Georgia" w:eastAsia="Times New Roman" w:hAnsi="Georgia" w:cs="Times New Roman"/>
        </w:rPr>
      </w:pPr>
      <w:r w:rsidRPr="00D35769">
        <w:rPr>
          <w:rFonts w:ascii="Georgia" w:eastAsia="Times New Roman" w:hAnsi="Georgia" w:cs="Arial"/>
        </w:rPr>
        <w:t> </w:t>
      </w:r>
    </w:p>
    <w:p w:rsidR="00D35769" w:rsidRPr="00D35769" w:rsidRDefault="00D35769" w:rsidP="00D35769">
      <w:pPr>
        <w:rPr>
          <w:rFonts w:ascii="Georgia" w:eastAsia="Times New Roman" w:hAnsi="Georgia" w:cs="Times New Roman"/>
        </w:rPr>
      </w:pPr>
      <w:r w:rsidRPr="00D35769">
        <w:rPr>
          <w:rFonts w:ascii="Georgia" w:eastAsia="Times New Roman" w:hAnsi="Georgia" w:cs="Arial"/>
        </w:rPr>
        <w:t xml:space="preserve">As currently drafted, the article, particularly Paragraph 6, only addresses liability of the parent company for the violations of its immediate subsidiaries and </w:t>
      </w:r>
      <w:proofErr w:type="spellStart"/>
      <w:r w:rsidRPr="00D35769">
        <w:rPr>
          <w:rFonts w:ascii="Georgia" w:eastAsia="Times New Roman" w:hAnsi="Georgia" w:cs="Arial"/>
        </w:rPr>
        <w:t>contractees</w:t>
      </w:r>
      <w:proofErr w:type="spellEnd"/>
      <w:r w:rsidRPr="00D35769">
        <w:rPr>
          <w:rFonts w:ascii="Georgia" w:eastAsia="Times New Roman" w:hAnsi="Georgia" w:cs="Arial"/>
        </w:rPr>
        <w:t xml:space="preserve">, and not for the violations of the subsidiaries and the </w:t>
      </w:r>
      <w:proofErr w:type="spellStart"/>
      <w:r w:rsidRPr="00D35769">
        <w:rPr>
          <w:rFonts w:ascii="Georgia" w:eastAsia="Times New Roman" w:hAnsi="Georgia" w:cs="Arial"/>
        </w:rPr>
        <w:t>contractees</w:t>
      </w:r>
      <w:proofErr w:type="spellEnd"/>
      <w:r w:rsidRPr="00D35769">
        <w:rPr>
          <w:rFonts w:ascii="Georgia" w:eastAsia="Times New Roman" w:hAnsi="Georgia" w:cs="Arial"/>
        </w:rPr>
        <w:t xml:space="preserve"> of the latter.  For example, the third party security </w:t>
      </w:r>
      <w:proofErr w:type="spellStart"/>
      <w:r w:rsidRPr="00D35769">
        <w:rPr>
          <w:rFonts w:ascii="Georgia" w:eastAsia="Times New Roman" w:hAnsi="Georgia" w:cs="Arial"/>
        </w:rPr>
        <w:t>contractees</w:t>
      </w:r>
      <w:proofErr w:type="spellEnd"/>
      <w:r w:rsidRPr="00D35769">
        <w:rPr>
          <w:rFonts w:ascii="Georgia" w:eastAsia="Times New Roman" w:hAnsi="Georgia" w:cs="Arial"/>
        </w:rPr>
        <w:t xml:space="preserve"> outsourced by mining companies operating for TNCs, may not fall under the current chain of liability. It also does not contemplate liability for violations caused by the activities of the parent company itself.</w:t>
      </w:r>
    </w:p>
    <w:p w:rsidR="00D35769" w:rsidRPr="00D35769" w:rsidRDefault="00D35769" w:rsidP="00D35769">
      <w:pPr>
        <w:rPr>
          <w:rFonts w:ascii="Georgia" w:eastAsia="Times New Roman" w:hAnsi="Georgia" w:cs="Times New Roman"/>
        </w:rPr>
      </w:pPr>
    </w:p>
    <w:p w:rsidR="00D35769" w:rsidRPr="00D35769" w:rsidRDefault="00D35769" w:rsidP="00D35769">
      <w:pPr>
        <w:rPr>
          <w:rFonts w:ascii="Georgia" w:eastAsia="Times New Roman" w:hAnsi="Georgia" w:cs="Times New Roman"/>
        </w:rPr>
      </w:pPr>
      <w:r w:rsidRPr="00D35769">
        <w:rPr>
          <w:rFonts w:ascii="Georgia" w:eastAsia="Times New Roman" w:hAnsi="Georgia" w:cs="Arial"/>
        </w:rPr>
        <w:t>Further, the current liability scheme does not contemplate liabilities of financers of TNCs, such as investment firms, banks and international financial institutions. </w:t>
      </w:r>
    </w:p>
    <w:p w:rsidR="00D35769" w:rsidRPr="00D35769" w:rsidRDefault="00D35769" w:rsidP="00D35769">
      <w:pPr>
        <w:rPr>
          <w:rFonts w:ascii="Georgia" w:eastAsia="Times New Roman" w:hAnsi="Georgia" w:cs="Times New Roman"/>
        </w:rPr>
      </w:pPr>
    </w:p>
    <w:p w:rsidR="00D35769" w:rsidRPr="00D35769" w:rsidRDefault="00D35769" w:rsidP="00D35769">
      <w:pPr>
        <w:rPr>
          <w:rFonts w:ascii="Georgia" w:eastAsia="Times New Roman" w:hAnsi="Georgia" w:cs="Times New Roman"/>
        </w:rPr>
      </w:pPr>
      <w:r w:rsidRPr="00D35769">
        <w:rPr>
          <w:rFonts w:ascii="Georgia" w:eastAsia="Times New Roman" w:hAnsi="Georgia" w:cs="Arial"/>
        </w:rPr>
        <w:t>As mentioned, in crafting this Treaty, we cannot be oblivious to realties on the ground and should consider the power and resource imbalance between TNCs and affected communities, such as indigenous peoples. In this regard, the Treaty should highlight procedural measures that compensate for the patent disadvantages faced by affected communities as against TNCs.</w:t>
      </w:r>
    </w:p>
    <w:p w:rsidR="00D35769" w:rsidRPr="00D35769" w:rsidRDefault="00D35769" w:rsidP="00D35769">
      <w:pPr>
        <w:spacing w:after="240"/>
        <w:rPr>
          <w:rFonts w:ascii="Georgia" w:eastAsia="Times New Roman" w:hAnsi="Georgia" w:cs="Times New Roman"/>
        </w:rPr>
      </w:pPr>
    </w:p>
    <w:p w:rsidR="00D35769" w:rsidRPr="00D35769" w:rsidRDefault="00D35769" w:rsidP="00D35769">
      <w:pPr>
        <w:rPr>
          <w:rFonts w:ascii="Georgia" w:eastAsia="Times New Roman" w:hAnsi="Georgia" w:cs="Times New Roman"/>
        </w:rPr>
      </w:pPr>
      <w:r w:rsidRPr="00D35769">
        <w:rPr>
          <w:rFonts w:ascii="Georgia" w:eastAsia="Times New Roman" w:hAnsi="Georgia" w:cs="Arial"/>
        </w:rPr>
        <w:t>One of these measures is the provision on the shifting of the burden of proof that should not be dependent on domestic legislation. This provision does not violate due process as it merely shifts the burden of evidence and does not, in any way, prejudge the outcome of a case. It has also been a feature in certain human rights remedies such as the Writ of Amparo which also recognizes power imbalances between parties in dispute. </w:t>
      </w:r>
    </w:p>
    <w:p w:rsidR="00D35769" w:rsidRPr="00D35769" w:rsidRDefault="00D35769" w:rsidP="00D35769">
      <w:pPr>
        <w:rPr>
          <w:rFonts w:ascii="Georgia" w:eastAsia="Times New Roman" w:hAnsi="Georgia" w:cs="Times New Roman"/>
        </w:rPr>
      </w:pPr>
    </w:p>
    <w:p w:rsidR="00D35769" w:rsidRPr="00D35769" w:rsidRDefault="00D35769" w:rsidP="00D35769">
      <w:pPr>
        <w:rPr>
          <w:rFonts w:ascii="Georgia" w:eastAsia="Times New Roman" w:hAnsi="Georgia" w:cs="Times New Roman"/>
        </w:rPr>
      </w:pPr>
      <w:r w:rsidRPr="00D35769">
        <w:rPr>
          <w:rFonts w:ascii="Georgia" w:eastAsia="Times New Roman" w:hAnsi="Georgia" w:cs="Arial"/>
        </w:rPr>
        <w:t>The Treaty should also provide joint and several liability of parent companies and their subsidiaries as well as all entities in their whole supply chain to accommodate the prompt and effective dispensation of justice for victims. Further, the Treaty should allow for the piercing of the corporate veil of TNCs which may use its complex corporate structure to evade liability.</w:t>
      </w:r>
    </w:p>
    <w:p w:rsidR="00D35769" w:rsidRPr="00D35769" w:rsidRDefault="00D35769" w:rsidP="00D35769">
      <w:pPr>
        <w:rPr>
          <w:rFonts w:ascii="Georgia" w:eastAsia="Times New Roman" w:hAnsi="Georgia" w:cs="Times New Roman"/>
        </w:rPr>
      </w:pPr>
      <w:r w:rsidRPr="00D35769">
        <w:rPr>
          <w:rFonts w:ascii="Georgia" w:eastAsia="Times New Roman" w:hAnsi="Georgia" w:cs="Arial"/>
        </w:rPr>
        <w:t> </w:t>
      </w:r>
    </w:p>
    <w:p w:rsidR="00D35769" w:rsidRPr="00D35769" w:rsidRDefault="00D35769" w:rsidP="00D35769">
      <w:pPr>
        <w:rPr>
          <w:rFonts w:ascii="Georgia" w:eastAsia="Times New Roman" w:hAnsi="Georgia" w:cs="Times New Roman"/>
        </w:rPr>
      </w:pPr>
      <w:r w:rsidRPr="00D35769">
        <w:rPr>
          <w:rFonts w:ascii="Georgia" w:eastAsia="Times New Roman" w:hAnsi="Georgia" w:cs="Arial"/>
        </w:rPr>
        <w:t xml:space="preserve">Relevant to Prevention, the Article should also impose liability on TNCs for the failure to conduct proper due diligence on actors along its supply chain. In this sense, administrative review mechanisms and sanctions should be developed within the </w:t>
      </w:r>
      <w:r w:rsidRPr="00D35769">
        <w:rPr>
          <w:rFonts w:ascii="Georgia" w:eastAsia="Times New Roman" w:hAnsi="Georgia" w:cs="Arial"/>
        </w:rPr>
        <w:lastRenderedPageBreak/>
        <w:t>framework of contractual administrative law or the administrative responsibility of the State in the event of failure to exercise due diligence.</w:t>
      </w:r>
    </w:p>
    <w:p w:rsidR="00D35769" w:rsidRPr="00D35769" w:rsidRDefault="00D35769" w:rsidP="00D35769">
      <w:pPr>
        <w:rPr>
          <w:rFonts w:ascii="Georgia" w:eastAsia="Times New Roman" w:hAnsi="Georgia" w:cs="Times New Roman"/>
        </w:rPr>
      </w:pPr>
      <w:r w:rsidRPr="00D35769">
        <w:rPr>
          <w:rFonts w:ascii="Georgia" w:eastAsia="Times New Roman" w:hAnsi="Georgia" w:cs="Arial"/>
        </w:rPr>
        <w:t> </w:t>
      </w:r>
    </w:p>
    <w:p w:rsidR="00D35769" w:rsidRPr="00D35769" w:rsidRDefault="00D35769" w:rsidP="00D35769">
      <w:pPr>
        <w:rPr>
          <w:rFonts w:ascii="Georgia" w:eastAsia="Times New Roman" w:hAnsi="Georgia" w:cs="Arial"/>
        </w:rPr>
      </w:pPr>
      <w:r w:rsidRPr="00D35769">
        <w:rPr>
          <w:rFonts w:ascii="Georgia" w:eastAsia="Times New Roman" w:hAnsi="Georgia" w:cs="Arial"/>
        </w:rPr>
        <w:t>Also,</w:t>
      </w:r>
      <w:r w:rsidR="0049293C">
        <w:rPr>
          <w:rFonts w:ascii="Georgia" w:eastAsia="Times New Roman" w:hAnsi="Georgia" w:cs="Arial"/>
        </w:rPr>
        <w:t xml:space="preserve"> </w:t>
      </w:r>
      <w:r w:rsidR="0049293C" w:rsidRPr="00D35769">
        <w:rPr>
          <w:rFonts w:ascii="Georgia" w:eastAsia="Times New Roman" w:hAnsi="Georgia" w:cs="Arial"/>
          <w:shd w:val="clear" w:color="auto" w:fill="FFFFFF"/>
        </w:rPr>
        <w:t>Paragraph</w:t>
      </w:r>
      <w:r w:rsidR="0049293C">
        <w:rPr>
          <w:rFonts w:ascii="Georgia" w:eastAsia="Times New Roman" w:hAnsi="Georgia" w:cs="Arial"/>
          <w:shd w:val="clear" w:color="auto" w:fill="FFFFFF"/>
        </w:rPr>
        <w:t xml:space="preserve"> 7</w:t>
      </w:r>
      <w:r w:rsidR="0049293C" w:rsidRPr="00D35769">
        <w:rPr>
          <w:rFonts w:ascii="Georgia" w:eastAsia="Times New Roman" w:hAnsi="Georgia" w:cs="Arial"/>
          <w:shd w:val="clear" w:color="auto" w:fill="FFFFFF"/>
        </w:rPr>
        <w:t xml:space="preserve"> must</w:t>
      </w:r>
      <w:r w:rsidR="0049293C">
        <w:rPr>
          <w:rFonts w:ascii="Georgia" w:eastAsia="Times New Roman" w:hAnsi="Georgia" w:cs="Arial"/>
          <w:shd w:val="clear" w:color="auto" w:fill="FFFFFF"/>
        </w:rPr>
        <w:t xml:space="preserve"> more clearly establish criminal liability </w:t>
      </w:r>
      <w:r w:rsidR="0049293C" w:rsidRPr="00D35769">
        <w:rPr>
          <w:rFonts w:ascii="Georgia" w:eastAsia="Times New Roman" w:hAnsi="Georgia" w:cs="Arial"/>
          <w:shd w:val="clear" w:color="auto" w:fill="FFFFFF"/>
        </w:rPr>
        <w:t xml:space="preserve">without prejudice </w:t>
      </w:r>
      <w:r w:rsidR="0049293C">
        <w:rPr>
          <w:rFonts w:ascii="Georgia" w:eastAsia="Times New Roman" w:hAnsi="Georgia" w:cs="Arial"/>
          <w:shd w:val="clear" w:color="auto" w:fill="FFFFFF"/>
        </w:rPr>
        <w:t>to civil reparations</w:t>
      </w:r>
      <w:r w:rsidR="0049293C" w:rsidRPr="00D35769">
        <w:rPr>
          <w:rFonts w:ascii="Georgia" w:eastAsia="Times New Roman" w:hAnsi="Georgia" w:cs="Arial"/>
          <w:shd w:val="clear" w:color="auto" w:fill="FFFFFF"/>
        </w:rPr>
        <w:t xml:space="preserve"> and administrative sanctions for the said offenses.</w:t>
      </w:r>
      <w:r w:rsidR="0049293C" w:rsidRPr="00D35769">
        <w:rPr>
          <w:rFonts w:ascii="Georgia" w:eastAsia="Times New Roman" w:hAnsi="Georgia" w:cs="Arial"/>
        </w:rPr>
        <w:t> </w:t>
      </w:r>
      <w:r w:rsidRPr="00D35769">
        <w:rPr>
          <w:rFonts w:ascii="Georgia" w:eastAsia="Times New Roman" w:hAnsi="Georgia" w:cs="Arial"/>
        </w:rPr>
        <w:t xml:space="preserve"> </w:t>
      </w:r>
      <w:r w:rsidR="0049293C">
        <w:rPr>
          <w:rFonts w:ascii="Georgia" w:eastAsia="Times New Roman" w:hAnsi="Georgia" w:cs="Arial"/>
        </w:rPr>
        <w:t xml:space="preserve">And </w:t>
      </w:r>
      <w:r w:rsidRPr="00D35769">
        <w:rPr>
          <w:rFonts w:ascii="Georgia" w:eastAsia="Times New Roman" w:hAnsi="Georgia" w:cs="Arial"/>
        </w:rPr>
        <w:t>the crimes specified on</w:t>
      </w:r>
      <w:r w:rsidR="0049293C">
        <w:rPr>
          <w:rFonts w:ascii="Georgia" w:eastAsia="Times New Roman" w:hAnsi="Georgia" w:cs="Arial"/>
        </w:rPr>
        <w:t xml:space="preserve"> this</w:t>
      </w:r>
      <w:r w:rsidRPr="00D35769">
        <w:rPr>
          <w:rFonts w:ascii="Georgia" w:eastAsia="Times New Roman" w:hAnsi="Georgia" w:cs="Arial"/>
        </w:rPr>
        <w:t xml:space="preserve"> Paragraph </w:t>
      </w:r>
      <w:bookmarkStart w:id="0" w:name="_GoBack"/>
      <w:bookmarkEnd w:id="0"/>
      <w:r w:rsidRPr="00D35769">
        <w:rPr>
          <w:rFonts w:ascii="Georgia" w:eastAsia="Times New Roman" w:hAnsi="Georgia" w:cs="Arial"/>
        </w:rPr>
        <w:t>must not be an exhaustive list and should include more violations relevant to economic, social and cultural rights. These categories of rights are those often violated by TNCs, such as rights to ancestral domains, right to water, livelihood and health.</w:t>
      </w:r>
      <w:r w:rsidRPr="00D35769">
        <w:rPr>
          <w:rFonts w:ascii="MS Mincho" w:eastAsia="MS Mincho" w:hAnsi="MS Mincho" w:cs="MS Mincho" w:hint="eastAsia"/>
        </w:rPr>
        <w:t> </w:t>
      </w:r>
      <w:r w:rsidRPr="00D35769">
        <w:rPr>
          <w:rFonts w:ascii="Georgia" w:eastAsia="MS Gothic" w:hAnsi="Georgia" w:cs="Times New Roman"/>
        </w:rPr>
        <w:t xml:space="preserve"> </w:t>
      </w:r>
    </w:p>
    <w:p w:rsidR="00D35769" w:rsidRPr="00D35769" w:rsidRDefault="00D35769" w:rsidP="00D35769">
      <w:pPr>
        <w:rPr>
          <w:rFonts w:ascii="Georgia" w:eastAsia="Times New Roman" w:hAnsi="Georgia" w:cs="Times New Roman"/>
        </w:rPr>
      </w:pPr>
      <w:r w:rsidRPr="00D35769">
        <w:rPr>
          <w:rFonts w:ascii="Georgia" w:eastAsia="Times New Roman" w:hAnsi="Georgia" w:cs="Times New Roman"/>
        </w:rPr>
        <w:t xml:space="preserve"> </w:t>
      </w:r>
      <w:r w:rsidRPr="00D35769">
        <w:rPr>
          <w:rFonts w:ascii="Georgia" w:eastAsia="Times New Roman" w:hAnsi="Georgia" w:cs="Times New Roman"/>
        </w:rPr>
        <w:br/>
      </w:r>
      <w:r w:rsidRPr="00D35769">
        <w:rPr>
          <w:rFonts w:ascii="Georgia" w:eastAsia="Times New Roman" w:hAnsi="Georgia" w:cs="Arial"/>
        </w:rPr>
        <w:t>Finally, references to national legislation in paragraphs 7, 8 and 9 limit the scope of article 6 and should therefore be deleted.</w:t>
      </w:r>
      <w:r w:rsidRPr="00D35769">
        <w:rPr>
          <w:rFonts w:ascii="MS Mincho" w:eastAsia="MS Mincho" w:hAnsi="MS Mincho" w:cs="MS Mincho" w:hint="eastAsia"/>
        </w:rPr>
        <w:t> </w:t>
      </w:r>
      <w:r w:rsidRPr="00D35769">
        <w:rPr>
          <w:rFonts w:ascii="Georgia" w:eastAsia="Times New Roman" w:hAnsi="Georgia" w:cs="Arial"/>
        </w:rPr>
        <w:t xml:space="preserve">   </w:t>
      </w:r>
    </w:p>
    <w:p w:rsidR="005D116F" w:rsidRPr="00D35769" w:rsidRDefault="0049293C">
      <w:pPr>
        <w:rPr>
          <w:rFonts w:ascii="Georgia" w:hAnsi="Georgia"/>
        </w:rPr>
      </w:pPr>
    </w:p>
    <w:sectPr w:rsidR="005D116F" w:rsidRPr="00D35769" w:rsidSect="000B2695">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769"/>
    <w:rsid w:val="000B2695"/>
    <w:rsid w:val="0049293C"/>
    <w:rsid w:val="009F09B5"/>
    <w:rsid w:val="00D35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4F812"/>
  <w15:chartTrackingRefBased/>
  <w15:docId w15:val="{E4CE5E80-0FCC-6741-A913-7DD9FE2C7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576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947162">
      <w:bodyDiv w:val="1"/>
      <w:marLeft w:val="0"/>
      <w:marRight w:val="0"/>
      <w:marTop w:val="0"/>
      <w:marBottom w:val="0"/>
      <w:divBdr>
        <w:top w:val="none" w:sz="0" w:space="0" w:color="auto"/>
        <w:left w:val="none" w:sz="0" w:space="0" w:color="auto"/>
        <w:bottom w:val="none" w:sz="0" w:space="0" w:color="auto"/>
        <w:right w:val="none" w:sz="0" w:space="0" w:color="auto"/>
      </w:divBdr>
    </w:div>
    <w:div w:id="9405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A9887A7-5150-4DFD-A2B2-4A7AF52FB054}"/>
</file>

<file path=customXml/itemProps2.xml><?xml version="1.0" encoding="utf-8"?>
<ds:datastoreItem xmlns:ds="http://schemas.openxmlformats.org/officeDocument/2006/customXml" ds:itemID="{B4E75D3B-CEDB-409F-AE12-7AF9DE203111}"/>
</file>

<file path=customXml/itemProps3.xml><?xml version="1.0" encoding="utf-8"?>
<ds:datastoreItem xmlns:ds="http://schemas.openxmlformats.org/officeDocument/2006/customXml" ds:itemID="{726DF2D5-A6A1-464C-89F9-DC15359DDBA0}"/>
</file>

<file path=docProps/app.xml><?xml version="1.0" encoding="utf-8"?>
<Properties xmlns="http://schemas.openxmlformats.org/officeDocument/2006/extended-properties" xmlns:vt="http://schemas.openxmlformats.org/officeDocument/2006/docPropsVTypes">
  <Template>Normal.dotm</Template>
  <TotalTime>10</TotalTime>
  <Pages>2</Pages>
  <Words>506</Words>
  <Characters>2890</Characters>
  <Application>Microsoft Office Word</Application>
  <DocSecurity>0</DocSecurity>
  <Lines>24</Lines>
  <Paragraphs>6</Paragraphs>
  <ScaleCrop>false</ScaleCrop>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Pochoy Labog</dc:creator>
  <cp:keywords/>
  <dc:description/>
  <cp:lastModifiedBy>Pochoy Labog</cp:lastModifiedBy>
  <cp:revision>2</cp:revision>
  <dcterms:created xsi:type="dcterms:W3CDTF">2019-10-16T08:51:00Z</dcterms:created>
  <dcterms:modified xsi:type="dcterms:W3CDTF">2019-10-16T09:07:00Z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