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00FF" w14:textId="4058C699" w:rsidR="00BA28E7" w:rsidRDefault="00423345" w:rsidP="009D5DDC">
      <w:pPr>
        <w:pStyle w:val="BodyText"/>
        <w:spacing w:line="276" w:lineRule="auto"/>
        <w:rPr>
          <w:b/>
          <w:color w:val="FF0000"/>
          <w:w w:val="105"/>
        </w:rPr>
      </w:pPr>
      <w:r>
        <w:rPr>
          <w:noProof/>
        </w:rPr>
        <w:drawing>
          <wp:anchor distT="0" distB="0" distL="114300" distR="114300" simplePos="0" relativeHeight="251658240" behindDoc="0" locked="0" layoutInCell="1" allowOverlap="1" wp14:anchorId="5955FFD0" wp14:editId="1B094DB2">
            <wp:simplePos x="0" y="0"/>
            <wp:positionH relativeFrom="column">
              <wp:posOffset>-635</wp:posOffset>
            </wp:positionH>
            <wp:positionV relativeFrom="paragraph">
              <wp:posOffset>0</wp:posOffset>
            </wp:positionV>
            <wp:extent cx="1803400" cy="7620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9EF2A" w14:textId="75DD0271" w:rsidR="00BA28E7" w:rsidRPr="00F32961" w:rsidRDefault="006A2726" w:rsidP="009D5DDC">
      <w:pPr>
        <w:pStyle w:val="BodyText"/>
        <w:spacing w:line="276" w:lineRule="auto"/>
        <w:rPr>
          <w:sz w:val="20"/>
        </w:rPr>
      </w:pPr>
      <w:r w:rsidRPr="006A2726">
        <w:rPr>
          <w:b/>
          <w:color w:val="FF0000"/>
          <w:w w:val="105"/>
        </w:rPr>
        <w:t xml:space="preserve"> </w:t>
      </w:r>
    </w:p>
    <w:p w14:paraId="51B90309" w14:textId="77777777" w:rsidR="006A2726" w:rsidRDefault="00BA28E7" w:rsidP="009D5DDC">
      <w:pPr>
        <w:spacing w:line="276" w:lineRule="auto"/>
        <w:ind w:right="179"/>
        <w:jc w:val="right"/>
        <w:rPr>
          <w:b/>
          <w:w w:val="105"/>
          <w:sz w:val="21"/>
        </w:rPr>
      </w:pPr>
      <w:r>
        <w:rPr>
          <w:b/>
          <w:color w:val="FF0000"/>
          <w:w w:val="105"/>
          <w:sz w:val="21"/>
        </w:rPr>
        <w:t>C</w:t>
      </w:r>
      <w:r w:rsidRPr="006A2726">
        <w:rPr>
          <w:b/>
          <w:color w:val="FF0000"/>
          <w:w w:val="105"/>
          <w:sz w:val="21"/>
        </w:rPr>
        <w:t>heck against delivery!</w:t>
      </w:r>
    </w:p>
    <w:p w14:paraId="41B655DF" w14:textId="77777777" w:rsidR="00BA28E7" w:rsidRDefault="00BA28E7" w:rsidP="009D5DDC">
      <w:pPr>
        <w:spacing w:line="276" w:lineRule="auto"/>
        <w:ind w:right="179"/>
        <w:jc w:val="center"/>
        <w:rPr>
          <w:b/>
          <w:w w:val="105"/>
          <w:sz w:val="21"/>
        </w:rPr>
      </w:pPr>
    </w:p>
    <w:p w14:paraId="0B09318B" w14:textId="77777777" w:rsidR="00BA28E7" w:rsidRDefault="00BA28E7" w:rsidP="009D5DDC">
      <w:pPr>
        <w:spacing w:line="276" w:lineRule="auto"/>
        <w:ind w:right="179"/>
        <w:rPr>
          <w:b/>
          <w:w w:val="105"/>
          <w:sz w:val="21"/>
        </w:rPr>
      </w:pPr>
    </w:p>
    <w:p w14:paraId="7ABE59B0" w14:textId="77777777" w:rsidR="00BA28E7" w:rsidRPr="002D55A8" w:rsidRDefault="00BA28E7" w:rsidP="009D5DDC">
      <w:pPr>
        <w:spacing w:line="276" w:lineRule="auto"/>
        <w:ind w:right="179"/>
        <w:rPr>
          <w:b/>
          <w:w w:val="105"/>
        </w:rPr>
      </w:pPr>
    </w:p>
    <w:p w14:paraId="1EFE44CE" w14:textId="660BDD62" w:rsidR="002D55A8" w:rsidRPr="00892D5E" w:rsidRDefault="00423345" w:rsidP="009D5DDC">
      <w:pPr>
        <w:spacing w:line="276" w:lineRule="auto"/>
        <w:ind w:right="179"/>
        <w:jc w:val="center"/>
        <w:rPr>
          <w:b/>
          <w:w w:val="105"/>
          <w:sz w:val="24"/>
          <w:szCs w:val="24"/>
        </w:rPr>
      </w:pPr>
      <w:r>
        <w:rPr>
          <w:b/>
          <w:w w:val="105"/>
          <w:sz w:val="24"/>
          <w:szCs w:val="24"/>
        </w:rPr>
        <w:t>5</w:t>
      </w:r>
      <w:r w:rsidR="00892D5E" w:rsidRPr="00892D5E">
        <w:rPr>
          <w:b/>
          <w:w w:val="105"/>
          <w:sz w:val="24"/>
          <w:szCs w:val="24"/>
          <w:vertAlign w:val="superscript"/>
        </w:rPr>
        <w:t>th</w:t>
      </w:r>
      <w:r w:rsidR="00892D5E">
        <w:rPr>
          <w:b/>
          <w:w w:val="105"/>
          <w:sz w:val="24"/>
          <w:szCs w:val="24"/>
        </w:rPr>
        <w:t xml:space="preserve"> </w:t>
      </w:r>
      <w:r w:rsidR="006A2726" w:rsidRPr="00892D5E">
        <w:rPr>
          <w:b/>
          <w:w w:val="105"/>
          <w:sz w:val="24"/>
          <w:szCs w:val="24"/>
        </w:rPr>
        <w:t>session of the Inter</w:t>
      </w:r>
      <w:r>
        <w:rPr>
          <w:b/>
          <w:w w:val="105"/>
          <w:sz w:val="24"/>
          <w:szCs w:val="24"/>
        </w:rPr>
        <w:t>-G</w:t>
      </w:r>
      <w:r w:rsidR="006A2726" w:rsidRPr="00892D5E">
        <w:rPr>
          <w:b/>
          <w:w w:val="105"/>
          <w:sz w:val="24"/>
          <w:szCs w:val="24"/>
        </w:rPr>
        <w:t>overnmental Working Group on transnational corporations and other business enterprises with respect to human rights</w:t>
      </w:r>
      <w:r w:rsidR="009D52CC" w:rsidRPr="00892D5E">
        <w:rPr>
          <w:b/>
          <w:w w:val="105"/>
          <w:sz w:val="24"/>
          <w:szCs w:val="24"/>
        </w:rPr>
        <w:t xml:space="preserve"> </w:t>
      </w:r>
    </w:p>
    <w:p w14:paraId="3AEEE28E" w14:textId="77777777" w:rsidR="002D55A8" w:rsidRDefault="002D55A8" w:rsidP="009D5DDC">
      <w:pPr>
        <w:spacing w:line="276" w:lineRule="auto"/>
        <w:ind w:right="179"/>
        <w:jc w:val="center"/>
        <w:rPr>
          <w:b/>
          <w:w w:val="105"/>
        </w:rPr>
      </w:pPr>
    </w:p>
    <w:p w14:paraId="7383BDFB" w14:textId="13013F87" w:rsidR="006A2726" w:rsidRPr="002D55A8" w:rsidRDefault="009D52CC" w:rsidP="009D5DDC">
      <w:pPr>
        <w:spacing w:line="276" w:lineRule="auto"/>
        <w:ind w:right="179"/>
        <w:jc w:val="center"/>
        <w:rPr>
          <w:b/>
          <w:w w:val="105"/>
        </w:rPr>
      </w:pPr>
      <w:r w:rsidRPr="002D55A8">
        <w:rPr>
          <w:b/>
          <w:w w:val="105"/>
        </w:rPr>
        <w:t>(1</w:t>
      </w:r>
      <w:r w:rsidR="00423345">
        <w:rPr>
          <w:b/>
          <w:w w:val="105"/>
        </w:rPr>
        <w:t>4</w:t>
      </w:r>
      <w:r w:rsidRPr="002D55A8">
        <w:rPr>
          <w:b/>
          <w:w w:val="105"/>
        </w:rPr>
        <w:t>-1</w:t>
      </w:r>
      <w:r w:rsidR="00423345">
        <w:rPr>
          <w:b/>
          <w:w w:val="105"/>
        </w:rPr>
        <w:t>8</w:t>
      </w:r>
      <w:r w:rsidRPr="002D55A8">
        <w:rPr>
          <w:b/>
          <w:w w:val="105"/>
        </w:rPr>
        <w:t xml:space="preserve"> October 201</w:t>
      </w:r>
      <w:r w:rsidR="00423345">
        <w:rPr>
          <w:b/>
          <w:w w:val="105"/>
        </w:rPr>
        <w:t>9</w:t>
      </w:r>
      <w:r w:rsidRPr="002D55A8">
        <w:rPr>
          <w:b/>
          <w:w w:val="105"/>
        </w:rPr>
        <w:t>)</w:t>
      </w:r>
    </w:p>
    <w:p w14:paraId="201C2891" w14:textId="77777777" w:rsidR="006A2726" w:rsidRDefault="006A2726" w:rsidP="009D5DDC">
      <w:pPr>
        <w:spacing w:line="276" w:lineRule="auto"/>
        <w:ind w:right="179"/>
        <w:jc w:val="center"/>
        <w:rPr>
          <w:b/>
          <w:w w:val="105"/>
          <w:sz w:val="21"/>
        </w:rPr>
      </w:pPr>
    </w:p>
    <w:p w14:paraId="6D6626FD" w14:textId="608AE7D0" w:rsidR="00EB09D0" w:rsidRDefault="00D15A30" w:rsidP="009D5DDC">
      <w:pPr>
        <w:spacing w:line="276" w:lineRule="auto"/>
        <w:ind w:right="179"/>
        <w:jc w:val="center"/>
        <w:rPr>
          <w:b/>
          <w:color w:val="FF0000"/>
          <w:w w:val="105"/>
          <w:sz w:val="28"/>
          <w:szCs w:val="28"/>
        </w:rPr>
      </w:pPr>
      <w:r>
        <w:rPr>
          <w:b/>
          <w:color w:val="FF0000"/>
          <w:w w:val="105"/>
          <w:sz w:val="28"/>
          <w:szCs w:val="28"/>
        </w:rPr>
        <w:t>Scope &amp; Rights of Victims</w:t>
      </w:r>
    </w:p>
    <w:p w14:paraId="4BEBEE74" w14:textId="77777777" w:rsidR="00D15A30" w:rsidRPr="006A2726" w:rsidRDefault="00D15A30" w:rsidP="009D5DDC">
      <w:pPr>
        <w:spacing w:line="276" w:lineRule="auto"/>
        <w:ind w:right="179"/>
        <w:jc w:val="center"/>
        <w:rPr>
          <w:b/>
          <w:sz w:val="25"/>
        </w:rPr>
      </w:pPr>
    </w:p>
    <w:p w14:paraId="02F2ACBA" w14:textId="73E60EEA" w:rsidR="00786A03" w:rsidRPr="00D91126" w:rsidRDefault="003B2ABA" w:rsidP="009D5DDC">
      <w:pPr>
        <w:pStyle w:val="BodyText"/>
        <w:spacing w:line="276" w:lineRule="auto"/>
        <w:jc w:val="both"/>
        <w:rPr>
          <w:b/>
          <w:w w:val="105"/>
          <w:sz w:val="22"/>
          <w:szCs w:val="22"/>
        </w:rPr>
      </w:pPr>
      <w:r w:rsidRPr="00D91126">
        <w:rPr>
          <w:b/>
          <w:w w:val="105"/>
          <w:sz w:val="22"/>
          <w:szCs w:val="22"/>
        </w:rPr>
        <w:t xml:space="preserve">Thank </w:t>
      </w:r>
      <w:r w:rsidR="00012FA3" w:rsidRPr="00D91126">
        <w:rPr>
          <w:b/>
          <w:w w:val="105"/>
          <w:sz w:val="22"/>
          <w:szCs w:val="22"/>
        </w:rPr>
        <w:t>you</w:t>
      </w:r>
      <w:r w:rsidR="007C3A8E" w:rsidRPr="00D91126">
        <w:rPr>
          <w:b/>
          <w:w w:val="105"/>
          <w:sz w:val="22"/>
          <w:szCs w:val="22"/>
        </w:rPr>
        <w:t xml:space="preserve"> Chair</w:t>
      </w:r>
      <w:r w:rsidR="00012FA3" w:rsidRPr="00D91126">
        <w:rPr>
          <w:b/>
          <w:w w:val="105"/>
          <w:sz w:val="22"/>
          <w:szCs w:val="22"/>
        </w:rPr>
        <w:t xml:space="preserve">, </w:t>
      </w:r>
    </w:p>
    <w:p w14:paraId="1E63D577" w14:textId="77010294" w:rsidR="009D52CC" w:rsidRPr="00D91126" w:rsidRDefault="009D52CC" w:rsidP="009D5DDC">
      <w:pPr>
        <w:pStyle w:val="BodyText"/>
        <w:spacing w:before="1" w:line="276" w:lineRule="auto"/>
        <w:ind w:right="109"/>
        <w:jc w:val="both"/>
        <w:rPr>
          <w:w w:val="105"/>
          <w:sz w:val="22"/>
          <w:szCs w:val="22"/>
        </w:rPr>
      </w:pPr>
    </w:p>
    <w:p w14:paraId="549C5E42" w14:textId="3A59D11A" w:rsidR="00FB649B" w:rsidRPr="00FB649B" w:rsidRDefault="009D52CC" w:rsidP="009D5DDC">
      <w:pPr>
        <w:adjustRightInd w:val="0"/>
        <w:spacing w:line="276" w:lineRule="auto"/>
        <w:jc w:val="both"/>
      </w:pPr>
      <w:r w:rsidRPr="00D91126">
        <w:t xml:space="preserve">I </w:t>
      </w:r>
      <w:r w:rsidR="00FB649B">
        <w:t xml:space="preserve">deliver this statement </w:t>
      </w:r>
      <w:r w:rsidRPr="00D91126">
        <w:t xml:space="preserve">on behalf of the International </w:t>
      </w:r>
      <w:proofErr w:type="spellStart"/>
      <w:r w:rsidRPr="00D91126">
        <w:t>Organisation</w:t>
      </w:r>
      <w:proofErr w:type="spellEnd"/>
      <w:r w:rsidRPr="00D91126">
        <w:t xml:space="preserve"> of Employers (</w:t>
      </w:r>
      <w:hyperlink r:id="rId9" w:history="1">
        <w:r w:rsidRPr="00D91126">
          <w:rPr>
            <w:rStyle w:val="Hyperlink"/>
          </w:rPr>
          <w:t>IOE</w:t>
        </w:r>
      </w:hyperlink>
      <w:r w:rsidRPr="00D91126">
        <w:t>)</w:t>
      </w:r>
      <w:r w:rsidR="00FB649B">
        <w:t xml:space="preserve">. I refer participants to the </w:t>
      </w:r>
      <w:hyperlink r:id="rId10" w:history="1">
        <w:r w:rsidR="00FB649B" w:rsidRPr="00D91126">
          <w:rPr>
            <w:rStyle w:val="Hyperlink"/>
          </w:rPr>
          <w:t>Joint Business Response</w:t>
        </w:r>
      </w:hyperlink>
      <w:r w:rsidR="00FB649B" w:rsidRPr="00D91126">
        <w:t xml:space="preserve"> to the Revised </w:t>
      </w:r>
      <w:r w:rsidR="00FB649B" w:rsidRPr="00D91126">
        <w:rPr>
          <w:w w:val="105"/>
        </w:rPr>
        <w:t>Draft Treaty</w:t>
      </w:r>
      <w:r w:rsidR="00616389">
        <w:rPr>
          <w:w w:val="105"/>
        </w:rPr>
        <w:t xml:space="preserve">, which </w:t>
      </w:r>
      <w:r w:rsidR="00FB649B">
        <w:rPr>
          <w:w w:val="105"/>
        </w:rPr>
        <w:t>is available on the IOE's website.</w:t>
      </w:r>
      <w:r w:rsidR="00616389">
        <w:rPr>
          <w:w w:val="105"/>
        </w:rPr>
        <w:t xml:space="preserve"> Th</w:t>
      </w:r>
      <w:r w:rsidR="0071672E">
        <w:rPr>
          <w:w w:val="105"/>
        </w:rPr>
        <w:t>at</w:t>
      </w:r>
      <w:r w:rsidR="00616389">
        <w:rPr>
          <w:w w:val="105"/>
        </w:rPr>
        <w:t xml:space="preserve"> </w:t>
      </w:r>
      <w:r w:rsidR="00810F70">
        <w:rPr>
          <w:w w:val="105"/>
        </w:rPr>
        <w:t xml:space="preserve">paper </w:t>
      </w:r>
      <w:r w:rsidR="00616389">
        <w:rPr>
          <w:w w:val="105"/>
        </w:rPr>
        <w:t xml:space="preserve">describes </w:t>
      </w:r>
      <w:r w:rsidR="0071672E">
        <w:rPr>
          <w:w w:val="105"/>
        </w:rPr>
        <w:t xml:space="preserve">the business community's </w:t>
      </w:r>
      <w:r w:rsidR="00616389">
        <w:rPr>
          <w:w w:val="105"/>
        </w:rPr>
        <w:t>points on the scope and rights of victims in more detail.</w:t>
      </w:r>
    </w:p>
    <w:p w14:paraId="4F33C5A7" w14:textId="26216A77" w:rsidR="00FC4204" w:rsidRDefault="00FC4204" w:rsidP="009D5DDC">
      <w:pPr>
        <w:adjustRightInd w:val="0"/>
        <w:spacing w:line="276" w:lineRule="auto"/>
        <w:jc w:val="both"/>
      </w:pPr>
    </w:p>
    <w:p w14:paraId="6AFE16EB" w14:textId="4905B04F" w:rsidR="00FC4204" w:rsidRDefault="008341EA" w:rsidP="009D5DDC">
      <w:pPr>
        <w:adjustRightInd w:val="0"/>
        <w:spacing w:line="276" w:lineRule="auto"/>
        <w:jc w:val="both"/>
        <w:rPr>
          <w:b/>
          <w:bCs/>
        </w:rPr>
      </w:pPr>
      <w:r>
        <w:rPr>
          <w:b/>
          <w:bCs/>
        </w:rPr>
        <w:t>The "scope"</w:t>
      </w:r>
    </w:p>
    <w:p w14:paraId="61B30B52" w14:textId="77777777" w:rsidR="00B23805" w:rsidRPr="00B23805" w:rsidRDefault="00B23805" w:rsidP="009D5DDC">
      <w:pPr>
        <w:adjustRightInd w:val="0"/>
        <w:spacing w:line="276" w:lineRule="auto"/>
        <w:jc w:val="both"/>
        <w:rPr>
          <w:b/>
          <w:bCs/>
        </w:rPr>
      </w:pPr>
    </w:p>
    <w:p w14:paraId="7EC03E8F" w14:textId="61CD526B" w:rsidR="00C53EAA" w:rsidRDefault="00C53EAA" w:rsidP="009D5DDC">
      <w:pPr>
        <w:pStyle w:val="ListParagraph"/>
        <w:numPr>
          <w:ilvl w:val="0"/>
          <w:numId w:val="6"/>
        </w:numPr>
        <w:adjustRightInd w:val="0"/>
        <w:spacing w:line="276" w:lineRule="auto"/>
        <w:jc w:val="both"/>
      </w:pPr>
      <w:r>
        <w:t>First, i</w:t>
      </w:r>
      <w:r w:rsidR="00E664CF" w:rsidRPr="00E664CF">
        <w:t xml:space="preserve">t is questionable if this </w:t>
      </w:r>
      <w:r w:rsidR="00E664CF">
        <w:t xml:space="preserve">Revised Draft </w:t>
      </w:r>
      <w:r w:rsidR="00E664CF" w:rsidRPr="00E664CF">
        <w:t>Treaty would apply to transnational corporations (TNCs) only or to all business enterprises.</w:t>
      </w:r>
      <w:r>
        <w:t xml:space="preserve"> For example, i</w:t>
      </w:r>
      <w:r w:rsidRPr="00E664CF">
        <w:t xml:space="preserve">t is unclear if the footnote from UN Resolution 26/9 that set up the IGWG in 2014 still applies or not. </w:t>
      </w:r>
      <w:r>
        <w:t>I</w:t>
      </w:r>
      <w:r w:rsidRPr="00E664CF">
        <w:t>t is also not fully clear that the current draft would apply in practice to State-owned enterprises (SOEs), whose omission in last year's text was noted by many.</w:t>
      </w:r>
      <w:r>
        <w:t xml:space="preserve"> </w:t>
      </w:r>
    </w:p>
    <w:p w14:paraId="15A59BD4" w14:textId="77777777" w:rsidR="00C53EAA" w:rsidRDefault="00C53EAA" w:rsidP="009D5DDC">
      <w:pPr>
        <w:pStyle w:val="ListParagraph"/>
        <w:adjustRightInd w:val="0"/>
        <w:spacing w:line="276" w:lineRule="auto"/>
        <w:ind w:left="360"/>
        <w:jc w:val="both"/>
      </w:pPr>
    </w:p>
    <w:p w14:paraId="556DBF94" w14:textId="40E1780A" w:rsidR="00E664CF" w:rsidRDefault="00C53EAA" w:rsidP="009D5DDC">
      <w:pPr>
        <w:pStyle w:val="ListParagraph"/>
        <w:numPr>
          <w:ilvl w:val="0"/>
          <w:numId w:val="6"/>
        </w:numPr>
        <w:adjustRightInd w:val="0"/>
        <w:spacing w:line="276" w:lineRule="auto"/>
        <w:jc w:val="both"/>
      </w:pPr>
      <w:r>
        <w:t>Second, w</w:t>
      </w:r>
      <w:r w:rsidR="00E664CF">
        <w:t xml:space="preserve">hile some interpret the large focus on "contractual relationships" in the Revised Draft Treaty as a narrowing of the scope, </w:t>
      </w:r>
      <w:r w:rsidR="00117D3C">
        <w:t xml:space="preserve">we think </w:t>
      </w:r>
      <w:r w:rsidR="00E664CF">
        <w:t>it remains broad. The definition of a contractual relationship under article 1, para 4</w:t>
      </w:r>
      <w:r w:rsidR="00E664CF" w:rsidRPr="00C53EAA">
        <w:rPr>
          <w:sz w:val="14"/>
          <w:szCs w:val="14"/>
        </w:rPr>
        <w:t xml:space="preserve"> </w:t>
      </w:r>
      <w:r w:rsidR="00E664CF">
        <w:t>is wide and does not suggest a limited, direct contractual relationship. Add to this the scope under article 3, para 2. b,</w:t>
      </w:r>
      <w:r w:rsidR="00E664CF" w:rsidRPr="00C53EAA">
        <w:rPr>
          <w:sz w:val="14"/>
          <w:szCs w:val="14"/>
        </w:rPr>
        <w:t xml:space="preserve"> </w:t>
      </w:r>
      <w:r w:rsidR="00E664CF">
        <w:t>as well as the language on prevention under article 5, para 2</w:t>
      </w:r>
      <w:r w:rsidR="00E664CF" w:rsidRPr="00C53EAA">
        <w:rPr>
          <w:sz w:val="14"/>
          <w:szCs w:val="14"/>
        </w:rPr>
        <w:t xml:space="preserve"> </w:t>
      </w:r>
      <w:r w:rsidR="00E664CF">
        <w:t>etc. and it can be surmised that the repeated use of the term "contractual relationships" may be intended to put a sharper focus on TNCs, which are often described as a bundle of contracts.</w:t>
      </w:r>
    </w:p>
    <w:p w14:paraId="30E7595C" w14:textId="77777777" w:rsidR="00C53EAA" w:rsidRDefault="00C53EAA" w:rsidP="009D5DDC">
      <w:pPr>
        <w:pStyle w:val="ListParagraph"/>
        <w:spacing w:line="276" w:lineRule="auto"/>
      </w:pPr>
    </w:p>
    <w:p w14:paraId="16B5BB09" w14:textId="77777777" w:rsidR="00C53EAA" w:rsidRDefault="00C53EAA" w:rsidP="009D5DDC">
      <w:pPr>
        <w:pStyle w:val="ListParagraph"/>
        <w:numPr>
          <w:ilvl w:val="0"/>
          <w:numId w:val="6"/>
        </w:numPr>
        <w:adjustRightInd w:val="0"/>
        <w:spacing w:line="276" w:lineRule="auto"/>
        <w:jc w:val="both"/>
      </w:pPr>
      <w:r>
        <w:t xml:space="preserve">Third, we have ongoing concerns about the approach of applying the Treaty to "all business activities" including those "of a transnational character" - instead of applying it to all business "entities" on the basis of their actual involvement in a harm (as the UNGPs does). </w:t>
      </w:r>
    </w:p>
    <w:p w14:paraId="54D4FF58" w14:textId="77777777" w:rsidR="00C53EAA" w:rsidRDefault="00C53EAA" w:rsidP="009D5DDC">
      <w:pPr>
        <w:pStyle w:val="ListParagraph"/>
        <w:spacing w:line="276" w:lineRule="auto"/>
      </w:pPr>
    </w:p>
    <w:p w14:paraId="41F74D16" w14:textId="77777777" w:rsidR="00C53EAA" w:rsidRDefault="00C53EAA" w:rsidP="009D5DDC">
      <w:pPr>
        <w:pStyle w:val="ListParagraph"/>
        <w:numPr>
          <w:ilvl w:val="1"/>
          <w:numId w:val="6"/>
        </w:numPr>
        <w:adjustRightInd w:val="0"/>
        <w:spacing w:line="276" w:lineRule="auto"/>
        <w:jc w:val="both"/>
      </w:pPr>
      <w:r w:rsidRPr="00C53EAA">
        <w:t xml:space="preserve">Focusing on "business activities" may avoid the problem of establishing a definition in international law of "TNC", as well as "OBEs." However, this approach creates a new challenge by requiring an accepted definition of both </w:t>
      </w:r>
      <w:r w:rsidRPr="00C53EAA">
        <w:rPr>
          <w:i/>
          <w:iCs/>
        </w:rPr>
        <w:t xml:space="preserve">these </w:t>
      </w:r>
      <w:r w:rsidRPr="00C53EAA">
        <w:t xml:space="preserve">terms, which do not appear to exist in law or social sciences. </w:t>
      </w:r>
    </w:p>
    <w:p w14:paraId="255C1C45" w14:textId="77777777" w:rsidR="00C53EAA" w:rsidRDefault="00C53EAA" w:rsidP="009D5DDC">
      <w:pPr>
        <w:pStyle w:val="ListParagraph"/>
        <w:adjustRightInd w:val="0"/>
        <w:spacing w:line="276" w:lineRule="auto"/>
        <w:ind w:left="1080"/>
        <w:jc w:val="both"/>
      </w:pPr>
    </w:p>
    <w:p w14:paraId="2CDB0442" w14:textId="10E0D5CF" w:rsidR="00C53EAA" w:rsidRPr="00E664CF" w:rsidRDefault="00C53EAA" w:rsidP="009D5DDC">
      <w:pPr>
        <w:pStyle w:val="ListParagraph"/>
        <w:numPr>
          <w:ilvl w:val="1"/>
          <w:numId w:val="6"/>
        </w:numPr>
        <w:adjustRightInd w:val="0"/>
        <w:spacing w:line="276" w:lineRule="auto"/>
        <w:jc w:val="both"/>
      </w:pPr>
      <w:r w:rsidRPr="00C53EAA">
        <w:t>It would also be extremely difficult, if not impossible, to monitor the vast array of "business activities" (listed under article 1, para 3), as well as those of a "transnational character" (under article 3, para 2), and reasonably assign liability for a harm on a practical or principled basis.</w:t>
      </w:r>
    </w:p>
    <w:p w14:paraId="3F40804C" w14:textId="77777777" w:rsidR="00E664CF" w:rsidRDefault="00E664CF" w:rsidP="009D5DDC">
      <w:pPr>
        <w:adjustRightInd w:val="0"/>
        <w:spacing w:line="276" w:lineRule="auto"/>
        <w:jc w:val="both"/>
        <w:rPr>
          <w:b/>
          <w:bCs/>
        </w:rPr>
      </w:pPr>
    </w:p>
    <w:p w14:paraId="7CE6ACD8" w14:textId="1020D1E6" w:rsidR="00FC4204" w:rsidRDefault="008341EA" w:rsidP="009D5DDC">
      <w:pPr>
        <w:adjustRightInd w:val="0"/>
        <w:spacing w:line="276" w:lineRule="auto"/>
        <w:jc w:val="both"/>
        <w:rPr>
          <w:b/>
          <w:bCs/>
        </w:rPr>
      </w:pPr>
      <w:r>
        <w:rPr>
          <w:b/>
          <w:bCs/>
        </w:rPr>
        <w:t>The "rights of victims"</w:t>
      </w:r>
    </w:p>
    <w:p w14:paraId="168C0BA7" w14:textId="77777777" w:rsidR="007953E2" w:rsidRPr="00B23805" w:rsidRDefault="007953E2" w:rsidP="009D5DDC">
      <w:pPr>
        <w:adjustRightInd w:val="0"/>
        <w:spacing w:line="276" w:lineRule="auto"/>
        <w:jc w:val="both"/>
        <w:rPr>
          <w:b/>
          <w:bCs/>
        </w:rPr>
      </w:pPr>
    </w:p>
    <w:p w14:paraId="4D2D2228" w14:textId="43EF3692" w:rsidR="0000583E" w:rsidRDefault="00561C30" w:rsidP="009D5DDC">
      <w:pPr>
        <w:pStyle w:val="ListParagraph"/>
        <w:numPr>
          <w:ilvl w:val="0"/>
          <w:numId w:val="7"/>
        </w:numPr>
        <w:adjustRightInd w:val="0"/>
        <w:spacing w:line="276" w:lineRule="auto"/>
        <w:jc w:val="both"/>
      </w:pPr>
      <w:r>
        <w:t>First, m</w:t>
      </w:r>
      <w:r w:rsidR="0000583E">
        <w:t xml:space="preserve">any have noted concerns </w:t>
      </w:r>
      <w:r w:rsidR="0000583E" w:rsidRPr="0000583E">
        <w:t>with the definition of a victim</w:t>
      </w:r>
      <w:r w:rsidR="0000583E">
        <w:t xml:space="preserve">, which we share. It is important to note the difference between </w:t>
      </w:r>
      <w:r w:rsidR="0000583E" w:rsidRPr="0000583E">
        <w:t>presumed victims (those that have "alleged to have suffered") and actual victims</w:t>
      </w:r>
      <w:r w:rsidR="0000583E">
        <w:t xml:space="preserve">. </w:t>
      </w:r>
      <w:r w:rsidR="0000583E" w:rsidRPr="0000583E">
        <w:t xml:space="preserve"> </w:t>
      </w:r>
    </w:p>
    <w:p w14:paraId="051768F4" w14:textId="77777777" w:rsidR="0000583E" w:rsidRDefault="0000583E" w:rsidP="009D5DDC">
      <w:pPr>
        <w:pStyle w:val="ListParagraph"/>
        <w:adjustRightInd w:val="0"/>
        <w:spacing w:line="276" w:lineRule="auto"/>
        <w:ind w:left="360"/>
        <w:jc w:val="both"/>
      </w:pPr>
    </w:p>
    <w:p w14:paraId="257F47DC" w14:textId="1F00A9FC" w:rsidR="0000583E" w:rsidRDefault="00561C30" w:rsidP="009D5DDC">
      <w:pPr>
        <w:pStyle w:val="ListParagraph"/>
        <w:numPr>
          <w:ilvl w:val="0"/>
          <w:numId w:val="7"/>
        </w:numPr>
        <w:adjustRightInd w:val="0"/>
        <w:spacing w:line="276" w:lineRule="auto"/>
        <w:jc w:val="both"/>
      </w:pPr>
      <w:r>
        <w:t xml:space="preserve">Second, </w:t>
      </w:r>
      <w:r w:rsidR="0000583E" w:rsidRPr="0000583E">
        <w:t xml:space="preserve">there is </w:t>
      </w:r>
      <w:r w:rsidR="0000583E">
        <w:t xml:space="preserve">also </w:t>
      </w:r>
      <w:r w:rsidR="0000583E" w:rsidRPr="0000583E">
        <w:t xml:space="preserve">an imbalance between the many provisions on the rights of the victim and the lack of consideration for the corresponding rights of the accused (business) to ensure due process and fairness in relation to hearings, investigations, legal proceedings and access to justice. </w:t>
      </w:r>
    </w:p>
    <w:p w14:paraId="40EB0508" w14:textId="77777777" w:rsidR="0000583E" w:rsidRDefault="0000583E" w:rsidP="009D5DDC">
      <w:pPr>
        <w:pStyle w:val="ListParagraph"/>
        <w:spacing w:line="276" w:lineRule="auto"/>
      </w:pPr>
    </w:p>
    <w:p w14:paraId="34BF8943" w14:textId="7AA7AED1" w:rsidR="009D5DDC" w:rsidRDefault="00561C30" w:rsidP="009D5DDC">
      <w:pPr>
        <w:pStyle w:val="ListParagraph"/>
        <w:numPr>
          <w:ilvl w:val="0"/>
          <w:numId w:val="7"/>
        </w:numPr>
        <w:adjustRightInd w:val="0"/>
        <w:spacing w:line="276" w:lineRule="auto"/>
        <w:jc w:val="both"/>
      </w:pPr>
      <w:r>
        <w:t xml:space="preserve">Third, </w:t>
      </w:r>
      <w:r w:rsidR="009D5DDC">
        <w:t xml:space="preserve">the Revised Draft Treaty includes </w:t>
      </w:r>
      <w:proofErr w:type="gramStart"/>
      <w:r w:rsidR="009D5DDC">
        <w:t>a number of</w:t>
      </w:r>
      <w:proofErr w:type="gramEnd"/>
      <w:r w:rsidR="009D5DDC">
        <w:t xml:space="preserve"> unclear provisions. For example, it is not clear what ensuring victims' </w:t>
      </w:r>
      <w:r w:rsidR="009D5DDC" w:rsidRPr="009D5DDC">
        <w:t xml:space="preserve">"psychological well-being and privacy" </w:t>
      </w:r>
      <w:r w:rsidR="009D5DDC">
        <w:t xml:space="preserve">means in practice or what a </w:t>
      </w:r>
      <w:r w:rsidR="009D5DDC" w:rsidRPr="009D5DDC">
        <w:t xml:space="preserve">"satisfactory" form of remedy </w:t>
      </w:r>
      <w:proofErr w:type="gramStart"/>
      <w:r w:rsidR="009D5DDC" w:rsidRPr="009D5DDC">
        <w:t>means in reality</w:t>
      </w:r>
      <w:proofErr w:type="gramEnd"/>
      <w:r w:rsidR="009D5DDC" w:rsidRPr="009D5DDC">
        <w:t xml:space="preserve">. </w:t>
      </w:r>
    </w:p>
    <w:p w14:paraId="2FEEDE2C" w14:textId="77777777" w:rsidR="009D5DDC" w:rsidRDefault="009D5DDC" w:rsidP="009D5DDC">
      <w:pPr>
        <w:pStyle w:val="Default"/>
        <w:spacing w:line="276" w:lineRule="auto"/>
      </w:pPr>
    </w:p>
    <w:p w14:paraId="5F9545A4" w14:textId="1F6E3C62" w:rsidR="009D5DDC" w:rsidRPr="009D5DDC" w:rsidRDefault="009D5DDC" w:rsidP="009D5DDC">
      <w:pPr>
        <w:pStyle w:val="Default"/>
        <w:numPr>
          <w:ilvl w:val="0"/>
          <w:numId w:val="7"/>
        </w:numPr>
        <w:spacing w:line="276" w:lineRule="auto"/>
        <w:rPr>
          <w:sz w:val="22"/>
          <w:szCs w:val="22"/>
        </w:rPr>
      </w:pPr>
      <w:r>
        <w:rPr>
          <w:sz w:val="22"/>
          <w:szCs w:val="22"/>
        </w:rPr>
        <w:t xml:space="preserve">Fourth, guaranteeing victims' "access to information" in their pursuit of remedies is problematic and incompatible with long-established rules. </w:t>
      </w:r>
      <w:r w:rsidRPr="009D5DDC">
        <w:rPr>
          <w:sz w:val="22"/>
          <w:szCs w:val="22"/>
        </w:rPr>
        <w:t>It would mean that the “principle of production of evidence” would not apply in human rights cases</w:t>
      </w:r>
      <w:r w:rsidR="00117D3C">
        <w:rPr>
          <w:sz w:val="22"/>
          <w:szCs w:val="22"/>
        </w:rPr>
        <w:t>. I</w:t>
      </w:r>
      <w:r>
        <w:rPr>
          <w:sz w:val="22"/>
          <w:szCs w:val="22"/>
        </w:rPr>
        <w:t xml:space="preserve">t </w:t>
      </w:r>
      <w:r w:rsidR="00117D3C">
        <w:rPr>
          <w:sz w:val="22"/>
          <w:szCs w:val="22"/>
        </w:rPr>
        <w:t xml:space="preserve">also </w:t>
      </w:r>
      <w:r>
        <w:rPr>
          <w:sz w:val="22"/>
          <w:szCs w:val="22"/>
        </w:rPr>
        <w:t xml:space="preserve">raises many questions such as </w:t>
      </w:r>
      <w:r w:rsidRPr="009D5DDC">
        <w:rPr>
          <w:sz w:val="22"/>
          <w:szCs w:val="22"/>
        </w:rPr>
        <w:t>what and whose information would be guaranteed to victims, on what basis</w:t>
      </w:r>
      <w:r w:rsidR="00117D3C">
        <w:rPr>
          <w:sz w:val="22"/>
          <w:szCs w:val="22"/>
        </w:rPr>
        <w:t>?</w:t>
      </w:r>
      <w:r w:rsidRPr="009D5DDC">
        <w:rPr>
          <w:sz w:val="22"/>
          <w:szCs w:val="22"/>
        </w:rPr>
        <w:t xml:space="preserve"> </w:t>
      </w:r>
    </w:p>
    <w:p w14:paraId="07291829" w14:textId="77777777" w:rsidR="009D5DDC" w:rsidRDefault="009D5DDC" w:rsidP="009D5DDC">
      <w:pPr>
        <w:pStyle w:val="Default"/>
        <w:spacing w:line="276" w:lineRule="auto"/>
      </w:pPr>
    </w:p>
    <w:p w14:paraId="7F1BAA64" w14:textId="3242F039" w:rsidR="009D5DDC" w:rsidRDefault="009D5DDC" w:rsidP="009D5DDC">
      <w:pPr>
        <w:pStyle w:val="Default"/>
        <w:numPr>
          <w:ilvl w:val="0"/>
          <w:numId w:val="7"/>
        </w:numPr>
        <w:spacing w:line="276" w:lineRule="auto"/>
        <w:rPr>
          <w:sz w:val="22"/>
          <w:szCs w:val="22"/>
        </w:rPr>
      </w:pPr>
      <w:r>
        <w:rPr>
          <w:sz w:val="22"/>
          <w:szCs w:val="22"/>
        </w:rPr>
        <w:t xml:space="preserve">Fifth, the provision that "in no case shall victims… be required to reimburse any legal expenses of the other party to the claim" may also encourage frivolous litigation and bad-faith actions being filed against companies. </w:t>
      </w:r>
    </w:p>
    <w:p w14:paraId="35352986" w14:textId="77777777" w:rsidR="009D5DDC" w:rsidRDefault="009D5DDC" w:rsidP="009D5DDC">
      <w:pPr>
        <w:pStyle w:val="ListParagraph"/>
        <w:spacing w:line="276" w:lineRule="auto"/>
      </w:pPr>
    </w:p>
    <w:p w14:paraId="25E6625C" w14:textId="15915B24" w:rsidR="009D5DDC" w:rsidRPr="009D5DDC" w:rsidRDefault="009D5DDC" w:rsidP="009D5DDC">
      <w:pPr>
        <w:pStyle w:val="Default"/>
        <w:numPr>
          <w:ilvl w:val="0"/>
          <w:numId w:val="7"/>
        </w:numPr>
        <w:spacing w:line="276" w:lineRule="auto"/>
        <w:rPr>
          <w:sz w:val="22"/>
          <w:szCs w:val="22"/>
        </w:rPr>
      </w:pPr>
      <w:r>
        <w:rPr>
          <w:sz w:val="22"/>
          <w:szCs w:val="22"/>
        </w:rPr>
        <w:t xml:space="preserve">Lastly, the </w:t>
      </w:r>
      <w:r w:rsidRPr="009D5DDC">
        <w:rPr>
          <w:sz w:val="22"/>
          <w:szCs w:val="22"/>
        </w:rPr>
        <w:t>provision allowing Courts to reverse the burden of proof for the purpose of fulfilling victims' access to justice and remedies contravenes a fundamental and well-settled legal principle of "innocent until proven guilty</w:t>
      </w:r>
      <w:r>
        <w:rPr>
          <w:sz w:val="22"/>
          <w:szCs w:val="22"/>
        </w:rPr>
        <w:t xml:space="preserve">." </w:t>
      </w:r>
      <w:r w:rsidRPr="009D5DDC">
        <w:rPr>
          <w:sz w:val="22"/>
          <w:szCs w:val="22"/>
        </w:rPr>
        <w:t>It is also incompatible with other treaties, including the International Covenant on Civil and Political Rights</w:t>
      </w:r>
      <w:r w:rsidRPr="009D5DDC">
        <w:rPr>
          <w:sz w:val="14"/>
          <w:szCs w:val="14"/>
        </w:rPr>
        <w:t xml:space="preserve"> </w:t>
      </w:r>
      <w:r w:rsidRPr="009D5DDC">
        <w:rPr>
          <w:sz w:val="22"/>
          <w:szCs w:val="22"/>
        </w:rPr>
        <w:t>and the European Convention of Human Rights</w:t>
      </w:r>
      <w:r>
        <w:rPr>
          <w:sz w:val="14"/>
          <w:szCs w:val="14"/>
        </w:rPr>
        <w:t>,</w:t>
      </w:r>
      <w:r w:rsidRPr="009D5DDC">
        <w:rPr>
          <w:sz w:val="14"/>
          <w:szCs w:val="14"/>
        </w:rPr>
        <w:t xml:space="preserve"> </w:t>
      </w:r>
      <w:r w:rsidRPr="009D5DDC">
        <w:rPr>
          <w:sz w:val="22"/>
          <w:szCs w:val="22"/>
        </w:rPr>
        <w:t xml:space="preserve">which safeguard the presumption of innocence in criminal cases. </w:t>
      </w:r>
    </w:p>
    <w:p w14:paraId="165D8D48" w14:textId="77777777" w:rsidR="009D5DDC" w:rsidRPr="009D5DDC" w:rsidRDefault="009D5DDC" w:rsidP="009D5DDC">
      <w:pPr>
        <w:pStyle w:val="Default"/>
        <w:spacing w:line="276" w:lineRule="auto"/>
        <w:rPr>
          <w:sz w:val="22"/>
          <w:szCs w:val="22"/>
        </w:rPr>
      </w:pPr>
    </w:p>
    <w:p w14:paraId="6453F6B8" w14:textId="77777777" w:rsidR="0000583E" w:rsidRPr="00D91126" w:rsidRDefault="0000583E" w:rsidP="009D5DDC">
      <w:pPr>
        <w:adjustRightInd w:val="0"/>
        <w:spacing w:line="276" w:lineRule="auto"/>
        <w:jc w:val="both"/>
      </w:pPr>
    </w:p>
    <w:p w14:paraId="6EBD32C8" w14:textId="0A79B3E3" w:rsidR="00EB09D0" w:rsidRPr="00E43BDF" w:rsidRDefault="006A2726" w:rsidP="009D5DDC">
      <w:pPr>
        <w:pStyle w:val="BodyText"/>
        <w:spacing w:line="276" w:lineRule="auto"/>
        <w:jc w:val="both"/>
        <w:rPr>
          <w:b/>
          <w:bCs/>
          <w:sz w:val="22"/>
          <w:szCs w:val="22"/>
        </w:rPr>
      </w:pPr>
      <w:r w:rsidRPr="00E43BDF">
        <w:rPr>
          <w:b/>
          <w:bCs/>
          <w:w w:val="105"/>
          <w:sz w:val="22"/>
          <w:szCs w:val="22"/>
        </w:rPr>
        <w:t>Thank you very much</w:t>
      </w:r>
      <w:r w:rsidR="00390D18" w:rsidRPr="00E43BDF">
        <w:rPr>
          <w:b/>
          <w:bCs/>
          <w:w w:val="105"/>
          <w:sz w:val="22"/>
          <w:szCs w:val="22"/>
        </w:rPr>
        <w:t xml:space="preserve"> for you</w:t>
      </w:r>
      <w:r w:rsidR="00BF014B" w:rsidRPr="00E43BDF">
        <w:rPr>
          <w:b/>
          <w:bCs/>
          <w:w w:val="105"/>
          <w:sz w:val="22"/>
          <w:szCs w:val="22"/>
        </w:rPr>
        <w:t>r</w:t>
      </w:r>
      <w:r w:rsidR="00390D18" w:rsidRPr="00E43BDF">
        <w:rPr>
          <w:b/>
          <w:bCs/>
          <w:w w:val="105"/>
          <w:sz w:val="22"/>
          <w:szCs w:val="22"/>
        </w:rPr>
        <w:t xml:space="preserve"> attention</w:t>
      </w:r>
      <w:r w:rsidRPr="00E43BDF">
        <w:rPr>
          <w:b/>
          <w:bCs/>
          <w:w w:val="105"/>
          <w:sz w:val="22"/>
          <w:szCs w:val="22"/>
        </w:rPr>
        <w:t>.</w:t>
      </w:r>
      <w:bookmarkStart w:id="0" w:name="_GoBack"/>
      <w:bookmarkEnd w:id="0"/>
    </w:p>
    <w:sectPr w:rsidR="00EB09D0" w:rsidRPr="00E43BDF" w:rsidSect="009D5DDC">
      <w:type w:val="continuous"/>
      <w:pgSz w:w="11900" w:h="16840"/>
      <w:pgMar w:top="1276" w:right="13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0FD7E" w14:textId="77777777" w:rsidR="00627999" w:rsidRDefault="00627999" w:rsidP="00786A03">
      <w:r>
        <w:separator/>
      </w:r>
    </w:p>
  </w:endnote>
  <w:endnote w:type="continuationSeparator" w:id="0">
    <w:p w14:paraId="1D9B0BBF" w14:textId="77777777" w:rsidR="00627999" w:rsidRDefault="00627999" w:rsidP="0078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0D4A2" w14:textId="77777777" w:rsidR="00627999" w:rsidRDefault="00627999" w:rsidP="00786A03">
      <w:r>
        <w:separator/>
      </w:r>
    </w:p>
  </w:footnote>
  <w:footnote w:type="continuationSeparator" w:id="0">
    <w:p w14:paraId="0520EA6D" w14:textId="77777777" w:rsidR="00627999" w:rsidRDefault="00627999" w:rsidP="0078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E1181"/>
    <w:multiLevelType w:val="hybridMultilevel"/>
    <w:tmpl w:val="376CB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67758A"/>
    <w:multiLevelType w:val="hybridMultilevel"/>
    <w:tmpl w:val="9C174E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A84C3A"/>
    <w:multiLevelType w:val="hybridMultilevel"/>
    <w:tmpl w:val="3D206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F0D21C"/>
    <w:multiLevelType w:val="hybridMultilevel"/>
    <w:tmpl w:val="A21D43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D33912"/>
    <w:multiLevelType w:val="hybridMultilevel"/>
    <w:tmpl w:val="2A98C3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EA82B4"/>
    <w:multiLevelType w:val="hybridMultilevel"/>
    <w:tmpl w:val="FE9906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550CD3"/>
    <w:multiLevelType w:val="hybridMultilevel"/>
    <w:tmpl w:val="EBACE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AE0293"/>
    <w:multiLevelType w:val="hybridMultilevel"/>
    <w:tmpl w:val="56A9B0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02213A"/>
    <w:multiLevelType w:val="hybridMultilevel"/>
    <w:tmpl w:val="DB421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DC69F"/>
    <w:multiLevelType w:val="hybridMultilevel"/>
    <w:tmpl w:val="064EA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675C7C"/>
    <w:multiLevelType w:val="hybridMultilevel"/>
    <w:tmpl w:val="6A469282"/>
    <w:lvl w:ilvl="0" w:tplc="829C2FE2">
      <w:start w:val="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C735A"/>
    <w:multiLevelType w:val="hybridMultilevel"/>
    <w:tmpl w:val="3906F6CC"/>
    <w:lvl w:ilvl="0" w:tplc="A4BE9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F61A3"/>
    <w:multiLevelType w:val="hybridMultilevel"/>
    <w:tmpl w:val="E77CC1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1F600C7"/>
    <w:multiLevelType w:val="hybridMultilevel"/>
    <w:tmpl w:val="C87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067FB"/>
    <w:multiLevelType w:val="hybridMultilevel"/>
    <w:tmpl w:val="C2A0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3F036"/>
    <w:multiLevelType w:val="hybridMultilevel"/>
    <w:tmpl w:val="BDA6BF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6E06B8"/>
    <w:multiLevelType w:val="hybridMultilevel"/>
    <w:tmpl w:val="2C0AEA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51A353C"/>
    <w:multiLevelType w:val="hybridMultilevel"/>
    <w:tmpl w:val="3136307C"/>
    <w:lvl w:ilvl="0" w:tplc="E7A64FBC">
      <w:numFmt w:val="bullet"/>
      <w:lvlText w:val="-"/>
      <w:lvlJc w:val="left"/>
      <w:pPr>
        <w:ind w:left="360" w:hanging="360"/>
      </w:pPr>
      <w:rPr>
        <w:rFonts w:ascii="Arial" w:eastAsia="Arial" w:hAnsi="Arial" w:cs="Arial"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14"/>
  </w:num>
  <w:num w:numId="4">
    <w:abstractNumId w:val="17"/>
  </w:num>
  <w:num w:numId="5">
    <w:abstractNumId w:val="16"/>
  </w:num>
  <w:num w:numId="6">
    <w:abstractNumId w:val="8"/>
  </w:num>
  <w:num w:numId="7">
    <w:abstractNumId w:val="6"/>
  </w:num>
  <w:num w:numId="8">
    <w:abstractNumId w:val="10"/>
  </w:num>
  <w:num w:numId="9">
    <w:abstractNumId w:val="7"/>
  </w:num>
  <w:num w:numId="10">
    <w:abstractNumId w:val="0"/>
  </w:num>
  <w:num w:numId="11">
    <w:abstractNumId w:val="1"/>
  </w:num>
  <w:num w:numId="12">
    <w:abstractNumId w:val="3"/>
  </w:num>
  <w:num w:numId="13">
    <w:abstractNumId w:val="15"/>
  </w:num>
  <w:num w:numId="14">
    <w:abstractNumId w:val="4"/>
  </w:num>
  <w:num w:numId="15">
    <w:abstractNumId w:val="12"/>
  </w:num>
  <w:num w:numId="16">
    <w:abstractNumId w:val="9"/>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D0"/>
    <w:rsid w:val="00005149"/>
    <w:rsid w:val="0000583E"/>
    <w:rsid w:val="00012FA3"/>
    <w:rsid w:val="00031216"/>
    <w:rsid w:val="00062A6D"/>
    <w:rsid w:val="00076809"/>
    <w:rsid w:val="00095EEE"/>
    <w:rsid w:val="001022D1"/>
    <w:rsid w:val="00104682"/>
    <w:rsid w:val="00117D3C"/>
    <w:rsid w:val="0014131D"/>
    <w:rsid w:val="0014599F"/>
    <w:rsid w:val="001B0EBF"/>
    <w:rsid w:val="001B1FF0"/>
    <w:rsid w:val="001B2DA1"/>
    <w:rsid w:val="001D513E"/>
    <w:rsid w:val="001E71B0"/>
    <w:rsid w:val="001E73A4"/>
    <w:rsid w:val="0022257C"/>
    <w:rsid w:val="00222C21"/>
    <w:rsid w:val="00267A71"/>
    <w:rsid w:val="00286011"/>
    <w:rsid w:val="002B71B8"/>
    <w:rsid w:val="002D55A8"/>
    <w:rsid w:val="00304BE3"/>
    <w:rsid w:val="00326442"/>
    <w:rsid w:val="00334580"/>
    <w:rsid w:val="003631B9"/>
    <w:rsid w:val="00390D18"/>
    <w:rsid w:val="00390D68"/>
    <w:rsid w:val="00391135"/>
    <w:rsid w:val="003A64B2"/>
    <w:rsid w:val="003A64BD"/>
    <w:rsid w:val="003B2ABA"/>
    <w:rsid w:val="003B5C85"/>
    <w:rsid w:val="003E19F2"/>
    <w:rsid w:val="00423345"/>
    <w:rsid w:val="00447174"/>
    <w:rsid w:val="004668BE"/>
    <w:rsid w:val="00492C94"/>
    <w:rsid w:val="004D5081"/>
    <w:rsid w:val="004E4A6A"/>
    <w:rsid w:val="005139BF"/>
    <w:rsid w:val="00516B58"/>
    <w:rsid w:val="00561C30"/>
    <w:rsid w:val="005864DB"/>
    <w:rsid w:val="005C5E12"/>
    <w:rsid w:val="005E6184"/>
    <w:rsid w:val="005F49AE"/>
    <w:rsid w:val="005F6064"/>
    <w:rsid w:val="00616389"/>
    <w:rsid w:val="00627999"/>
    <w:rsid w:val="00640D19"/>
    <w:rsid w:val="00672E1B"/>
    <w:rsid w:val="0068712C"/>
    <w:rsid w:val="00696215"/>
    <w:rsid w:val="006A0ED3"/>
    <w:rsid w:val="006A2726"/>
    <w:rsid w:val="006F20B6"/>
    <w:rsid w:val="00705F37"/>
    <w:rsid w:val="0071672E"/>
    <w:rsid w:val="00721CA4"/>
    <w:rsid w:val="00756FED"/>
    <w:rsid w:val="00763139"/>
    <w:rsid w:val="00786A03"/>
    <w:rsid w:val="007879E8"/>
    <w:rsid w:val="007953E2"/>
    <w:rsid w:val="007A2A60"/>
    <w:rsid w:val="007B45DA"/>
    <w:rsid w:val="007C3A8E"/>
    <w:rsid w:val="007C446B"/>
    <w:rsid w:val="007C68AB"/>
    <w:rsid w:val="007D3BC5"/>
    <w:rsid w:val="007E7729"/>
    <w:rsid w:val="00810F70"/>
    <w:rsid w:val="0081193A"/>
    <w:rsid w:val="00816AC5"/>
    <w:rsid w:val="00816D1E"/>
    <w:rsid w:val="008341EA"/>
    <w:rsid w:val="00837BBC"/>
    <w:rsid w:val="00854A06"/>
    <w:rsid w:val="00883BA0"/>
    <w:rsid w:val="008914B8"/>
    <w:rsid w:val="00892D5E"/>
    <w:rsid w:val="008B05EA"/>
    <w:rsid w:val="008B6FE1"/>
    <w:rsid w:val="009242AF"/>
    <w:rsid w:val="00934130"/>
    <w:rsid w:val="009B1648"/>
    <w:rsid w:val="009B730B"/>
    <w:rsid w:val="009D0B4B"/>
    <w:rsid w:val="009D52CC"/>
    <w:rsid w:val="009D5DDC"/>
    <w:rsid w:val="00A12237"/>
    <w:rsid w:val="00A3573E"/>
    <w:rsid w:val="00A41C34"/>
    <w:rsid w:val="00A7179D"/>
    <w:rsid w:val="00A8349C"/>
    <w:rsid w:val="00AA10A6"/>
    <w:rsid w:val="00AA19FE"/>
    <w:rsid w:val="00AC3292"/>
    <w:rsid w:val="00AF4CBD"/>
    <w:rsid w:val="00B032C1"/>
    <w:rsid w:val="00B13805"/>
    <w:rsid w:val="00B23805"/>
    <w:rsid w:val="00B423BE"/>
    <w:rsid w:val="00B71ACE"/>
    <w:rsid w:val="00BA28E7"/>
    <w:rsid w:val="00BE39E9"/>
    <w:rsid w:val="00BF014B"/>
    <w:rsid w:val="00C03BB8"/>
    <w:rsid w:val="00C0435B"/>
    <w:rsid w:val="00C11546"/>
    <w:rsid w:val="00C53EAA"/>
    <w:rsid w:val="00C81A98"/>
    <w:rsid w:val="00CB18B0"/>
    <w:rsid w:val="00CC20FF"/>
    <w:rsid w:val="00CC3611"/>
    <w:rsid w:val="00CE4300"/>
    <w:rsid w:val="00D003A5"/>
    <w:rsid w:val="00D15A30"/>
    <w:rsid w:val="00D20AB5"/>
    <w:rsid w:val="00D361A5"/>
    <w:rsid w:val="00D40A68"/>
    <w:rsid w:val="00D62E92"/>
    <w:rsid w:val="00D91126"/>
    <w:rsid w:val="00DA44DC"/>
    <w:rsid w:val="00DA5F52"/>
    <w:rsid w:val="00DC7FF5"/>
    <w:rsid w:val="00DF0641"/>
    <w:rsid w:val="00E05358"/>
    <w:rsid w:val="00E21485"/>
    <w:rsid w:val="00E354FD"/>
    <w:rsid w:val="00E43BDF"/>
    <w:rsid w:val="00E664CF"/>
    <w:rsid w:val="00E838E8"/>
    <w:rsid w:val="00E92123"/>
    <w:rsid w:val="00E96BF7"/>
    <w:rsid w:val="00EB09D0"/>
    <w:rsid w:val="00EC1852"/>
    <w:rsid w:val="00F0610A"/>
    <w:rsid w:val="00F111A9"/>
    <w:rsid w:val="00F32961"/>
    <w:rsid w:val="00F57810"/>
    <w:rsid w:val="00F92644"/>
    <w:rsid w:val="00F941A9"/>
    <w:rsid w:val="00FA2D49"/>
    <w:rsid w:val="00FB649B"/>
    <w:rsid w:val="00FC1A3A"/>
    <w:rsid w:val="00FC4204"/>
    <w:rsid w:val="00FE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485B"/>
  <w15:docId w15:val="{BEC33FD1-E9AE-4E68-A049-041EE331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86A03"/>
    <w:rPr>
      <w:rFonts w:ascii="Arial" w:eastAsia="Arial" w:hAnsi="Arial" w:cs="Arial"/>
      <w:sz w:val="21"/>
      <w:szCs w:val="21"/>
    </w:r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rsid w:val="00786A03"/>
    <w:pPr>
      <w:widowControl/>
      <w:autoSpaceDE/>
      <w:autoSpaceDN/>
    </w:pPr>
    <w:rPr>
      <w:rFonts w:ascii="Times New Roman" w:eastAsia="Times New Roman" w:hAnsi="Times New Roman" w:cs="Times New Roman"/>
      <w:sz w:val="20"/>
      <w:szCs w:val="20"/>
      <w:lang w:val="en-IE" w:eastAsia="en-GB"/>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786A03"/>
    <w:rPr>
      <w:rFonts w:ascii="Times New Roman" w:eastAsia="Times New Roman" w:hAnsi="Times New Roman" w:cs="Times New Roman"/>
      <w:sz w:val="20"/>
      <w:szCs w:val="20"/>
      <w:lang w:val="en-IE" w:eastAsia="en-GB"/>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4GCharCharChar"/>
    <w:uiPriority w:val="99"/>
    <w:qFormat/>
    <w:rsid w:val="00786A0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86A03"/>
    <w:pPr>
      <w:widowControl/>
      <w:autoSpaceDE/>
      <w:autoSpaceDN/>
      <w:spacing w:after="160" w:line="240" w:lineRule="exact"/>
      <w:jc w:val="both"/>
    </w:pPr>
    <w:rPr>
      <w:rFonts w:asciiTheme="minorHAnsi" w:eastAsiaTheme="minorHAnsi" w:hAnsiTheme="minorHAnsi" w:cstheme="minorBidi"/>
      <w:vertAlign w:val="superscript"/>
    </w:rPr>
  </w:style>
  <w:style w:type="paragraph" w:styleId="Header">
    <w:name w:val="header"/>
    <w:basedOn w:val="Normal"/>
    <w:link w:val="HeaderChar"/>
    <w:uiPriority w:val="99"/>
    <w:unhideWhenUsed/>
    <w:rsid w:val="003B2ABA"/>
    <w:pPr>
      <w:tabs>
        <w:tab w:val="center" w:pos="4513"/>
        <w:tab w:val="right" w:pos="9026"/>
      </w:tabs>
    </w:pPr>
  </w:style>
  <w:style w:type="character" w:customStyle="1" w:styleId="HeaderChar">
    <w:name w:val="Header Char"/>
    <w:basedOn w:val="DefaultParagraphFont"/>
    <w:link w:val="Header"/>
    <w:uiPriority w:val="99"/>
    <w:rsid w:val="003B2ABA"/>
    <w:rPr>
      <w:rFonts w:ascii="Arial" w:eastAsia="Arial" w:hAnsi="Arial" w:cs="Arial"/>
    </w:rPr>
  </w:style>
  <w:style w:type="paragraph" w:styleId="Footer">
    <w:name w:val="footer"/>
    <w:basedOn w:val="Normal"/>
    <w:link w:val="FooterChar"/>
    <w:uiPriority w:val="99"/>
    <w:unhideWhenUsed/>
    <w:rsid w:val="003B2ABA"/>
    <w:pPr>
      <w:tabs>
        <w:tab w:val="center" w:pos="4513"/>
        <w:tab w:val="right" w:pos="9026"/>
      </w:tabs>
    </w:pPr>
  </w:style>
  <w:style w:type="character" w:customStyle="1" w:styleId="FooterChar">
    <w:name w:val="Footer Char"/>
    <w:basedOn w:val="DefaultParagraphFont"/>
    <w:link w:val="Footer"/>
    <w:uiPriority w:val="99"/>
    <w:rsid w:val="003B2ABA"/>
    <w:rPr>
      <w:rFonts w:ascii="Arial" w:eastAsia="Arial" w:hAnsi="Arial" w:cs="Arial"/>
    </w:rPr>
  </w:style>
  <w:style w:type="character" w:styleId="Hyperlink">
    <w:name w:val="Hyperlink"/>
    <w:basedOn w:val="DefaultParagraphFont"/>
    <w:uiPriority w:val="99"/>
    <w:unhideWhenUsed/>
    <w:rsid w:val="009D52CC"/>
    <w:rPr>
      <w:color w:val="0000FF" w:themeColor="hyperlink"/>
      <w:u w:val="single"/>
    </w:rPr>
  </w:style>
  <w:style w:type="character" w:styleId="UnresolvedMention">
    <w:name w:val="Unresolved Mention"/>
    <w:basedOn w:val="DefaultParagraphFont"/>
    <w:uiPriority w:val="99"/>
    <w:semiHidden/>
    <w:unhideWhenUsed/>
    <w:rsid w:val="003A64BD"/>
    <w:rPr>
      <w:color w:val="605E5C"/>
      <w:shd w:val="clear" w:color="auto" w:fill="E1DFDD"/>
    </w:rPr>
  </w:style>
  <w:style w:type="paragraph" w:customStyle="1" w:styleId="Default">
    <w:name w:val="Default"/>
    <w:rsid w:val="00C53EAA"/>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8547">
      <w:bodyDiv w:val="1"/>
      <w:marLeft w:val="0"/>
      <w:marRight w:val="0"/>
      <w:marTop w:val="0"/>
      <w:marBottom w:val="0"/>
      <w:divBdr>
        <w:top w:val="none" w:sz="0" w:space="0" w:color="auto"/>
        <w:left w:val="none" w:sz="0" w:space="0" w:color="auto"/>
        <w:bottom w:val="none" w:sz="0" w:space="0" w:color="auto"/>
        <w:right w:val="none" w:sz="0" w:space="0" w:color="auto"/>
      </w:divBdr>
    </w:div>
    <w:div w:id="43741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ioe-emp.org/index.php?eID=dumpFile&amp;t=f&amp;f=145680&amp;token=9dbcc1f8414128d575cd6bef9f36b84ec106a386" TargetMode="External"/><Relationship Id="rId4" Type="http://schemas.openxmlformats.org/officeDocument/2006/relationships/settings" Target="settings.xml"/><Relationship Id="rId9" Type="http://schemas.openxmlformats.org/officeDocument/2006/relationships/hyperlink" Target="http://www.ioe-emp.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3F5D86-B151-44E3-94D8-9F27074D20ED}">
  <ds:schemaRefs>
    <ds:schemaRef ds:uri="http://schemas.openxmlformats.org/officeDocument/2006/bibliography"/>
  </ds:schemaRefs>
</ds:datastoreItem>
</file>

<file path=customXml/itemProps2.xml><?xml version="1.0" encoding="utf-8"?>
<ds:datastoreItem xmlns:ds="http://schemas.openxmlformats.org/officeDocument/2006/customXml" ds:itemID="{6CDE4677-0F52-4F5A-8E27-EE3806456B17}"/>
</file>

<file path=customXml/itemProps3.xml><?xml version="1.0" encoding="utf-8"?>
<ds:datastoreItem xmlns:ds="http://schemas.openxmlformats.org/officeDocument/2006/customXml" ds:itemID="{91FEA16F-16EE-4777-BAFB-4AC8525F56EF}"/>
</file>

<file path=customXml/itemProps4.xml><?xml version="1.0" encoding="utf-8"?>
<ds:datastoreItem xmlns:ds="http://schemas.openxmlformats.org/officeDocument/2006/customXml" ds:itemID="{640D20A2-F2AD-44FD-8169-2E6E32B00365}"/>
</file>

<file path=docProps/app.xml><?xml version="1.0" encoding="utf-8"?>
<Properties xmlns="http://schemas.openxmlformats.org/officeDocument/2006/extended-properties" xmlns:vt="http://schemas.openxmlformats.org/officeDocument/2006/docPropsVTypes">
  <Template>Normal.dotm</Template>
  <TotalTime>96</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Hall</dc:creator>
  <cp:lastModifiedBy>Peter Hall</cp:lastModifiedBy>
  <cp:revision>17</cp:revision>
  <dcterms:created xsi:type="dcterms:W3CDTF">2019-10-14T13:08:00Z</dcterms:created>
  <dcterms:modified xsi:type="dcterms:W3CDTF">2019-10-15T08:15:00Z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