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900FF" w14:textId="4058C699" w:rsidR="00BA28E7" w:rsidRDefault="00423345" w:rsidP="00896BE2">
      <w:pPr>
        <w:pStyle w:val="BodyText"/>
        <w:spacing w:line="276" w:lineRule="auto"/>
        <w:rPr>
          <w:b/>
          <w:color w:val="FF0000"/>
          <w:w w:val="105"/>
        </w:rPr>
      </w:pPr>
      <w:r>
        <w:rPr>
          <w:noProof/>
        </w:rPr>
        <w:drawing>
          <wp:anchor distT="0" distB="0" distL="114300" distR="114300" simplePos="0" relativeHeight="251658240" behindDoc="0" locked="0" layoutInCell="1" allowOverlap="1" wp14:anchorId="5955FFD0" wp14:editId="1B094DB2">
            <wp:simplePos x="0" y="0"/>
            <wp:positionH relativeFrom="column">
              <wp:posOffset>-635</wp:posOffset>
            </wp:positionH>
            <wp:positionV relativeFrom="paragraph">
              <wp:posOffset>0</wp:posOffset>
            </wp:positionV>
            <wp:extent cx="1803400" cy="7620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9EF2A" w14:textId="75DD0271" w:rsidR="00BA28E7" w:rsidRPr="00F32961" w:rsidRDefault="006A2726" w:rsidP="00896BE2">
      <w:pPr>
        <w:pStyle w:val="BodyText"/>
        <w:spacing w:line="276" w:lineRule="auto"/>
        <w:rPr>
          <w:sz w:val="20"/>
        </w:rPr>
      </w:pPr>
      <w:r w:rsidRPr="006A2726">
        <w:rPr>
          <w:b/>
          <w:color w:val="FF0000"/>
          <w:w w:val="105"/>
        </w:rPr>
        <w:t xml:space="preserve"> </w:t>
      </w:r>
    </w:p>
    <w:p w14:paraId="51B90309" w14:textId="77777777" w:rsidR="006A2726" w:rsidRDefault="00BA28E7" w:rsidP="00896BE2">
      <w:pPr>
        <w:spacing w:line="276" w:lineRule="auto"/>
        <w:ind w:right="179"/>
        <w:jc w:val="right"/>
        <w:rPr>
          <w:b/>
          <w:w w:val="105"/>
          <w:sz w:val="21"/>
        </w:rPr>
      </w:pPr>
      <w:r>
        <w:rPr>
          <w:b/>
          <w:color w:val="FF0000"/>
          <w:w w:val="105"/>
          <w:sz w:val="21"/>
        </w:rPr>
        <w:t>C</w:t>
      </w:r>
      <w:r w:rsidRPr="006A2726">
        <w:rPr>
          <w:b/>
          <w:color w:val="FF0000"/>
          <w:w w:val="105"/>
          <w:sz w:val="21"/>
        </w:rPr>
        <w:t>heck against delivery!</w:t>
      </w:r>
    </w:p>
    <w:p w14:paraId="41B655DF" w14:textId="77777777" w:rsidR="00BA28E7" w:rsidRDefault="00BA28E7" w:rsidP="00896BE2">
      <w:pPr>
        <w:spacing w:line="276" w:lineRule="auto"/>
        <w:ind w:right="179"/>
        <w:jc w:val="center"/>
        <w:rPr>
          <w:b/>
          <w:w w:val="105"/>
          <w:sz w:val="21"/>
        </w:rPr>
      </w:pPr>
    </w:p>
    <w:p w14:paraId="0B09318B" w14:textId="77777777" w:rsidR="00BA28E7" w:rsidRDefault="00BA28E7" w:rsidP="00896BE2">
      <w:pPr>
        <w:spacing w:line="276" w:lineRule="auto"/>
        <w:ind w:right="179"/>
        <w:rPr>
          <w:b/>
          <w:w w:val="105"/>
          <w:sz w:val="21"/>
        </w:rPr>
      </w:pPr>
    </w:p>
    <w:p w14:paraId="7ABE59B0" w14:textId="77777777" w:rsidR="00BA28E7" w:rsidRPr="002D55A8" w:rsidRDefault="00BA28E7" w:rsidP="00896BE2">
      <w:pPr>
        <w:spacing w:line="276" w:lineRule="auto"/>
        <w:ind w:right="179"/>
        <w:rPr>
          <w:b/>
          <w:w w:val="105"/>
        </w:rPr>
      </w:pPr>
    </w:p>
    <w:p w14:paraId="1EFE44CE" w14:textId="660BDD62" w:rsidR="002D55A8" w:rsidRPr="00892D5E" w:rsidRDefault="00423345" w:rsidP="00896BE2">
      <w:pPr>
        <w:spacing w:line="276" w:lineRule="auto"/>
        <w:ind w:right="179"/>
        <w:jc w:val="center"/>
        <w:rPr>
          <w:b/>
          <w:w w:val="105"/>
          <w:sz w:val="24"/>
          <w:szCs w:val="24"/>
        </w:rPr>
      </w:pPr>
      <w:r>
        <w:rPr>
          <w:b/>
          <w:w w:val="105"/>
          <w:sz w:val="24"/>
          <w:szCs w:val="24"/>
        </w:rPr>
        <w:t>5</w:t>
      </w:r>
      <w:r w:rsidR="00892D5E" w:rsidRPr="00892D5E">
        <w:rPr>
          <w:b/>
          <w:w w:val="105"/>
          <w:sz w:val="24"/>
          <w:szCs w:val="24"/>
          <w:vertAlign w:val="superscript"/>
        </w:rPr>
        <w:t>th</w:t>
      </w:r>
      <w:r w:rsidR="00892D5E">
        <w:rPr>
          <w:b/>
          <w:w w:val="105"/>
          <w:sz w:val="24"/>
          <w:szCs w:val="24"/>
        </w:rPr>
        <w:t xml:space="preserve"> </w:t>
      </w:r>
      <w:r w:rsidR="006A2726" w:rsidRPr="00892D5E">
        <w:rPr>
          <w:b/>
          <w:w w:val="105"/>
          <w:sz w:val="24"/>
          <w:szCs w:val="24"/>
        </w:rPr>
        <w:t>session of the Inter</w:t>
      </w:r>
      <w:r>
        <w:rPr>
          <w:b/>
          <w:w w:val="105"/>
          <w:sz w:val="24"/>
          <w:szCs w:val="24"/>
        </w:rPr>
        <w:t>-G</w:t>
      </w:r>
      <w:r w:rsidR="006A2726" w:rsidRPr="00892D5E">
        <w:rPr>
          <w:b/>
          <w:w w:val="105"/>
          <w:sz w:val="24"/>
          <w:szCs w:val="24"/>
        </w:rPr>
        <w:t>overnmental Working Group on transnational corporations and other business enterprises with respect to human rights</w:t>
      </w:r>
      <w:r w:rsidR="009D52CC" w:rsidRPr="00892D5E">
        <w:rPr>
          <w:b/>
          <w:w w:val="105"/>
          <w:sz w:val="24"/>
          <w:szCs w:val="24"/>
        </w:rPr>
        <w:t xml:space="preserve"> </w:t>
      </w:r>
    </w:p>
    <w:p w14:paraId="3AEEE28E" w14:textId="77777777" w:rsidR="002D55A8" w:rsidRDefault="002D55A8" w:rsidP="00896BE2">
      <w:pPr>
        <w:spacing w:line="276" w:lineRule="auto"/>
        <w:ind w:right="179"/>
        <w:jc w:val="center"/>
        <w:rPr>
          <w:b/>
          <w:w w:val="105"/>
        </w:rPr>
      </w:pPr>
    </w:p>
    <w:p w14:paraId="7383BDFB" w14:textId="13013F87" w:rsidR="006A2726" w:rsidRPr="002D55A8" w:rsidRDefault="009D52CC" w:rsidP="00896BE2">
      <w:pPr>
        <w:spacing w:line="276" w:lineRule="auto"/>
        <w:ind w:right="179"/>
        <w:jc w:val="center"/>
        <w:rPr>
          <w:b/>
          <w:w w:val="105"/>
        </w:rPr>
      </w:pPr>
      <w:r w:rsidRPr="002D55A8">
        <w:rPr>
          <w:b/>
          <w:w w:val="105"/>
        </w:rPr>
        <w:t>(1</w:t>
      </w:r>
      <w:r w:rsidR="00423345">
        <w:rPr>
          <w:b/>
          <w:w w:val="105"/>
        </w:rPr>
        <w:t>4</w:t>
      </w:r>
      <w:r w:rsidRPr="002D55A8">
        <w:rPr>
          <w:b/>
          <w:w w:val="105"/>
        </w:rPr>
        <w:t>-1</w:t>
      </w:r>
      <w:r w:rsidR="00423345">
        <w:rPr>
          <w:b/>
          <w:w w:val="105"/>
        </w:rPr>
        <w:t>8</w:t>
      </w:r>
      <w:r w:rsidRPr="002D55A8">
        <w:rPr>
          <w:b/>
          <w:w w:val="105"/>
        </w:rPr>
        <w:t xml:space="preserve"> October 201</w:t>
      </w:r>
      <w:r w:rsidR="00423345">
        <w:rPr>
          <w:b/>
          <w:w w:val="105"/>
        </w:rPr>
        <w:t>9</w:t>
      </w:r>
      <w:r w:rsidRPr="002D55A8">
        <w:rPr>
          <w:b/>
          <w:w w:val="105"/>
        </w:rPr>
        <w:t>)</w:t>
      </w:r>
    </w:p>
    <w:p w14:paraId="201C2891" w14:textId="77777777" w:rsidR="006A2726" w:rsidRDefault="006A2726" w:rsidP="00896BE2">
      <w:pPr>
        <w:spacing w:line="276" w:lineRule="auto"/>
        <w:ind w:right="179"/>
        <w:jc w:val="center"/>
        <w:rPr>
          <w:b/>
          <w:w w:val="105"/>
          <w:sz w:val="21"/>
        </w:rPr>
      </w:pPr>
    </w:p>
    <w:p w14:paraId="6D6626FD" w14:textId="46C60E7F" w:rsidR="00EB09D0" w:rsidRDefault="00272923" w:rsidP="00896BE2">
      <w:pPr>
        <w:spacing w:line="276" w:lineRule="auto"/>
        <w:ind w:right="179"/>
        <w:jc w:val="center"/>
        <w:rPr>
          <w:b/>
          <w:color w:val="FF0000"/>
          <w:w w:val="105"/>
          <w:sz w:val="28"/>
          <w:szCs w:val="28"/>
        </w:rPr>
      </w:pPr>
      <w:r>
        <w:rPr>
          <w:b/>
          <w:color w:val="FF0000"/>
          <w:w w:val="105"/>
          <w:sz w:val="28"/>
          <w:szCs w:val="28"/>
        </w:rPr>
        <w:t>Legal liability</w:t>
      </w:r>
    </w:p>
    <w:p w14:paraId="4BEBEE74" w14:textId="77777777" w:rsidR="00D15A30" w:rsidRPr="006A2726" w:rsidRDefault="00D15A30" w:rsidP="00896BE2">
      <w:pPr>
        <w:spacing w:line="276" w:lineRule="auto"/>
        <w:ind w:right="179"/>
        <w:jc w:val="center"/>
        <w:rPr>
          <w:b/>
          <w:sz w:val="25"/>
        </w:rPr>
      </w:pPr>
    </w:p>
    <w:p w14:paraId="02F2ACBA" w14:textId="73E60EEA" w:rsidR="00786A03" w:rsidRPr="00D91126" w:rsidRDefault="003B2ABA" w:rsidP="00896BE2">
      <w:pPr>
        <w:pStyle w:val="BodyText"/>
        <w:spacing w:line="276" w:lineRule="auto"/>
        <w:jc w:val="both"/>
        <w:rPr>
          <w:b/>
          <w:w w:val="105"/>
          <w:sz w:val="22"/>
          <w:szCs w:val="22"/>
        </w:rPr>
      </w:pPr>
      <w:r w:rsidRPr="00D91126">
        <w:rPr>
          <w:b/>
          <w:w w:val="105"/>
          <w:sz w:val="22"/>
          <w:szCs w:val="22"/>
        </w:rPr>
        <w:t xml:space="preserve">Thank </w:t>
      </w:r>
      <w:r w:rsidR="00012FA3" w:rsidRPr="00D91126">
        <w:rPr>
          <w:b/>
          <w:w w:val="105"/>
          <w:sz w:val="22"/>
          <w:szCs w:val="22"/>
        </w:rPr>
        <w:t>you</w:t>
      </w:r>
      <w:r w:rsidR="007C3A8E" w:rsidRPr="00D91126">
        <w:rPr>
          <w:b/>
          <w:w w:val="105"/>
          <w:sz w:val="22"/>
          <w:szCs w:val="22"/>
        </w:rPr>
        <w:t xml:space="preserve"> Chair</w:t>
      </w:r>
      <w:r w:rsidR="00012FA3" w:rsidRPr="00D91126">
        <w:rPr>
          <w:b/>
          <w:w w:val="105"/>
          <w:sz w:val="22"/>
          <w:szCs w:val="22"/>
        </w:rPr>
        <w:t xml:space="preserve">, </w:t>
      </w:r>
    </w:p>
    <w:p w14:paraId="1E63D577" w14:textId="77010294" w:rsidR="009D52CC" w:rsidRPr="00D91126" w:rsidRDefault="009D52CC" w:rsidP="00896BE2">
      <w:pPr>
        <w:pStyle w:val="BodyText"/>
        <w:spacing w:before="1" w:line="276" w:lineRule="auto"/>
        <w:ind w:right="109"/>
        <w:jc w:val="both"/>
        <w:rPr>
          <w:w w:val="105"/>
          <w:sz w:val="22"/>
          <w:szCs w:val="22"/>
        </w:rPr>
      </w:pPr>
    </w:p>
    <w:p w14:paraId="549C5E42" w14:textId="73880EA0" w:rsidR="00FB649B" w:rsidRPr="00FB649B" w:rsidRDefault="009D52CC" w:rsidP="00896BE2">
      <w:pPr>
        <w:adjustRightInd w:val="0"/>
        <w:spacing w:line="276" w:lineRule="auto"/>
        <w:jc w:val="both"/>
      </w:pPr>
      <w:r w:rsidRPr="00D91126">
        <w:t xml:space="preserve">I </w:t>
      </w:r>
      <w:r w:rsidR="00FB649B">
        <w:t xml:space="preserve">deliver this statement </w:t>
      </w:r>
      <w:r w:rsidRPr="00D91126">
        <w:t xml:space="preserve">on behalf of the International </w:t>
      </w:r>
      <w:proofErr w:type="spellStart"/>
      <w:r w:rsidRPr="00D91126">
        <w:t>Organisation</w:t>
      </w:r>
      <w:proofErr w:type="spellEnd"/>
      <w:r w:rsidRPr="00D91126">
        <w:t xml:space="preserve"> of Employers (</w:t>
      </w:r>
      <w:hyperlink r:id="rId9" w:history="1">
        <w:r w:rsidRPr="00D91126">
          <w:rPr>
            <w:rStyle w:val="Hyperlink"/>
          </w:rPr>
          <w:t>IOE</w:t>
        </w:r>
      </w:hyperlink>
      <w:r w:rsidRPr="00D91126">
        <w:t>)</w:t>
      </w:r>
      <w:r w:rsidR="00FB649B">
        <w:t>.</w:t>
      </w:r>
      <w:r w:rsidR="002665AA">
        <w:t xml:space="preserve"> </w:t>
      </w:r>
      <w:r w:rsidR="00FB649B">
        <w:t xml:space="preserve">I </w:t>
      </w:r>
      <w:r w:rsidR="002665AA">
        <w:t xml:space="preserve">note again </w:t>
      </w:r>
      <w:r w:rsidR="00FB649B">
        <w:t xml:space="preserve">the </w:t>
      </w:r>
      <w:hyperlink r:id="rId10" w:history="1">
        <w:r w:rsidR="00FB649B" w:rsidRPr="00D91126">
          <w:rPr>
            <w:rStyle w:val="Hyperlink"/>
          </w:rPr>
          <w:t>Joint Business Response</w:t>
        </w:r>
      </w:hyperlink>
      <w:r w:rsidR="00FB649B" w:rsidRPr="00D91126">
        <w:t xml:space="preserve"> to the Revised </w:t>
      </w:r>
      <w:r w:rsidR="00FB649B" w:rsidRPr="00D91126">
        <w:rPr>
          <w:w w:val="105"/>
        </w:rPr>
        <w:t>Draft Treaty</w:t>
      </w:r>
      <w:r w:rsidR="00616389">
        <w:rPr>
          <w:w w:val="105"/>
        </w:rPr>
        <w:t xml:space="preserve">, which describes </w:t>
      </w:r>
      <w:r w:rsidR="005D6B9A">
        <w:rPr>
          <w:w w:val="105"/>
        </w:rPr>
        <w:t xml:space="preserve">the business community's </w:t>
      </w:r>
      <w:r w:rsidR="00616389">
        <w:rPr>
          <w:w w:val="105"/>
        </w:rPr>
        <w:t xml:space="preserve">points on </w:t>
      </w:r>
      <w:r w:rsidR="00BA20D7">
        <w:rPr>
          <w:w w:val="105"/>
        </w:rPr>
        <w:t>"</w:t>
      </w:r>
      <w:r w:rsidR="00272923">
        <w:rPr>
          <w:w w:val="105"/>
        </w:rPr>
        <w:t>legal liability</w:t>
      </w:r>
      <w:r w:rsidR="00BA20D7">
        <w:rPr>
          <w:w w:val="105"/>
        </w:rPr>
        <w:t>"</w:t>
      </w:r>
      <w:r w:rsidR="002665AA">
        <w:rPr>
          <w:w w:val="105"/>
        </w:rPr>
        <w:t xml:space="preserve"> </w:t>
      </w:r>
      <w:r w:rsidR="00616389">
        <w:rPr>
          <w:w w:val="105"/>
        </w:rPr>
        <w:t>in more detail.</w:t>
      </w:r>
    </w:p>
    <w:p w14:paraId="61B30B52" w14:textId="77777777" w:rsidR="00B23805" w:rsidRPr="00B23805" w:rsidRDefault="00B23805" w:rsidP="00896BE2">
      <w:pPr>
        <w:adjustRightInd w:val="0"/>
        <w:spacing w:line="276" w:lineRule="auto"/>
        <w:jc w:val="both"/>
        <w:rPr>
          <w:b/>
          <w:bCs/>
        </w:rPr>
      </w:pPr>
    </w:p>
    <w:p w14:paraId="19A76DA1" w14:textId="656DFF1C" w:rsidR="008443CA" w:rsidRDefault="00923DDA" w:rsidP="008443CA">
      <w:pPr>
        <w:pStyle w:val="ListParagraph"/>
        <w:numPr>
          <w:ilvl w:val="0"/>
          <w:numId w:val="6"/>
        </w:numPr>
        <w:adjustRightInd w:val="0"/>
        <w:spacing w:line="276" w:lineRule="auto"/>
        <w:jc w:val="both"/>
      </w:pPr>
      <w:r>
        <w:t>The Revised Draft Treaty raises many concerns about legal definition, applicability, enforcement</w:t>
      </w:r>
      <w:r w:rsidR="008443CA">
        <w:t xml:space="preserve">. </w:t>
      </w:r>
      <w:r w:rsidR="00FE474A">
        <w:t xml:space="preserve">Yesterday, we </w:t>
      </w:r>
      <w:r w:rsidR="008443CA">
        <w:t>explained some of these concerns in relation to the article on prevention</w:t>
      </w:r>
      <w:r w:rsidR="00FE474A">
        <w:t>.</w:t>
      </w:r>
      <w:r w:rsidR="008443CA">
        <w:t xml:space="preserve"> </w:t>
      </w:r>
    </w:p>
    <w:p w14:paraId="061C2001" w14:textId="77777777" w:rsidR="008443CA" w:rsidRDefault="008443CA" w:rsidP="008443CA">
      <w:pPr>
        <w:pStyle w:val="ListParagraph"/>
        <w:adjustRightInd w:val="0"/>
        <w:spacing w:line="276" w:lineRule="auto"/>
        <w:ind w:left="360"/>
        <w:jc w:val="both"/>
      </w:pPr>
    </w:p>
    <w:p w14:paraId="1584FEFF" w14:textId="317A9E1D" w:rsidR="00650CC5" w:rsidRPr="00650CC5" w:rsidRDefault="008443CA" w:rsidP="008443CA">
      <w:pPr>
        <w:pStyle w:val="ListParagraph"/>
        <w:numPr>
          <w:ilvl w:val="0"/>
          <w:numId w:val="6"/>
        </w:numPr>
        <w:adjustRightInd w:val="0"/>
        <w:spacing w:line="276" w:lineRule="auto"/>
        <w:jc w:val="both"/>
      </w:pPr>
      <w:r>
        <w:t>At the same time</w:t>
      </w:r>
      <w:r w:rsidR="00896BE2">
        <w:t xml:space="preserve">, </w:t>
      </w:r>
      <w:r>
        <w:t xml:space="preserve">we note that </w:t>
      </w:r>
      <w:r w:rsidR="00896BE2" w:rsidRPr="008443CA">
        <w:rPr>
          <w:rFonts w:eastAsiaTheme="minorHAnsi"/>
          <w:color w:val="000000"/>
          <w:lang w:val="en-GB"/>
        </w:rPr>
        <w:t xml:space="preserve">the scope of liability </w:t>
      </w:r>
      <w:r w:rsidRPr="008443CA">
        <w:rPr>
          <w:rFonts w:eastAsiaTheme="minorHAnsi"/>
          <w:color w:val="000000"/>
          <w:lang w:val="en-GB"/>
        </w:rPr>
        <w:t xml:space="preserve">is </w:t>
      </w:r>
      <w:r w:rsidR="00896BE2" w:rsidRPr="008443CA">
        <w:rPr>
          <w:rFonts w:eastAsiaTheme="minorHAnsi"/>
          <w:color w:val="000000"/>
          <w:lang w:val="en-GB"/>
        </w:rPr>
        <w:t>broad and far-reaching</w:t>
      </w:r>
      <w:r>
        <w:rPr>
          <w:rFonts w:eastAsiaTheme="minorHAnsi"/>
          <w:color w:val="000000"/>
          <w:lang w:val="en-GB"/>
        </w:rPr>
        <w:t xml:space="preserve"> and there remain </w:t>
      </w:r>
      <w:r w:rsidR="00896BE2" w:rsidRPr="008443CA">
        <w:rPr>
          <w:rFonts w:eastAsiaTheme="minorHAnsi"/>
          <w:color w:val="000000"/>
          <w:lang w:val="en-GB"/>
        </w:rPr>
        <w:t xml:space="preserve">two </w:t>
      </w:r>
      <w:r>
        <w:rPr>
          <w:rFonts w:eastAsiaTheme="minorHAnsi"/>
          <w:color w:val="000000"/>
          <w:lang w:val="en-GB"/>
        </w:rPr>
        <w:t xml:space="preserve">fundamental </w:t>
      </w:r>
      <w:r w:rsidR="00896BE2" w:rsidRPr="008443CA">
        <w:rPr>
          <w:rFonts w:eastAsiaTheme="minorHAnsi"/>
          <w:color w:val="000000"/>
          <w:lang w:val="en-GB"/>
        </w:rPr>
        <w:t>questions: who exactly should be held legally liable, and how is this to be determined?</w:t>
      </w:r>
    </w:p>
    <w:p w14:paraId="216BC3A6" w14:textId="77777777" w:rsidR="00650CC5" w:rsidRPr="00650CC5" w:rsidRDefault="00650CC5" w:rsidP="00650CC5">
      <w:pPr>
        <w:pStyle w:val="ListParagraph"/>
        <w:adjustRightInd w:val="0"/>
        <w:spacing w:line="276" w:lineRule="auto"/>
        <w:ind w:left="360"/>
        <w:jc w:val="both"/>
      </w:pPr>
    </w:p>
    <w:p w14:paraId="2796EEAC" w14:textId="492F5D9B" w:rsidR="00650CC5" w:rsidRDefault="007267B8" w:rsidP="00896BE2">
      <w:pPr>
        <w:pStyle w:val="ListParagraph"/>
        <w:numPr>
          <w:ilvl w:val="0"/>
          <w:numId w:val="6"/>
        </w:numPr>
        <w:adjustRightInd w:val="0"/>
        <w:spacing w:line="276" w:lineRule="auto"/>
        <w:jc w:val="both"/>
      </w:pPr>
      <w:r>
        <w:t xml:space="preserve">On civil liability: </w:t>
      </w:r>
      <w:r w:rsidR="00896BE2" w:rsidRPr="00896BE2">
        <w:t xml:space="preserve">The Revised Draft Treaty takes an overly broad approach to civil liability that could foresee civil liability without causality in some jurisdictions. It also offers no safe </w:t>
      </w:r>
      <w:proofErr w:type="spellStart"/>
      <w:r w:rsidR="00896BE2" w:rsidRPr="00896BE2">
        <w:t>harbour</w:t>
      </w:r>
      <w:proofErr w:type="spellEnd"/>
      <w:r w:rsidR="00896BE2" w:rsidRPr="00896BE2">
        <w:t xml:space="preserve"> provisions for companies that are taking meaningful steps to prevent or halt an abuse in their supply chain. </w:t>
      </w:r>
      <w:r w:rsidR="00150D85">
        <w:t>Equally, t</w:t>
      </w:r>
      <w:r w:rsidR="00896BE2" w:rsidRPr="00896BE2">
        <w:t xml:space="preserve">he provision on "foreseeability" is </w:t>
      </w:r>
      <w:r w:rsidR="00FE474A">
        <w:t xml:space="preserve">very </w:t>
      </w:r>
      <w:r w:rsidR="00896BE2" w:rsidRPr="00896BE2">
        <w:t>expansive</w:t>
      </w:r>
      <w:r w:rsidR="00150D85">
        <w:t>. I</w:t>
      </w:r>
      <w:r w:rsidR="00896BE2" w:rsidRPr="00896BE2">
        <w:t xml:space="preserve">t is not clear if the intention is to use foreseeability in its conventional legal sense to limit liability for unforeseeable impacts or to expand liability to include all foreseeable human rights violations, independent of causation. </w:t>
      </w:r>
    </w:p>
    <w:p w14:paraId="644EF4D4" w14:textId="77777777" w:rsidR="00650CC5" w:rsidRDefault="00650CC5" w:rsidP="00650CC5">
      <w:pPr>
        <w:pStyle w:val="ListParagraph"/>
      </w:pPr>
    </w:p>
    <w:p w14:paraId="5733CF07" w14:textId="62AE6CB9" w:rsidR="00FE474A" w:rsidRDefault="007267B8" w:rsidP="00650CC5">
      <w:pPr>
        <w:pStyle w:val="ListParagraph"/>
        <w:numPr>
          <w:ilvl w:val="0"/>
          <w:numId w:val="6"/>
        </w:numPr>
        <w:adjustRightInd w:val="0"/>
        <w:spacing w:line="276" w:lineRule="auto"/>
        <w:jc w:val="both"/>
      </w:pPr>
      <w:r>
        <w:t xml:space="preserve">On criminal liability: we note the differing views in the IGWG on the </w:t>
      </w:r>
      <w:r w:rsidR="00896BE2" w:rsidRPr="00896BE2">
        <w:t xml:space="preserve">list </w:t>
      </w:r>
      <w:r>
        <w:t xml:space="preserve">of </w:t>
      </w:r>
      <w:r w:rsidR="00896BE2" w:rsidRPr="00896BE2">
        <w:t xml:space="preserve">criminal offences that would fall under </w:t>
      </w:r>
      <w:r>
        <w:t xml:space="preserve">the Treaty's </w:t>
      </w:r>
      <w:r w:rsidR="00896BE2" w:rsidRPr="00896BE2">
        <w:t>scope.</w:t>
      </w:r>
      <w:r w:rsidR="00652DB4">
        <w:t xml:space="preserve"> </w:t>
      </w:r>
      <w:r w:rsidR="00FE474A">
        <w:t xml:space="preserve">We have concerns and questions about the </w:t>
      </w:r>
      <w:r w:rsidR="00896BE2" w:rsidRPr="00896BE2">
        <w:t>applicability</w:t>
      </w:r>
      <w:r w:rsidR="00FE474A">
        <w:t xml:space="preserve"> of these criminal offences</w:t>
      </w:r>
      <w:r w:rsidR="00896BE2" w:rsidRPr="00896BE2">
        <w:t xml:space="preserve"> to natural and legal persons. </w:t>
      </w:r>
    </w:p>
    <w:p w14:paraId="799A16D5" w14:textId="77777777" w:rsidR="00FE474A" w:rsidRDefault="00FE474A" w:rsidP="00FE474A">
      <w:pPr>
        <w:pStyle w:val="ListParagraph"/>
      </w:pPr>
    </w:p>
    <w:p w14:paraId="03DFB5DD" w14:textId="043D8450" w:rsidR="00650CC5" w:rsidRDefault="00896BE2" w:rsidP="00651728">
      <w:pPr>
        <w:pStyle w:val="ListParagraph"/>
        <w:adjustRightInd w:val="0"/>
        <w:spacing w:line="276" w:lineRule="auto"/>
        <w:ind w:left="360"/>
        <w:jc w:val="both"/>
      </w:pPr>
      <w:r w:rsidRPr="00896BE2">
        <w:t>Linked to this, assigning liability to natural and legal persons for acts that constitute "complicity in a criminal offence" raises concerns about which modes of complicity would be applicable - those under international or domestic law? Such an instrument should avoid creating uncertainty, whereby a natural person's conduct may be lawful under the domestic law of one State but the same conduct may amount to complicity in genocide or war crimes in another.</w:t>
      </w:r>
    </w:p>
    <w:p w14:paraId="0499E5D8" w14:textId="77777777" w:rsidR="00650CC5" w:rsidRDefault="00650CC5" w:rsidP="00650CC5">
      <w:pPr>
        <w:pStyle w:val="ListParagraph"/>
        <w:adjustRightInd w:val="0"/>
        <w:spacing w:line="276" w:lineRule="auto"/>
        <w:ind w:left="360"/>
        <w:jc w:val="both"/>
      </w:pPr>
    </w:p>
    <w:p w14:paraId="3B12DBF7" w14:textId="6066C7F2" w:rsidR="00D6358B" w:rsidRPr="00650CC5" w:rsidRDefault="00651728" w:rsidP="00896BE2">
      <w:pPr>
        <w:pStyle w:val="ListParagraph"/>
        <w:numPr>
          <w:ilvl w:val="0"/>
          <w:numId w:val="6"/>
        </w:numPr>
        <w:adjustRightInd w:val="0"/>
        <w:spacing w:line="276" w:lineRule="auto"/>
        <w:jc w:val="both"/>
      </w:pPr>
      <w:r>
        <w:rPr>
          <w:rFonts w:eastAsiaTheme="minorHAnsi"/>
          <w:color w:val="000000"/>
          <w:lang w:val="en-GB"/>
        </w:rPr>
        <w:t>T</w:t>
      </w:r>
      <w:r w:rsidR="00896BE2" w:rsidRPr="00650CC5">
        <w:rPr>
          <w:rFonts w:eastAsiaTheme="minorHAnsi"/>
          <w:color w:val="000000"/>
          <w:lang w:val="en-GB"/>
        </w:rPr>
        <w:t xml:space="preserve">here is another problematic finance-related provision in this article. The proposal that State Parties may require </w:t>
      </w:r>
      <w:r w:rsidR="00795174">
        <w:rPr>
          <w:rFonts w:eastAsiaTheme="minorHAnsi"/>
          <w:color w:val="000000"/>
          <w:lang w:val="en-GB"/>
        </w:rPr>
        <w:t xml:space="preserve">all </w:t>
      </w:r>
      <w:r w:rsidR="00896BE2" w:rsidRPr="00650CC5">
        <w:rPr>
          <w:rFonts w:eastAsiaTheme="minorHAnsi"/>
          <w:color w:val="000000"/>
          <w:lang w:val="en-GB"/>
        </w:rPr>
        <w:t xml:space="preserve">persons engaged in business activities </w:t>
      </w:r>
      <w:r w:rsidR="00795174">
        <w:rPr>
          <w:rFonts w:eastAsiaTheme="minorHAnsi"/>
          <w:color w:val="000000"/>
          <w:lang w:val="en-GB"/>
        </w:rPr>
        <w:t>"</w:t>
      </w:r>
      <w:r w:rsidR="00896BE2" w:rsidRPr="00650CC5">
        <w:rPr>
          <w:rFonts w:eastAsiaTheme="minorHAnsi"/>
          <w:color w:val="000000"/>
          <w:lang w:val="en-GB"/>
        </w:rPr>
        <w:t xml:space="preserve">to establish and maintain financial security, such as insurance bonds or other financial guarantees to cover potential </w:t>
      </w:r>
      <w:r w:rsidR="00896BE2" w:rsidRPr="00650CC5">
        <w:rPr>
          <w:rFonts w:eastAsiaTheme="minorHAnsi"/>
          <w:color w:val="000000"/>
          <w:lang w:val="en-GB"/>
        </w:rPr>
        <w:lastRenderedPageBreak/>
        <w:t xml:space="preserve">claims of compensation" risks creating situations where individuals and companies are extorted for money for perceived violations of the draft Treaty. </w:t>
      </w:r>
    </w:p>
    <w:p w14:paraId="25159B73" w14:textId="77777777" w:rsidR="00650CC5" w:rsidRDefault="00650CC5" w:rsidP="00650CC5">
      <w:pPr>
        <w:pStyle w:val="ListParagraph"/>
      </w:pPr>
    </w:p>
    <w:p w14:paraId="699D03B7" w14:textId="45BEE79B" w:rsidR="00650CC5" w:rsidRPr="00896BE2" w:rsidRDefault="00FE474A" w:rsidP="00650CC5">
      <w:pPr>
        <w:pStyle w:val="ListParagraph"/>
        <w:numPr>
          <w:ilvl w:val="0"/>
          <w:numId w:val="6"/>
        </w:numPr>
        <w:adjustRightInd w:val="0"/>
        <w:spacing w:line="276" w:lineRule="auto"/>
        <w:jc w:val="both"/>
      </w:pPr>
      <w:r>
        <w:t>Finally</w:t>
      </w:r>
      <w:r w:rsidR="00650CC5" w:rsidRPr="00896BE2">
        <w:t xml:space="preserve">, </w:t>
      </w:r>
      <w:r>
        <w:t xml:space="preserve">we would like to note that </w:t>
      </w:r>
      <w:r w:rsidR="00650CC5" w:rsidRPr="00896BE2">
        <w:t xml:space="preserve">the provisions on supply chain liability ignore situations where States are failing to meet their international human rights obligations on the ground and where systemic human rights issues occur that are not unique to one company. </w:t>
      </w:r>
      <w:r>
        <w:t>The Revised D</w:t>
      </w:r>
      <w:r w:rsidR="00650CC5" w:rsidRPr="00896BE2">
        <w:t>raft Treaty risk</w:t>
      </w:r>
      <w:r w:rsidR="00795174">
        <w:t>s</w:t>
      </w:r>
      <w:r w:rsidR="00650CC5" w:rsidRPr="00896BE2">
        <w:t xml:space="preserve"> encouraging companies to adopt a "cut and run" approach instead of a "</w:t>
      </w:r>
      <w:bookmarkStart w:id="0" w:name="_GoBack"/>
      <w:bookmarkEnd w:id="0"/>
      <w:r w:rsidR="00650CC5" w:rsidRPr="00896BE2">
        <w:t xml:space="preserve">stay and help improve" approach to a country's complex and endemic issues. </w:t>
      </w:r>
    </w:p>
    <w:p w14:paraId="36744205" w14:textId="77777777" w:rsidR="00650CC5" w:rsidRDefault="00650CC5" w:rsidP="00650CC5">
      <w:pPr>
        <w:pStyle w:val="ListParagraph"/>
        <w:adjustRightInd w:val="0"/>
        <w:spacing w:line="276" w:lineRule="auto"/>
        <w:ind w:left="360"/>
        <w:jc w:val="both"/>
      </w:pPr>
    </w:p>
    <w:p w14:paraId="424EA315" w14:textId="77777777" w:rsidR="00841856" w:rsidRPr="00D91126" w:rsidRDefault="00841856" w:rsidP="00896BE2">
      <w:pPr>
        <w:adjustRightInd w:val="0"/>
        <w:spacing w:line="276" w:lineRule="auto"/>
        <w:jc w:val="both"/>
      </w:pPr>
    </w:p>
    <w:p w14:paraId="6EBD32C8" w14:textId="0A79B3E3" w:rsidR="00EB09D0" w:rsidRPr="00E43BDF" w:rsidRDefault="006A2726" w:rsidP="00896BE2">
      <w:pPr>
        <w:pStyle w:val="BodyText"/>
        <w:spacing w:line="276" w:lineRule="auto"/>
        <w:jc w:val="both"/>
        <w:rPr>
          <w:b/>
          <w:bCs/>
          <w:sz w:val="22"/>
          <w:szCs w:val="22"/>
        </w:rPr>
      </w:pPr>
      <w:r w:rsidRPr="00E43BDF">
        <w:rPr>
          <w:b/>
          <w:bCs/>
          <w:w w:val="105"/>
          <w:sz w:val="22"/>
          <w:szCs w:val="22"/>
        </w:rPr>
        <w:t>Thank you very much</w:t>
      </w:r>
      <w:r w:rsidR="00390D18" w:rsidRPr="00E43BDF">
        <w:rPr>
          <w:b/>
          <w:bCs/>
          <w:w w:val="105"/>
          <w:sz w:val="22"/>
          <w:szCs w:val="22"/>
        </w:rPr>
        <w:t xml:space="preserve"> for you</w:t>
      </w:r>
      <w:r w:rsidR="00BF014B" w:rsidRPr="00E43BDF">
        <w:rPr>
          <w:b/>
          <w:bCs/>
          <w:w w:val="105"/>
          <w:sz w:val="22"/>
          <w:szCs w:val="22"/>
        </w:rPr>
        <w:t>r</w:t>
      </w:r>
      <w:r w:rsidR="00390D18" w:rsidRPr="00E43BDF">
        <w:rPr>
          <w:b/>
          <w:bCs/>
          <w:w w:val="105"/>
          <w:sz w:val="22"/>
          <w:szCs w:val="22"/>
        </w:rPr>
        <w:t xml:space="preserve"> attention</w:t>
      </w:r>
      <w:r w:rsidRPr="00E43BDF">
        <w:rPr>
          <w:b/>
          <w:bCs/>
          <w:w w:val="105"/>
          <w:sz w:val="22"/>
          <w:szCs w:val="22"/>
        </w:rPr>
        <w:t>.</w:t>
      </w:r>
    </w:p>
    <w:sectPr w:rsidR="00EB09D0" w:rsidRPr="00E43BDF" w:rsidSect="00651728">
      <w:type w:val="continuous"/>
      <w:pgSz w:w="11900" w:h="16840"/>
      <w:pgMar w:top="1276" w:right="1300"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C651" w14:textId="77777777" w:rsidR="00A40B1D" w:rsidRDefault="00A40B1D" w:rsidP="00786A03">
      <w:r>
        <w:separator/>
      </w:r>
    </w:p>
  </w:endnote>
  <w:endnote w:type="continuationSeparator" w:id="0">
    <w:p w14:paraId="308550E1" w14:textId="77777777" w:rsidR="00A40B1D" w:rsidRDefault="00A40B1D" w:rsidP="0078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C931B" w14:textId="77777777" w:rsidR="00A40B1D" w:rsidRDefault="00A40B1D" w:rsidP="00786A03">
      <w:r>
        <w:separator/>
      </w:r>
    </w:p>
  </w:footnote>
  <w:footnote w:type="continuationSeparator" w:id="0">
    <w:p w14:paraId="38AD3132" w14:textId="77777777" w:rsidR="00A40B1D" w:rsidRDefault="00A40B1D" w:rsidP="0078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8E1181"/>
    <w:multiLevelType w:val="hybridMultilevel"/>
    <w:tmpl w:val="376CB2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67758A"/>
    <w:multiLevelType w:val="hybridMultilevel"/>
    <w:tmpl w:val="9C174E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A84C3A"/>
    <w:multiLevelType w:val="hybridMultilevel"/>
    <w:tmpl w:val="3D206F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F0D21C"/>
    <w:multiLevelType w:val="hybridMultilevel"/>
    <w:tmpl w:val="A21D43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D33912"/>
    <w:multiLevelType w:val="hybridMultilevel"/>
    <w:tmpl w:val="2A98C3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EA82B4"/>
    <w:multiLevelType w:val="hybridMultilevel"/>
    <w:tmpl w:val="FE9906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550CD3"/>
    <w:multiLevelType w:val="hybridMultilevel"/>
    <w:tmpl w:val="EBACE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AE0293"/>
    <w:multiLevelType w:val="hybridMultilevel"/>
    <w:tmpl w:val="56A9B0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02213A"/>
    <w:multiLevelType w:val="hybridMultilevel"/>
    <w:tmpl w:val="DB421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4DC69F"/>
    <w:multiLevelType w:val="hybridMultilevel"/>
    <w:tmpl w:val="064EA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675C7C"/>
    <w:multiLevelType w:val="hybridMultilevel"/>
    <w:tmpl w:val="6A469282"/>
    <w:lvl w:ilvl="0" w:tplc="829C2FE2">
      <w:start w:val="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C735A"/>
    <w:multiLevelType w:val="hybridMultilevel"/>
    <w:tmpl w:val="3906F6CC"/>
    <w:lvl w:ilvl="0" w:tplc="A4BE9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F61A3"/>
    <w:multiLevelType w:val="hybridMultilevel"/>
    <w:tmpl w:val="E77CC1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1F600C7"/>
    <w:multiLevelType w:val="hybridMultilevel"/>
    <w:tmpl w:val="C878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067FB"/>
    <w:multiLevelType w:val="hybridMultilevel"/>
    <w:tmpl w:val="C2A0E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F3F036"/>
    <w:multiLevelType w:val="hybridMultilevel"/>
    <w:tmpl w:val="BDA6BF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36E06B8"/>
    <w:multiLevelType w:val="hybridMultilevel"/>
    <w:tmpl w:val="2C0AEA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51A353C"/>
    <w:multiLevelType w:val="hybridMultilevel"/>
    <w:tmpl w:val="3136307C"/>
    <w:lvl w:ilvl="0" w:tplc="E7A64FBC">
      <w:numFmt w:val="bullet"/>
      <w:lvlText w:val="-"/>
      <w:lvlJc w:val="left"/>
      <w:pPr>
        <w:ind w:left="360" w:hanging="360"/>
      </w:pPr>
      <w:rPr>
        <w:rFonts w:ascii="Arial" w:eastAsia="Arial" w:hAnsi="Arial" w:cs="Arial" w:hint="default"/>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14"/>
  </w:num>
  <w:num w:numId="4">
    <w:abstractNumId w:val="17"/>
  </w:num>
  <w:num w:numId="5">
    <w:abstractNumId w:val="16"/>
  </w:num>
  <w:num w:numId="6">
    <w:abstractNumId w:val="8"/>
  </w:num>
  <w:num w:numId="7">
    <w:abstractNumId w:val="6"/>
  </w:num>
  <w:num w:numId="8">
    <w:abstractNumId w:val="10"/>
  </w:num>
  <w:num w:numId="9">
    <w:abstractNumId w:val="7"/>
  </w:num>
  <w:num w:numId="10">
    <w:abstractNumId w:val="0"/>
  </w:num>
  <w:num w:numId="11">
    <w:abstractNumId w:val="1"/>
  </w:num>
  <w:num w:numId="12">
    <w:abstractNumId w:val="3"/>
  </w:num>
  <w:num w:numId="13">
    <w:abstractNumId w:val="15"/>
  </w:num>
  <w:num w:numId="14">
    <w:abstractNumId w:val="4"/>
  </w:num>
  <w:num w:numId="15">
    <w:abstractNumId w:val="12"/>
  </w:num>
  <w:num w:numId="16">
    <w:abstractNumId w:val="9"/>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D0"/>
    <w:rsid w:val="0000051C"/>
    <w:rsid w:val="00005149"/>
    <w:rsid w:val="0000583E"/>
    <w:rsid w:val="00012FA3"/>
    <w:rsid w:val="00031216"/>
    <w:rsid w:val="00062A6D"/>
    <w:rsid w:val="00076809"/>
    <w:rsid w:val="00095EEE"/>
    <w:rsid w:val="001022D1"/>
    <w:rsid w:val="00104682"/>
    <w:rsid w:val="0013374D"/>
    <w:rsid w:val="0014131D"/>
    <w:rsid w:val="0014599F"/>
    <w:rsid w:val="00150D85"/>
    <w:rsid w:val="001B0EBF"/>
    <w:rsid w:val="001B1FF0"/>
    <w:rsid w:val="001B2DA1"/>
    <w:rsid w:val="001D513E"/>
    <w:rsid w:val="001E71B0"/>
    <w:rsid w:val="001E73A4"/>
    <w:rsid w:val="0022257C"/>
    <w:rsid w:val="00222C21"/>
    <w:rsid w:val="002665AA"/>
    <w:rsid w:val="00267A71"/>
    <w:rsid w:val="00272923"/>
    <w:rsid w:val="0028150D"/>
    <w:rsid w:val="00281826"/>
    <w:rsid w:val="00286011"/>
    <w:rsid w:val="002B71B8"/>
    <w:rsid w:val="002D55A8"/>
    <w:rsid w:val="00304BE3"/>
    <w:rsid w:val="00326442"/>
    <w:rsid w:val="00334580"/>
    <w:rsid w:val="00354513"/>
    <w:rsid w:val="003631B9"/>
    <w:rsid w:val="00390D18"/>
    <w:rsid w:val="00390D68"/>
    <w:rsid w:val="00391135"/>
    <w:rsid w:val="003A64B2"/>
    <w:rsid w:val="003A64BD"/>
    <w:rsid w:val="003B2ABA"/>
    <w:rsid w:val="003B5C85"/>
    <w:rsid w:val="003E19F2"/>
    <w:rsid w:val="00423345"/>
    <w:rsid w:val="00447174"/>
    <w:rsid w:val="004668BE"/>
    <w:rsid w:val="00492C94"/>
    <w:rsid w:val="004D5081"/>
    <w:rsid w:val="004E4A6A"/>
    <w:rsid w:val="005139BF"/>
    <w:rsid w:val="00516B58"/>
    <w:rsid w:val="00561C30"/>
    <w:rsid w:val="005864DB"/>
    <w:rsid w:val="005C5E12"/>
    <w:rsid w:val="005D6B9A"/>
    <w:rsid w:val="005E6184"/>
    <w:rsid w:val="005F49AE"/>
    <w:rsid w:val="005F55E2"/>
    <w:rsid w:val="005F6064"/>
    <w:rsid w:val="00616389"/>
    <w:rsid w:val="00633849"/>
    <w:rsid w:val="00640D19"/>
    <w:rsid w:val="00650CC5"/>
    <w:rsid w:val="00651728"/>
    <w:rsid w:val="00652DB4"/>
    <w:rsid w:val="00672E1B"/>
    <w:rsid w:val="0068712C"/>
    <w:rsid w:val="00696215"/>
    <w:rsid w:val="006A0ED3"/>
    <w:rsid w:val="006A2726"/>
    <w:rsid w:val="006F20B6"/>
    <w:rsid w:val="00705F37"/>
    <w:rsid w:val="007121B0"/>
    <w:rsid w:val="00721CA4"/>
    <w:rsid w:val="007267B8"/>
    <w:rsid w:val="00756FED"/>
    <w:rsid w:val="00763139"/>
    <w:rsid w:val="00786A03"/>
    <w:rsid w:val="007879E8"/>
    <w:rsid w:val="00795174"/>
    <w:rsid w:val="007953E2"/>
    <w:rsid w:val="007A2A60"/>
    <w:rsid w:val="007B45DA"/>
    <w:rsid w:val="007C3A8E"/>
    <w:rsid w:val="007C446B"/>
    <w:rsid w:val="007C68AB"/>
    <w:rsid w:val="007D3BC5"/>
    <w:rsid w:val="007E7729"/>
    <w:rsid w:val="00810F70"/>
    <w:rsid w:val="0081193A"/>
    <w:rsid w:val="00816AC5"/>
    <w:rsid w:val="00816D1E"/>
    <w:rsid w:val="008341EA"/>
    <w:rsid w:val="00837BBC"/>
    <w:rsid w:val="00840C8A"/>
    <w:rsid w:val="00841856"/>
    <w:rsid w:val="008443CA"/>
    <w:rsid w:val="00854A06"/>
    <w:rsid w:val="00883BA0"/>
    <w:rsid w:val="008914B8"/>
    <w:rsid w:val="00892D5E"/>
    <w:rsid w:val="00896BE2"/>
    <w:rsid w:val="008B05EA"/>
    <w:rsid w:val="008B6FE1"/>
    <w:rsid w:val="00921083"/>
    <w:rsid w:val="00923DDA"/>
    <w:rsid w:val="009242AF"/>
    <w:rsid w:val="00934130"/>
    <w:rsid w:val="009657AB"/>
    <w:rsid w:val="009B1648"/>
    <w:rsid w:val="009B730B"/>
    <w:rsid w:val="009D0B4B"/>
    <w:rsid w:val="009D52CC"/>
    <w:rsid w:val="009D5DDC"/>
    <w:rsid w:val="00A12237"/>
    <w:rsid w:val="00A3573E"/>
    <w:rsid w:val="00A40B1D"/>
    <w:rsid w:val="00A41C34"/>
    <w:rsid w:val="00A7179D"/>
    <w:rsid w:val="00A8349C"/>
    <w:rsid w:val="00AA10A6"/>
    <w:rsid w:val="00AA19FE"/>
    <w:rsid w:val="00AC3292"/>
    <w:rsid w:val="00AF4CBD"/>
    <w:rsid w:val="00B032C1"/>
    <w:rsid w:val="00B13805"/>
    <w:rsid w:val="00B23805"/>
    <w:rsid w:val="00B423BE"/>
    <w:rsid w:val="00B71ACE"/>
    <w:rsid w:val="00BA20D7"/>
    <w:rsid w:val="00BA28E7"/>
    <w:rsid w:val="00BE39E9"/>
    <w:rsid w:val="00BF014B"/>
    <w:rsid w:val="00C03BB8"/>
    <w:rsid w:val="00C0435B"/>
    <w:rsid w:val="00C11546"/>
    <w:rsid w:val="00C155DC"/>
    <w:rsid w:val="00C53EAA"/>
    <w:rsid w:val="00C81A98"/>
    <w:rsid w:val="00CB18B0"/>
    <w:rsid w:val="00CC20FF"/>
    <w:rsid w:val="00CC3611"/>
    <w:rsid w:val="00CE4300"/>
    <w:rsid w:val="00D003A5"/>
    <w:rsid w:val="00D15A30"/>
    <w:rsid w:val="00D20AB5"/>
    <w:rsid w:val="00D361A5"/>
    <w:rsid w:val="00D40A68"/>
    <w:rsid w:val="00D62E92"/>
    <w:rsid w:val="00D6358B"/>
    <w:rsid w:val="00D91126"/>
    <w:rsid w:val="00D930EB"/>
    <w:rsid w:val="00DA44DC"/>
    <w:rsid w:val="00DA5F52"/>
    <w:rsid w:val="00DB5844"/>
    <w:rsid w:val="00DC7FF5"/>
    <w:rsid w:val="00DF0641"/>
    <w:rsid w:val="00E05358"/>
    <w:rsid w:val="00E21485"/>
    <w:rsid w:val="00E354FD"/>
    <w:rsid w:val="00E43BDF"/>
    <w:rsid w:val="00E64E1D"/>
    <w:rsid w:val="00E664CF"/>
    <w:rsid w:val="00E838E8"/>
    <w:rsid w:val="00E92123"/>
    <w:rsid w:val="00E96BF7"/>
    <w:rsid w:val="00EB09D0"/>
    <w:rsid w:val="00EC1852"/>
    <w:rsid w:val="00F0610A"/>
    <w:rsid w:val="00F111A9"/>
    <w:rsid w:val="00F32961"/>
    <w:rsid w:val="00F57810"/>
    <w:rsid w:val="00F92644"/>
    <w:rsid w:val="00F941A9"/>
    <w:rsid w:val="00FA2D49"/>
    <w:rsid w:val="00FA4307"/>
    <w:rsid w:val="00FB649B"/>
    <w:rsid w:val="00FC1A3A"/>
    <w:rsid w:val="00FC4204"/>
    <w:rsid w:val="00FE474A"/>
    <w:rsid w:val="00FE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485B"/>
  <w15:docId w15:val="{BEC33FD1-E9AE-4E68-A049-041EE331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86A03"/>
    <w:rPr>
      <w:rFonts w:ascii="Arial" w:eastAsia="Arial" w:hAnsi="Arial" w:cs="Arial"/>
      <w:sz w:val="21"/>
      <w:szCs w:val="21"/>
    </w:r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Char,ftx"/>
    <w:basedOn w:val="Normal"/>
    <w:link w:val="FootnoteTextChar"/>
    <w:uiPriority w:val="99"/>
    <w:rsid w:val="00786A03"/>
    <w:pPr>
      <w:widowControl/>
      <w:autoSpaceDE/>
      <w:autoSpaceDN/>
    </w:pPr>
    <w:rPr>
      <w:rFonts w:ascii="Times New Roman" w:eastAsia="Times New Roman" w:hAnsi="Times New Roman" w:cs="Times New Roman"/>
      <w:sz w:val="20"/>
      <w:szCs w:val="20"/>
      <w:lang w:val="en-IE" w:eastAsia="en-GB"/>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786A03"/>
    <w:rPr>
      <w:rFonts w:ascii="Times New Roman" w:eastAsia="Times New Roman" w:hAnsi="Times New Roman" w:cs="Times New Roman"/>
      <w:sz w:val="20"/>
      <w:szCs w:val="20"/>
      <w:lang w:val="en-IE" w:eastAsia="en-GB"/>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4GCharCharChar"/>
    <w:uiPriority w:val="99"/>
    <w:qFormat/>
    <w:rsid w:val="00786A0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786A03"/>
    <w:pPr>
      <w:widowControl/>
      <w:autoSpaceDE/>
      <w:autoSpaceDN/>
      <w:spacing w:after="160" w:line="240" w:lineRule="exact"/>
      <w:jc w:val="both"/>
    </w:pPr>
    <w:rPr>
      <w:rFonts w:asciiTheme="minorHAnsi" w:eastAsiaTheme="minorHAnsi" w:hAnsiTheme="minorHAnsi" w:cstheme="minorBidi"/>
      <w:vertAlign w:val="superscript"/>
    </w:rPr>
  </w:style>
  <w:style w:type="paragraph" w:styleId="Header">
    <w:name w:val="header"/>
    <w:basedOn w:val="Normal"/>
    <w:link w:val="HeaderChar"/>
    <w:uiPriority w:val="99"/>
    <w:unhideWhenUsed/>
    <w:rsid w:val="003B2ABA"/>
    <w:pPr>
      <w:tabs>
        <w:tab w:val="center" w:pos="4513"/>
        <w:tab w:val="right" w:pos="9026"/>
      </w:tabs>
    </w:pPr>
  </w:style>
  <w:style w:type="character" w:customStyle="1" w:styleId="HeaderChar">
    <w:name w:val="Header Char"/>
    <w:basedOn w:val="DefaultParagraphFont"/>
    <w:link w:val="Header"/>
    <w:uiPriority w:val="99"/>
    <w:rsid w:val="003B2ABA"/>
    <w:rPr>
      <w:rFonts w:ascii="Arial" w:eastAsia="Arial" w:hAnsi="Arial" w:cs="Arial"/>
    </w:rPr>
  </w:style>
  <w:style w:type="paragraph" w:styleId="Footer">
    <w:name w:val="footer"/>
    <w:basedOn w:val="Normal"/>
    <w:link w:val="FooterChar"/>
    <w:uiPriority w:val="99"/>
    <w:unhideWhenUsed/>
    <w:rsid w:val="003B2ABA"/>
    <w:pPr>
      <w:tabs>
        <w:tab w:val="center" w:pos="4513"/>
        <w:tab w:val="right" w:pos="9026"/>
      </w:tabs>
    </w:pPr>
  </w:style>
  <w:style w:type="character" w:customStyle="1" w:styleId="FooterChar">
    <w:name w:val="Footer Char"/>
    <w:basedOn w:val="DefaultParagraphFont"/>
    <w:link w:val="Footer"/>
    <w:uiPriority w:val="99"/>
    <w:rsid w:val="003B2ABA"/>
    <w:rPr>
      <w:rFonts w:ascii="Arial" w:eastAsia="Arial" w:hAnsi="Arial" w:cs="Arial"/>
    </w:rPr>
  </w:style>
  <w:style w:type="character" w:styleId="Hyperlink">
    <w:name w:val="Hyperlink"/>
    <w:basedOn w:val="DefaultParagraphFont"/>
    <w:uiPriority w:val="99"/>
    <w:unhideWhenUsed/>
    <w:rsid w:val="009D52CC"/>
    <w:rPr>
      <w:color w:val="0000FF" w:themeColor="hyperlink"/>
      <w:u w:val="single"/>
    </w:rPr>
  </w:style>
  <w:style w:type="character" w:styleId="UnresolvedMention">
    <w:name w:val="Unresolved Mention"/>
    <w:basedOn w:val="DefaultParagraphFont"/>
    <w:uiPriority w:val="99"/>
    <w:semiHidden/>
    <w:unhideWhenUsed/>
    <w:rsid w:val="003A64BD"/>
    <w:rPr>
      <w:color w:val="605E5C"/>
      <w:shd w:val="clear" w:color="auto" w:fill="E1DFDD"/>
    </w:rPr>
  </w:style>
  <w:style w:type="paragraph" w:customStyle="1" w:styleId="Default">
    <w:name w:val="Default"/>
    <w:rsid w:val="00C53EAA"/>
    <w:pPr>
      <w:widowControl/>
      <w:adjustRightInd w:val="0"/>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D93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0E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8547">
      <w:bodyDiv w:val="1"/>
      <w:marLeft w:val="0"/>
      <w:marRight w:val="0"/>
      <w:marTop w:val="0"/>
      <w:marBottom w:val="0"/>
      <w:divBdr>
        <w:top w:val="none" w:sz="0" w:space="0" w:color="auto"/>
        <w:left w:val="none" w:sz="0" w:space="0" w:color="auto"/>
        <w:bottom w:val="none" w:sz="0" w:space="0" w:color="auto"/>
        <w:right w:val="none" w:sz="0" w:space="0" w:color="auto"/>
      </w:divBdr>
    </w:div>
    <w:div w:id="43741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ioe-emp.org/index.php?eID=dumpFile&amp;t=f&amp;f=145680&amp;token=9dbcc1f8414128d575cd6bef9f36b84ec106a386" TargetMode="External"/><Relationship Id="rId4" Type="http://schemas.openxmlformats.org/officeDocument/2006/relationships/settings" Target="settings.xml"/><Relationship Id="rId9" Type="http://schemas.openxmlformats.org/officeDocument/2006/relationships/hyperlink" Target="http://www.ioe-emp.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D34A91-98FA-41A0-ADFF-01AA6F4A34DC}">
  <ds:schemaRefs>
    <ds:schemaRef ds:uri="http://schemas.openxmlformats.org/officeDocument/2006/bibliography"/>
  </ds:schemaRefs>
</ds:datastoreItem>
</file>

<file path=customXml/itemProps2.xml><?xml version="1.0" encoding="utf-8"?>
<ds:datastoreItem xmlns:ds="http://schemas.openxmlformats.org/officeDocument/2006/customXml" ds:itemID="{41A85920-310B-4B29-8EAF-00B22910DF1E}"/>
</file>

<file path=customXml/itemProps3.xml><?xml version="1.0" encoding="utf-8"?>
<ds:datastoreItem xmlns:ds="http://schemas.openxmlformats.org/officeDocument/2006/customXml" ds:itemID="{6EBA7AA2-33D7-421D-9F10-02AD0ED31BF8}"/>
</file>

<file path=customXml/itemProps4.xml><?xml version="1.0" encoding="utf-8"?>
<ds:datastoreItem xmlns:ds="http://schemas.openxmlformats.org/officeDocument/2006/customXml" ds:itemID="{C29D0054-0982-4F93-95FF-F54FFF2EA52A}"/>
</file>

<file path=docProps/app.xml><?xml version="1.0" encoding="utf-8"?>
<Properties xmlns="http://schemas.openxmlformats.org/officeDocument/2006/extended-properties" xmlns:vt="http://schemas.openxmlformats.org/officeDocument/2006/docPropsVTypes">
  <Template>Normal.dotm</Template>
  <TotalTime>63</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Hall</dc:creator>
  <cp:lastModifiedBy>Peter Hall</cp:lastModifiedBy>
  <cp:revision>13</cp:revision>
  <dcterms:created xsi:type="dcterms:W3CDTF">2019-10-15T15:03:00Z</dcterms:created>
  <dcterms:modified xsi:type="dcterms:W3CDTF">2019-10-16T09:15:00Z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