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FED" w:rsidRPr="00AA43D6" w:rsidRDefault="00C50FED" w:rsidP="00C50FED">
      <w:pPr>
        <w:rPr>
          <w:rFonts w:cstheme="minorHAnsi"/>
        </w:rPr>
      </w:pPr>
      <w:r w:rsidRPr="00AA43D6">
        <w:rPr>
          <w:rFonts w:cstheme="minorHAnsi"/>
        </w:rPr>
        <w:t>OEIGWG for the elaboration of an International Legally Binding Instrument on TNCs and other Business Enterprises with respect to human rights</w:t>
      </w:r>
    </w:p>
    <w:p w:rsidR="00C50FED" w:rsidRPr="00AA43D6" w:rsidRDefault="00C50FED" w:rsidP="00C50FED">
      <w:pPr>
        <w:rPr>
          <w:rFonts w:cstheme="minorHAnsi"/>
          <w:b/>
        </w:rPr>
      </w:pPr>
      <w:r w:rsidRPr="00AA43D6">
        <w:rPr>
          <w:rFonts w:cstheme="minorHAnsi"/>
          <w:b/>
        </w:rPr>
        <w:t>Item 4 – Article 3 (Scope) and Article 4 (Right of victims</w:t>
      </w:r>
      <w:proofErr w:type="gramStart"/>
      <w:r w:rsidRPr="00AA43D6">
        <w:rPr>
          <w:rFonts w:cstheme="minorHAnsi"/>
          <w:b/>
        </w:rPr>
        <w:t>)</w:t>
      </w:r>
      <w:proofErr w:type="gramEnd"/>
      <w:r w:rsidRPr="00AA43D6">
        <w:rPr>
          <w:rFonts w:cstheme="minorHAnsi"/>
          <w:b/>
        </w:rPr>
        <w:br/>
        <w:t xml:space="preserve">15 October 2019, 10:00-13:00 </w:t>
      </w:r>
    </w:p>
    <w:p w:rsidR="00C50FED" w:rsidRPr="00AA43D6" w:rsidRDefault="00C50FED" w:rsidP="00C50FED">
      <w:pPr>
        <w:rPr>
          <w:rFonts w:cstheme="minorHAnsi"/>
          <w:u w:val="single"/>
        </w:rPr>
      </w:pPr>
      <w:r w:rsidRPr="00AA43D6">
        <w:rPr>
          <w:rFonts w:cstheme="minorHAnsi"/>
          <w:u w:val="single"/>
        </w:rPr>
        <w:t>Intervention by Ruwan Subasinghe (International Trade Union Confederation – ITUC)</w:t>
      </w:r>
    </w:p>
    <w:p w:rsidR="00C50FED" w:rsidRPr="00AA43D6" w:rsidRDefault="00C50FED" w:rsidP="00C50FED">
      <w:pPr>
        <w:rPr>
          <w:rFonts w:cstheme="minorHAnsi"/>
        </w:rPr>
      </w:pPr>
      <w:r w:rsidRPr="00AA43D6">
        <w:rPr>
          <w:rFonts w:cstheme="minorHAnsi"/>
        </w:rPr>
        <w:t>Thank you, Chairperson</w:t>
      </w:r>
      <w:r>
        <w:rPr>
          <w:rFonts w:cstheme="minorHAnsi"/>
        </w:rPr>
        <w:t xml:space="preserve"> Rapporteur</w:t>
      </w:r>
      <w:r w:rsidRPr="00AA43D6">
        <w:rPr>
          <w:rFonts w:cstheme="minorHAnsi"/>
        </w:rPr>
        <w:t xml:space="preserve">. </w:t>
      </w:r>
    </w:p>
    <w:p w:rsidR="00C50FED" w:rsidRDefault="00C50FED" w:rsidP="00C50FED">
      <w:pPr>
        <w:rPr>
          <w:rFonts w:cstheme="minorHAnsi"/>
        </w:rPr>
      </w:pPr>
      <w:r w:rsidRPr="00AA43D6">
        <w:rPr>
          <w:rFonts w:cstheme="minorHAnsi"/>
        </w:rPr>
        <w:t xml:space="preserve">I speak on behalf of the ITUC and </w:t>
      </w:r>
      <w:r>
        <w:rPr>
          <w:rFonts w:cstheme="minorHAnsi"/>
        </w:rPr>
        <w:t xml:space="preserve">the </w:t>
      </w:r>
      <w:r w:rsidRPr="00AA43D6">
        <w:rPr>
          <w:rFonts w:cstheme="minorHAnsi"/>
        </w:rPr>
        <w:t xml:space="preserve">Global Union Federations </w:t>
      </w:r>
      <w:proofErr w:type="spellStart"/>
      <w:r w:rsidRPr="00AA43D6">
        <w:rPr>
          <w:rFonts w:cstheme="minorHAnsi"/>
        </w:rPr>
        <w:t>IndustriAll</w:t>
      </w:r>
      <w:proofErr w:type="spellEnd"/>
      <w:r w:rsidRPr="00AA43D6">
        <w:rPr>
          <w:rFonts w:cstheme="minorHAnsi"/>
        </w:rPr>
        <w:t xml:space="preserve">, ITF, IUF, PSI, and UNI Global Union, who together represent over </w:t>
      </w:r>
      <w:r>
        <w:rPr>
          <w:rFonts w:cstheme="minorHAnsi"/>
          <w:i/>
        </w:rPr>
        <w:t>207</w:t>
      </w:r>
      <w:r w:rsidRPr="00697209">
        <w:rPr>
          <w:rFonts w:cstheme="minorHAnsi"/>
          <w:i/>
        </w:rPr>
        <w:t xml:space="preserve"> million</w:t>
      </w:r>
      <w:r w:rsidRPr="00AA43D6">
        <w:rPr>
          <w:rFonts w:cstheme="minorHAnsi"/>
        </w:rPr>
        <w:t xml:space="preserve"> workers worldwide. </w:t>
      </w:r>
      <w:r>
        <w:rPr>
          <w:rFonts w:cstheme="minorHAnsi"/>
        </w:rPr>
        <w:t>T</w:t>
      </w:r>
      <w:r>
        <w:rPr>
          <w:rFonts w:cstheme="minorHAnsi"/>
        </w:rPr>
        <w:t>he</w:t>
      </w:r>
      <w:r w:rsidRPr="00AA43D6">
        <w:rPr>
          <w:rFonts w:cstheme="minorHAnsi"/>
        </w:rPr>
        <w:t xml:space="preserve"> joint </w:t>
      </w:r>
      <w:r>
        <w:rPr>
          <w:rFonts w:cstheme="minorHAnsi"/>
        </w:rPr>
        <w:t>trade union response to the</w:t>
      </w:r>
      <w:r w:rsidRPr="00AA43D6">
        <w:rPr>
          <w:rFonts w:cstheme="minorHAnsi"/>
        </w:rPr>
        <w:t xml:space="preserve"> revised draft of the LBI can be found on the </w:t>
      </w:r>
      <w:r>
        <w:rPr>
          <w:rFonts w:cstheme="minorHAnsi"/>
        </w:rPr>
        <w:t>ITUC website and a</w:t>
      </w:r>
      <w:r>
        <w:rPr>
          <w:rFonts w:cstheme="minorHAnsi"/>
        </w:rPr>
        <w:t xml:space="preserve"> few hard copies are also available at the back of the room. </w:t>
      </w:r>
    </w:p>
    <w:p w:rsidR="00C50FED" w:rsidRDefault="00C50FED" w:rsidP="00C50FED">
      <w:pPr>
        <w:rPr>
          <w:rFonts w:cstheme="minorHAnsi"/>
        </w:rPr>
      </w:pPr>
      <w:r>
        <w:rPr>
          <w:rFonts w:cstheme="minorHAnsi"/>
        </w:rPr>
        <w:t xml:space="preserve">Due to the time constraints, I will only highlight our main technical comments on these two Articles. </w:t>
      </w:r>
    </w:p>
    <w:p w:rsidR="00C50FED" w:rsidRDefault="00C50FED" w:rsidP="00C50FED">
      <w:pPr>
        <w:rPr>
          <w:rFonts w:cstheme="minorHAnsi"/>
        </w:rPr>
      </w:pPr>
      <w:r w:rsidRPr="00AA43D6">
        <w:rPr>
          <w:rFonts w:cstheme="minorHAnsi"/>
        </w:rPr>
        <w:t>Article 3 (Scope)</w:t>
      </w:r>
      <w:r>
        <w:rPr>
          <w:rFonts w:cstheme="minorHAnsi"/>
        </w:rPr>
        <w:t>:</w:t>
      </w:r>
    </w:p>
    <w:p w:rsidR="00C50FED" w:rsidRPr="00AA43D6" w:rsidRDefault="00C50FED" w:rsidP="00C50FED">
      <w:pPr>
        <w:rPr>
          <w:rFonts w:cstheme="minorHAnsi"/>
        </w:rPr>
      </w:pPr>
      <w:r>
        <w:rPr>
          <w:rFonts w:cstheme="minorHAnsi"/>
        </w:rPr>
        <w:t>The unions have</w:t>
      </w:r>
      <w:r w:rsidRPr="00AA43D6">
        <w:rPr>
          <w:rFonts w:cstheme="minorHAnsi"/>
        </w:rPr>
        <w:t xml:space="preserve"> </w:t>
      </w:r>
      <w:r>
        <w:rPr>
          <w:rFonts w:cstheme="minorHAnsi"/>
        </w:rPr>
        <w:t xml:space="preserve">always </w:t>
      </w:r>
      <w:r w:rsidRPr="00AA43D6">
        <w:rPr>
          <w:rFonts w:cstheme="minorHAnsi"/>
        </w:rPr>
        <w:t xml:space="preserve">advocated for a </w:t>
      </w:r>
      <w:r w:rsidRPr="00697209">
        <w:rPr>
          <w:rFonts w:cstheme="minorHAnsi"/>
          <w:i/>
        </w:rPr>
        <w:t>broad substantive scope</w:t>
      </w:r>
      <w:r w:rsidRPr="00AA43D6">
        <w:rPr>
          <w:rFonts w:cstheme="minorHAnsi"/>
        </w:rPr>
        <w:t xml:space="preserve"> covering all internationally recognised human rights, </w:t>
      </w:r>
      <w:r w:rsidRPr="00697209">
        <w:rPr>
          <w:rFonts w:cstheme="minorHAnsi"/>
          <w:i/>
        </w:rPr>
        <w:t>including fundamental workers’ and trade union rights</w:t>
      </w:r>
      <w:r w:rsidRPr="00AA43D6">
        <w:rPr>
          <w:rFonts w:cstheme="minorHAnsi"/>
        </w:rPr>
        <w:t xml:space="preserve">, as defined by relevant international labour standards. We have also called for the coverage of </w:t>
      </w:r>
      <w:r w:rsidRPr="00697209">
        <w:rPr>
          <w:rFonts w:cstheme="minorHAnsi"/>
          <w:i/>
        </w:rPr>
        <w:t>all</w:t>
      </w:r>
      <w:r w:rsidRPr="00AA43D6">
        <w:rPr>
          <w:rFonts w:cstheme="minorHAnsi"/>
        </w:rPr>
        <w:t xml:space="preserve"> business enterprises</w:t>
      </w:r>
      <w:r w:rsidR="00A877F1">
        <w:rPr>
          <w:rFonts w:cstheme="minorHAnsi"/>
        </w:rPr>
        <w:t xml:space="preserve"> </w:t>
      </w:r>
      <w:r w:rsidR="00A877F1" w:rsidRPr="00AA43D6">
        <w:rPr>
          <w:rFonts w:cstheme="minorHAnsi"/>
        </w:rPr>
        <w:t>regardless of size, sector, operational context, ownership and structure</w:t>
      </w:r>
      <w:r>
        <w:rPr>
          <w:rFonts w:cstheme="minorHAnsi"/>
        </w:rPr>
        <w:t xml:space="preserve">. </w:t>
      </w:r>
      <w:r w:rsidR="00A877F1">
        <w:rPr>
          <w:rFonts w:cstheme="minorHAnsi"/>
        </w:rPr>
        <w:t>We are pleased that t</w:t>
      </w:r>
      <w:r>
        <w:rPr>
          <w:rFonts w:cstheme="minorHAnsi"/>
        </w:rPr>
        <w:t xml:space="preserve">he present </w:t>
      </w:r>
      <w:r w:rsidRPr="00AA43D6">
        <w:rPr>
          <w:rFonts w:cstheme="minorHAnsi"/>
        </w:rPr>
        <w:t xml:space="preserve">Article 3 brings a </w:t>
      </w:r>
      <w:r w:rsidRPr="00697209">
        <w:rPr>
          <w:rFonts w:cstheme="minorHAnsi"/>
          <w:i/>
        </w:rPr>
        <w:t>balance</w:t>
      </w:r>
      <w:r w:rsidRPr="00AA43D6">
        <w:rPr>
          <w:rFonts w:cstheme="minorHAnsi"/>
        </w:rPr>
        <w:t xml:space="preserve"> of focus on cross-border activities of business enterprises while also applying its principal provisions to </w:t>
      </w:r>
      <w:r w:rsidRPr="001F134D">
        <w:rPr>
          <w:rFonts w:cstheme="minorHAnsi"/>
          <w:iCs/>
        </w:rPr>
        <w:t>other</w:t>
      </w:r>
      <w:r w:rsidRPr="00AA43D6">
        <w:rPr>
          <w:rFonts w:cstheme="minorHAnsi"/>
        </w:rPr>
        <w:t xml:space="preserve"> business enterprises that do not operate across borders. </w:t>
      </w:r>
    </w:p>
    <w:p w:rsidR="00C50FED" w:rsidRDefault="00C50FED" w:rsidP="00C50FED">
      <w:pPr>
        <w:jc w:val="both"/>
        <w:rPr>
          <w:rFonts w:cstheme="minorHAnsi"/>
        </w:rPr>
      </w:pPr>
      <w:r>
        <w:rPr>
          <w:rFonts w:cstheme="minorHAnsi"/>
        </w:rPr>
        <w:t>A</w:t>
      </w:r>
      <w:r w:rsidRPr="00AA43D6">
        <w:rPr>
          <w:rFonts w:cstheme="minorHAnsi"/>
        </w:rPr>
        <w:t>rticle 4</w:t>
      </w:r>
      <w:r>
        <w:rPr>
          <w:rFonts w:cstheme="minorHAnsi"/>
        </w:rPr>
        <w:t xml:space="preserve"> (Rights of Victims)</w:t>
      </w:r>
      <w:r>
        <w:rPr>
          <w:rFonts w:cstheme="minorHAnsi"/>
        </w:rPr>
        <w:t>:</w:t>
      </w:r>
    </w:p>
    <w:p w:rsidR="00C50FED" w:rsidRPr="00AA43D6" w:rsidRDefault="00C50FED" w:rsidP="00C50FED">
      <w:pPr>
        <w:jc w:val="both"/>
        <w:rPr>
          <w:rFonts w:cstheme="minorHAnsi"/>
        </w:rPr>
      </w:pPr>
      <w:r>
        <w:rPr>
          <w:rFonts w:cstheme="minorHAnsi"/>
        </w:rPr>
        <w:t>W</w:t>
      </w:r>
      <w:r>
        <w:rPr>
          <w:rFonts w:cstheme="minorHAnsi"/>
        </w:rPr>
        <w:t xml:space="preserve">e believe that the LBI </w:t>
      </w:r>
      <w:r w:rsidRPr="00AA43D6">
        <w:rPr>
          <w:rFonts w:eastAsia="Calibri" w:cstheme="minorHAnsi"/>
        </w:rPr>
        <w:t>should adopt the broader</w:t>
      </w:r>
      <w:r>
        <w:rPr>
          <w:rFonts w:eastAsia="Calibri" w:cstheme="minorHAnsi"/>
        </w:rPr>
        <w:t xml:space="preserve"> </w:t>
      </w:r>
      <w:r w:rsidRPr="00AA43D6">
        <w:rPr>
          <w:rFonts w:eastAsia="Calibri" w:cstheme="minorHAnsi"/>
        </w:rPr>
        <w:t xml:space="preserve">term </w:t>
      </w:r>
      <w:r w:rsidRPr="00697209">
        <w:rPr>
          <w:rFonts w:eastAsia="Calibri" w:cstheme="minorHAnsi"/>
          <w:i/>
        </w:rPr>
        <w:t>rights-holders</w:t>
      </w:r>
      <w:r w:rsidR="00A877F1">
        <w:rPr>
          <w:rFonts w:eastAsia="Calibri" w:cstheme="minorHAnsi"/>
        </w:rPr>
        <w:t xml:space="preserve"> instead of</w:t>
      </w:r>
      <w:bookmarkStart w:id="0" w:name="_GoBack"/>
      <w:bookmarkEnd w:id="0"/>
      <w:r w:rsidR="00A877F1">
        <w:rPr>
          <w:rFonts w:eastAsia="Calibri" w:cstheme="minorHAnsi"/>
        </w:rPr>
        <w:t xml:space="preserve"> </w:t>
      </w:r>
      <w:r w:rsidR="00A877F1">
        <w:rPr>
          <w:rFonts w:eastAsia="Calibri" w:cstheme="minorHAnsi"/>
          <w:i/>
        </w:rPr>
        <w:t>victims</w:t>
      </w:r>
      <w:r w:rsidR="00A877F1">
        <w:rPr>
          <w:rFonts w:eastAsia="Calibri" w:cstheme="minorHAnsi"/>
        </w:rPr>
        <w:t xml:space="preserve">. </w:t>
      </w:r>
      <w:r w:rsidRPr="00AA43D6">
        <w:rPr>
          <w:rFonts w:eastAsia="Calibri" w:cstheme="minorHAnsi"/>
        </w:rPr>
        <w:t xml:space="preserve">  </w:t>
      </w:r>
    </w:p>
    <w:p w:rsidR="00C50FED" w:rsidRPr="00AA43D6" w:rsidRDefault="00C50FED" w:rsidP="00C50FED">
      <w:pPr>
        <w:suppressAutoHyphens/>
        <w:autoSpaceDN w:val="0"/>
        <w:spacing w:line="254" w:lineRule="auto"/>
        <w:jc w:val="both"/>
        <w:textAlignment w:val="baseline"/>
        <w:rPr>
          <w:rFonts w:eastAsia="Calibri" w:cstheme="minorHAnsi"/>
        </w:rPr>
      </w:pPr>
      <w:r w:rsidRPr="00AA43D6">
        <w:rPr>
          <w:rFonts w:eastAsia="Calibri" w:cstheme="minorHAnsi"/>
        </w:rPr>
        <w:t xml:space="preserve">While </w:t>
      </w:r>
      <w:r>
        <w:rPr>
          <w:rFonts w:eastAsia="Calibri" w:cstheme="minorHAnsi"/>
        </w:rPr>
        <w:t>Article 4.5 provides a</w:t>
      </w:r>
      <w:r w:rsidRPr="00AA43D6">
        <w:rPr>
          <w:rFonts w:eastAsia="Calibri" w:cstheme="minorHAnsi"/>
        </w:rPr>
        <w:t xml:space="preserve"> non-exhaustive list</w:t>
      </w:r>
      <w:r>
        <w:rPr>
          <w:rFonts w:eastAsia="Calibri" w:cstheme="minorHAnsi"/>
        </w:rPr>
        <w:t xml:space="preserve"> of remedies</w:t>
      </w:r>
      <w:r w:rsidRPr="00AA43D6">
        <w:rPr>
          <w:rFonts w:eastAsia="Calibri" w:cstheme="minorHAnsi"/>
        </w:rPr>
        <w:t xml:space="preserve">, we believe that it is important to </w:t>
      </w:r>
      <w:r>
        <w:rPr>
          <w:rFonts w:eastAsia="Calibri" w:cstheme="minorHAnsi"/>
        </w:rPr>
        <w:t xml:space="preserve">explicitly </w:t>
      </w:r>
      <w:r w:rsidRPr="00AA43D6">
        <w:rPr>
          <w:rFonts w:eastAsia="Calibri" w:cstheme="minorHAnsi"/>
        </w:rPr>
        <w:t>add</w:t>
      </w:r>
      <w:r>
        <w:rPr>
          <w:rFonts w:eastAsia="Calibri" w:cstheme="minorHAnsi"/>
        </w:rPr>
        <w:t xml:space="preserve"> to this list</w:t>
      </w:r>
      <w:r w:rsidRPr="00AA43D6">
        <w:rPr>
          <w:rFonts w:eastAsia="Calibri" w:cstheme="minorHAnsi"/>
        </w:rPr>
        <w:t xml:space="preserve"> </w:t>
      </w:r>
      <w:r w:rsidRPr="00C5469A">
        <w:rPr>
          <w:rFonts w:eastAsia="Calibri" w:cstheme="minorHAnsi"/>
          <w:i/>
        </w:rPr>
        <w:t>private and public apology</w:t>
      </w:r>
      <w:r w:rsidRPr="00AA43D6">
        <w:rPr>
          <w:rFonts w:eastAsia="Calibri" w:cstheme="minorHAnsi"/>
        </w:rPr>
        <w:t xml:space="preserve"> and, most importantly, </w:t>
      </w:r>
      <w:r w:rsidRPr="00C5469A">
        <w:rPr>
          <w:rFonts w:eastAsia="Calibri" w:cstheme="minorHAnsi"/>
          <w:i/>
        </w:rPr>
        <w:t>reinstatement in employment</w:t>
      </w:r>
      <w:r w:rsidRPr="00AA43D6">
        <w:rPr>
          <w:rFonts w:eastAsia="Calibri" w:cstheme="minorHAnsi"/>
        </w:rPr>
        <w:t xml:space="preserve">. A significant challenge for workers exercising their right to freedom of association is the fear of </w:t>
      </w:r>
      <w:r w:rsidRPr="00481851">
        <w:rPr>
          <w:rFonts w:eastAsia="Calibri" w:cstheme="minorHAnsi"/>
          <w:i/>
        </w:rPr>
        <w:t>discriminatory dismissal</w:t>
      </w:r>
      <w:r w:rsidRPr="00AA43D6">
        <w:rPr>
          <w:rFonts w:eastAsia="Calibri" w:cstheme="minorHAnsi"/>
        </w:rPr>
        <w:t xml:space="preserve">. In such cases, reinstatement </w:t>
      </w:r>
      <w:r>
        <w:rPr>
          <w:rFonts w:eastAsia="Calibri" w:cstheme="minorHAnsi"/>
        </w:rPr>
        <w:t xml:space="preserve">is often the only effective remedy. </w:t>
      </w:r>
    </w:p>
    <w:p w:rsidR="00C50FED" w:rsidRPr="00AA43D6" w:rsidRDefault="00C50FED" w:rsidP="00C50FED">
      <w:pPr>
        <w:suppressAutoHyphens/>
        <w:autoSpaceDN w:val="0"/>
        <w:spacing w:line="254" w:lineRule="auto"/>
        <w:jc w:val="both"/>
        <w:textAlignment w:val="baseline"/>
        <w:rPr>
          <w:rFonts w:eastAsia="Calibri" w:cstheme="minorHAnsi"/>
        </w:rPr>
      </w:pPr>
      <w:r w:rsidRPr="00AA43D6">
        <w:rPr>
          <w:rFonts w:eastAsia="Calibri" w:cstheme="minorHAnsi"/>
        </w:rPr>
        <w:t>Art</w:t>
      </w:r>
      <w:r>
        <w:rPr>
          <w:rFonts w:eastAsia="Calibri" w:cstheme="minorHAnsi"/>
        </w:rPr>
        <w:t>icle 4.9</w:t>
      </w:r>
      <w:r w:rsidRPr="00AA43D6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on</w:t>
      </w:r>
      <w:r w:rsidRPr="00AA43D6">
        <w:rPr>
          <w:rFonts w:eastAsia="Calibri" w:cstheme="minorHAnsi"/>
        </w:rPr>
        <w:t xml:space="preserve"> measures </w:t>
      </w:r>
      <w:r>
        <w:rPr>
          <w:rFonts w:eastAsia="Calibri" w:cstheme="minorHAnsi"/>
        </w:rPr>
        <w:t xml:space="preserve">to protect human rights defenders should explicitly </w:t>
      </w:r>
      <w:r w:rsidRPr="00AA43D6">
        <w:rPr>
          <w:rFonts w:eastAsia="Calibri" w:cstheme="minorHAnsi"/>
        </w:rPr>
        <w:t xml:space="preserve">refer to </w:t>
      </w:r>
      <w:r w:rsidRPr="00481851">
        <w:rPr>
          <w:rFonts w:eastAsia="Calibri" w:cstheme="minorHAnsi"/>
          <w:i/>
        </w:rPr>
        <w:t>trade unionists</w:t>
      </w:r>
      <w:r w:rsidRPr="00AA43D6">
        <w:rPr>
          <w:rFonts w:eastAsia="Calibri" w:cstheme="minorHAnsi"/>
        </w:rPr>
        <w:t xml:space="preserve"> given the enormous risk of threats and retaliation </w:t>
      </w:r>
      <w:r>
        <w:rPr>
          <w:rFonts w:eastAsia="Calibri" w:cstheme="minorHAnsi"/>
        </w:rPr>
        <w:t>that exist in practice</w:t>
      </w:r>
      <w:r w:rsidRPr="00AA43D6">
        <w:rPr>
          <w:rFonts w:eastAsia="Calibri" w:cstheme="minorHAnsi"/>
        </w:rPr>
        <w:t xml:space="preserve">. </w:t>
      </w:r>
    </w:p>
    <w:p w:rsidR="00C50FED" w:rsidRPr="009C6040" w:rsidRDefault="00C50FED" w:rsidP="00C50FED">
      <w:pPr>
        <w:suppressAutoHyphens/>
        <w:autoSpaceDN w:val="0"/>
        <w:spacing w:line="254" w:lineRule="auto"/>
        <w:jc w:val="both"/>
        <w:textAlignment w:val="baseline"/>
        <w:rPr>
          <w:rFonts w:eastAsia="Calibri" w:cstheme="minorHAnsi"/>
        </w:rPr>
      </w:pPr>
      <w:r>
        <w:rPr>
          <w:rFonts w:eastAsia="Calibri" w:cstheme="minorHAnsi"/>
        </w:rPr>
        <w:t xml:space="preserve">In </w:t>
      </w:r>
      <w:r w:rsidRPr="00AA43D6">
        <w:rPr>
          <w:rFonts w:eastAsia="Calibri" w:cstheme="minorHAnsi"/>
        </w:rPr>
        <w:t>Art</w:t>
      </w:r>
      <w:r>
        <w:rPr>
          <w:rFonts w:eastAsia="Calibri" w:cstheme="minorHAnsi"/>
        </w:rPr>
        <w:t xml:space="preserve">icle </w:t>
      </w:r>
      <w:r w:rsidRPr="00AA43D6">
        <w:rPr>
          <w:rFonts w:eastAsia="Calibri" w:cstheme="minorHAnsi"/>
        </w:rPr>
        <w:t>4.16</w:t>
      </w:r>
      <w:r>
        <w:rPr>
          <w:rFonts w:eastAsia="Calibri" w:cstheme="minorHAnsi"/>
        </w:rPr>
        <w:t xml:space="preserve">, </w:t>
      </w:r>
      <w:r w:rsidRPr="00AA43D6">
        <w:rPr>
          <w:rFonts w:eastAsia="Calibri" w:cstheme="minorHAnsi"/>
        </w:rPr>
        <w:t xml:space="preserve">the “reversal of the burden of proof” </w:t>
      </w:r>
      <w:r w:rsidR="00A877F1">
        <w:rPr>
          <w:rFonts w:eastAsia="Calibri" w:cstheme="minorHAnsi"/>
        </w:rPr>
        <w:t>should be captured</w:t>
      </w:r>
      <w:r w:rsidRPr="00AA43D6">
        <w:rPr>
          <w:rFonts w:eastAsia="Calibri" w:cstheme="minorHAnsi"/>
        </w:rPr>
        <w:t xml:space="preserve"> in national legisla</w:t>
      </w:r>
      <w:r>
        <w:rPr>
          <w:rFonts w:eastAsia="Calibri" w:cstheme="minorHAnsi"/>
        </w:rPr>
        <w:t>tion</w:t>
      </w:r>
      <w:r w:rsidR="00A877F1">
        <w:rPr>
          <w:rFonts w:eastAsia="Calibri" w:cstheme="minorHAnsi"/>
        </w:rPr>
        <w:t xml:space="preserve"> and not left to the discretion of judges</w:t>
      </w:r>
      <w:r>
        <w:rPr>
          <w:rFonts w:eastAsia="Calibri" w:cstheme="minorHAnsi"/>
        </w:rPr>
        <w:t xml:space="preserve">. </w:t>
      </w:r>
      <w:r w:rsidRPr="00AA43D6">
        <w:rPr>
          <w:rFonts w:eastAsia="Calibri" w:cstheme="minorHAnsi"/>
        </w:rPr>
        <w:t xml:space="preserve">States </w:t>
      </w:r>
      <w:r>
        <w:rPr>
          <w:rFonts w:eastAsia="Calibri" w:cstheme="minorHAnsi"/>
        </w:rPr>
        <w:t xml:space="preserve">should be required </w:t>
      </w:r>
      <w:r>
        <w:rPr>
          <w:rFonts w:eastAsia="Calibri" w:cstheme="minorHAnsi"/>
        </w:rPr>
        <w:t xml:space="preserve">to provide for the </w:t>
      </w:r>
      <w:r w:rsidRPr="009541C4">
        <w:rPr>
          <w:rFonts w:eastAsia="Calibri" w:cstheme="minorHAnsi"/>
          <w:i/>
        </w:rPr>
        <w:t xml:space="preserve">shifting of the burden </w:t>
      </w:r>
      <w:r w:rsidRPr="009C6040">
        <w:rPr>
          <w:rFonts w:eastAsia="Calibri" w:cstheme="minorHAnsi"/>
          <w:i/>
        </w:rPr>
        <w:t>of proof</w:t>
      </w:r>
      <w:r w:rsidRPr="009C6040">
        <w:rPr>
          <w:rFonts w:eastAsia="Calibri" w:cstheme="minorHAnsi"/>
        </w:rPr>
        <w:t xml:space="preserve">. </w:t>
      </w:r>
    </w:p>
    <w:p w:rsidR="00C50FED" w:rsidRPr="009C6040" w:rsidRDefault="00C50FED" w:rsidP="00C50FED">
      <w:pPr>
        <w:rPr>
          <w:rFonts w:cstheme="minorHAnsi"/>
        </w:rPr>
      </w:pPr>
      <w:r w:rsidRPr="009C6040">
        <w:rPr>
          <w:rFonts w:cstheme="minorHAnsi"/>
        </w:rPr>
        <w:t xml:space="preserve">Thank you </w:t>
      </w:r>
    </w:p>
    <w:p w:rsidR="0010561C" w:rsidRDefault="00A877F1"/>
    <w:sectPr w:rsidR="001056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FED"/>
    <w:rsid w:val="00123BA1"/>
    <w:rsid w:val="009A3676"/>
    <w:rsid w:val="00A877F1"/>
    <w:rsid w:val="00C5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D15ED0-24DE-4291-899C-0D0A349C9652}"/>
</file>

<file path=customXml/itemProps2.xml><?xml version="1.0" encoding="utf-8"?>
<ds:datastoreItem xmlns:ds="http://schemas.openxmlformats.org/officeDocument/2006/customXml" ds:itemID="{CD1A5EF5-AC04-4642-A7BB-096AEDF9CB92}"/>
</file>

<file path=customXml/itemProps3.xml><?xml version="1.0" encoding="utf-8"?>
<ds:datastoreItem xmlns:ds="http://schemas.openxmlformats.org/officeDocument/2006/customXml" ds:itemID="{D07509ED-75A2-4CCB-B260-AF8754B0ED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ITF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Ruwan Subasinghe</dc:creator>
  <cp:lastModifiedBy>Ruwan Subasinghe</cp:lastModifiedBy>
  <cp:revision>1</cp:revision>
  <dcterms:created xsi:type="dcterms:W3CDTF">2019-10-15T06:49:00Z</dcterms:created>
  <dcterms:modified xsi:type="dcterms:W3CDTF">2019-10-15T07:09:00Z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