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014BB4" w14:textId="77777777" w:rsidR="00336501" w:rsidRDefault="00336501"/>
    <w:p w14:paraId="7AC1DA7B" w14:textId="77777777" w:rsidR="00440BAD" w:rsidRDefault="00440BAD"/>
    <w:p w14:paraId="79E79352" w14:textId="77777777" w:rsidR="00440BAD" w:rsidRDefault="00440BAD" w:rsidP="00440BAD">
      <w:pPr>
        <w:rPr>
          <w:rFonts w:ascii="Helvetica" w:eastAsia="Times New Roman" w:hAnsi="Helvetica" w:cs="Times New Roman"/>
          <w:color w:val="000000"/>
          <w:sz w:val="21"/>
          <w:szCs w:val="21"/>
        </w:rPr>
      </w:pPr>
      <w:r>
        <w:rPr>
          <w:rFonts w:ascii="Helvetica Neue" w:hAnsi="Helvetica Neue" w:cs="Helvetica Neue"/>
          <w:color w:val="000000"/>
          <w:sz w:val="28"/>
          <w:szCs w:val="28"/>
        </w:rPr>
        <w:t>Oral statement Institute for Policy Studies (TNI)</w:t>
      </w:r>
    </w:p>
    <w:p w14:paraId="440BADB2" w14:textId="7351629D" w:rsidR="00440BAD" w:rsidRPr="00440BAD" w:rsidRDefault="00723996" w:rsidP="00440BAD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Helvetica" w:eastAsia="Times New Roman" w:hAnsi="Helvetica" w:cs="Times New Roman"/>
          <w:color w:val="000000"/>
          <w:sz w:val="21"/>
          <w:szCs w:val="21"/>
        </w:rPr>
        <w:t>Art. 6</w:t>
      </w:r>
      <w:r w:rsidR="00440BAD" w:rsidRPr="00440BAD">
        <w:rPr>
          <w:rFonts w:ascii="Helvetica" w:eastAsia="Times New Roman" w:hAnsi="Helvetica" w:cs="Times New Roman"/>
          <w:color w:val="000000"/>
          <w:sz w:val="21"/>
          <w:szCs w:val="21"/>
        </w:rPr>
        <w:t xml:space="preserve"> </w:t>
      </w:r>
    </w:p>
    <w:p w14:paraId="0F1357B7" w14:textId="1D43E559" w:rsidR="00440BAD" w:rsidRDefault="00440BAD" w:rsidP="00440BAD">
      <w:pPr>
        <w:rPr>
          <w:rFonts w:ascii="Helvetica" w:eastAsia="Times New Roman" w:hAnsi="Helvetica" w:cs="Times New Roman"/>
          <w:color w:val="222222"/>
          <w:sz w:val="19"/>
          <w:szCs w:val="19"/>
        </w:rPr>
      </w:pPr>
      <w:r>
        <w:rPr>
          <w:rFonts w:ascii="Helvetica" w:eastAsia="Times New Roman" w:hAnsi="Helvetica" w:cs="Times New Roman"/>
          <w:color w:val="222222"/>
          <w:sz w:val="19"/>
          <w:szCs w:val="19"/>
        </w:rPr>
        <w:t>Oct. 1</w:t>
      </w:r>
      <w:r w:rsidR="00723996">
        <w:rPr>
          <w:rFonts w:ascii="Helvetica" w:eastAsia="Times New Roman" w:hAnsi="Helvetica" w:cs="Times New Roman"/>
          <w:color w:val="222222"/>
          <w:sz w:val="19"/>
          <w:szCs w:val="19"/>
        </w:rPr>
        <w:t>6</w:t>
      </w:r>
      <w:r w:rsidRPr="00440BAD">
        <w:rPr>
          <w:rFonts w:ascii="Helvetica" w:eastAsia="Times New Roman" w:hAnsi="Helvetica" w:cs="Times New Roman"/>
          <w:color w:val="222222"/>
          <w:sz w:val="19"/>
          <w:szCs w:val="19"/>
          <w:vertAlign w:val="superscript"/>
        </w:rPr>
        <w:t>th</w:t>
      </w:r>
      <w:r>
        <w:rPr>
          <w:rFonts w:ascii="Helvetica" w:eastAsia="Times New Roman" w:hAnsi="Helvetica" w:cs="Times New Roman"/>
          <w:color w:val="222222"/>
          <w:sz w:val="19"/>
          <w:szCs w:val="19"/>
        </w:rPr>
        <w:t xml:space="preserve"> </w:t>
      </w:r>
      <w:r w:rsidR="00F1734D">
        <w:rPr>
          <w:rFonts w:ascii="Helvetica" w:eastAsia="Times New Roman" w:hAnsi="Helvetica" w:cs="Times New Roman"/>
          <w:color w:val="222222"/>
          <w:sz w:val="19"/>
          <w:szCs w:val="19"/>
        </w:rPr>
        <w:t>Morning</w:t>
      </w:r>
    </w:p>
    <w:p w14:paraId="7418B6FB" w14:textId="46B5C49A" w:rsidR="00440BAD" w:rsidRDefault="00723996" w:rsidP="00440BAD">
      <w:pPr>
        <w:rPr>
          <w:rFonts w:ascii="Helvetica" w:eastAsia="Times New Roman" w:hAnsi="Helvetica" w:cs="Times New Roman"/>
          <w:color w:val="222222"/>
          <w:sz w:val="19"/>
          <w:szCs w:val="19"/>
        </w:rPr>
      </w:pPr>
      <w:r>
        <w:rPr>
          <w:rFonts w:ascii="Helvetica" w:eastAsia="Times New Roman" w:hAnsi="Helvetica" w:cs="Times New Roman"/>
          <w:color w:val="222222"/>
          <w:sz w:val="19"/>
          <w:szCs w:val="19"/>
        </w:rPr>
        <w:t xml:space="preserve">Manoela Roland </w:t>
      </w:r>
    </w:p>
    <w:p w14:paraId="7330C187" w14:textId="77777777" w:rsidR="00440BAD" w:rsidRDefault="00440BAD" w:rsidP="00440BAD">
      <w:pPr>
        <w:rPr>
          <w:rFonts w:ascii="Helvetica" w:eastAsia="Times New Roman" w:hAnsi="Helvetica" w:cs="Times New Roman"/>
          <w:color w:val="222222"/>
          <w:sz w:val="19"/>
          <w:szCs w:val="19"/>
        </w:rPr>
      </w:pPr>
    </w:p>
    <w:p w14:paraId="464432CB" w14:textId="77777777" w:rsidR="00723996" w:rsidRPr="00D2201B" w:rsidRDefault="00723996" w:rsidP="00723996">
      <w:pPr>
        <w:pStyle w:val="BodyText"/>
        <w:spacing w:after="0" w:line="360" w:lineRule="auto"/>
        <w:rPr>
          <w:lang w:val="es-ES_tradnl"/>
        </w:rPr>
      </w:pPr>
      <w:r w:rsidRPr="00D2201B">
        <w:rPr>
          <w:rFonts w:cs="Times New Roman"/>
          <w:lang w:val="es-ES_tradnl"/>
        </w:rPr>
        <w:t>Gracias señor Presidente. En nombre de Transnational Institute y como miembro de la Campaña Global</w:t>
      </w:r>
      <w:r w:rsidRPr="00D2201B">
        <w:rPr>
          <w:lang w:val="es-ES_tradnl"/>
        </w:rPr>
        <w:t xml:space="preserve"> me gustaría, inicialmente, recordar que el mandato de la Resolución 26/9 debe tener una interpretación coherente con las normas de Interpretación de la Convención de Viena, no p</w:t>
      </w:r>
      <w:r>
        <w:rPr>
          <w:lang w:val="es-ES_tradnl"/>
        </w:rPr>
        <w:t>u</w:t>
      </w:r>
      <w:r w:rsidRPr="00D2201B">
        <w:rPr>
          <w:lang w:val="es-ES_tradnl"/>
        </w:rPr>
        <w:t>d</w:t>
      </w:r>
      <w:r>
        <w:rPr>
          <w:lang w:val="es-ES_tradnl"/>
        </w:rPr>
        <w:t>i</w:t>
      </w:r>
      <w:r w:rsidRPr="00D2201B">
        <w:rPr>
          <w:lang w:val="es-ES_tradnl"/>
        </w:rPr>
        <w:t>endo ser desconsiderada la footnote que atribuye el alcance del mandato del presente grupo, y que determina que la regulación debe ser de empresas transnacionales o que ejercen a</w:t>
      </w:r>
      <w:r>
        <w:rPr>
          <w:lang w:val="es-ES_tradnl"/>
        </w:rPr>
        <w:t>c</w:t>
      </w:r>
      <w:r w:rsidRPr="00D2201B">
        <w:rPr>
          <w:lang w:val="es-ES_tradnl"/>
        </w:rPr>
        <w:t>tividades de carácter transnacional. Lo que se hace en este espacio ahora es un</w:t>
      </w:r>
      <w:r>
        <w:rPr>
          <w:lang w:val="es-ES_tradnl"/>
        </w:rPr>
        <w:t xml:space="preserve"> no </w:t>
      </w:r>
      <w:r w:rsidRPr="00D2201B">
        <w:rPr>
          <w:lang w:val="es-ES_tradnl"/>
        </w:rPr>
        <w:t>cumplimiento de</w:t>
      </w:r>
      <w:r>
        <w:rPr>
          <w:lang w:val="es-ES_tradnl"/>
        </w:rPr>
        <w:t xml:space="preserve"> un</w:t>
      </w:r>
      <w:r w:rsidRPr="00D2201B">
        <w:rPr>
          <w:lang w:val="es-ES_tradnl"/>
        </w:rPr>
        <w:t xml:space="preserve"> principio fundamental del Derecho Internacional. Otra observación importante es que no estamos acá reunidos, desde 2015, solamente para tornar vinculante los </w:t>
      </w:r>
      <w:r w:rsidRPr="00D2201B">
        <w:rPr>
          <w:i/>
          <w:lang w:val="es-ES_tradnl"/>
        </w:rPr>
        <w:t>Guiding Principles,</w:t>
      </w:r>
      <w:r w:rsidRPr="00D2201B">
        <w:rPr>
          <w:lang w:val="es-ES_tradnl"/>
        </w:rPr>
        <w:t xml:space="preserve"> para eso sería necesario un sólo artículo en el Tratado. Sobre el borrador revisado, propongo ahora algunas sugerencias al artículo 6</w:t>
      </w:r>
    </w:p>
    <w:p w14:paraId="415D7056" w14:textId="77777777" w:rsidR="00723996" w:rsidRPr="00E5590B" w:rsidRDefault="00723996" w:rsidP="00723996">
      <w:pPr>
        <w:pStyle w:val="BodyText"/>
        <w:spacing w:after="0" w:line="360" w:lineRule="auto"/>
        <w:rPr>
          <w:lang w:val="es-ES_tradnl"/>
        </w:rPr>
      </w:pPr>
      <w:r w:rsidRPr="001477E7">
        <w:rPr>
          <w:lang w:val="pt-BR"/>
        </w:rPr>
        <w:t>En términos gen</w:t>
      </w:r>
      <w:r w:rsidRPr="007459DD">
        <w:rPr>
          <w:lang w:val="es-ES_tradnl"/>
        </w:rPr>
        <w:t xml:space="preserve">erales, es imprescindible que el artículo </w:t>
      </w:r>
      <w:r w:rsidRPr="00E5590B">
        <w:rPr>
          <w:lang w:val="es-ES_tradnl"/>
        </w:rPr>
        <w:t xml:space="preserve">6 </w:t>
      </w:r>
      <w:r w:rsidRPr="00E5590B">
        <w:rPr>
          <w:bCs/>
          <w:lang w:val="es-ES_tradnl"/>
        </w:rPr>
        <w:t>incluya cláusulas más específicas en materia de responsabilidad administrativa, civil y penal</w:t>
      </w:r>
      <w:r>
        <w:rPr>
          <w:lang w:val="es-ES_tradnl"/>
        </w:rPr>
        <w:t xml:space="preserve"> para las empresas transnacionales, además de </w:t>
      </w:r>
      <w:r>
        <w:rPr>
          <w:rFonts w:cs="Times New Roman"/>
          <w:lang w:val="es-ES_tradnl"/>
        </w:rPr>
        <w:t>l</w:t>
      </w:r>
      <w:r w:rsidRPr="007459DD">
        <w:rPr>
          <w:rFonts w:cs="Times New Roman"/>
          <w:lang w:val="es-ES_tradnl"/>
        </w:rPr>
        <w:t xml:space="preserve">a inclusión de una cláusula en este artículo, que establezca </w:t>
      </w:r>
      <w:r w:rsidRPr="00E5590B">
        <w:rPr>
          <w:rFonts w:cs="Times New Roman"/>
          <w:bCs/>
          <w:lang w:val="es-ES_tradnl"/>
        </w:rPr>
        <w:t>la responsabilidad y las obligaciones de las ETNs, y su responsabilidad conjunta y solidaria con sus cadenas de suministro en materia de derechos humanos</w:t>
      </w:r>
      <w:r w:rsidRPr="00E5590B">
        <w:rPr>
          <w:rFonts w:cs="Times New Roman"/>
          <w:lang w:val="es-ES_tradnl"/>
        </w:rPr>
        <w:t>.</w:t>
      </w:r>
    </w:p>
    <w:p w14:paraId="38AB5DDF" w14:textId="77777777" w:rsidR="00723996" w:rsidRPr="007459DD" w:rsidRDefault="00723996" w:rsidP="00723996">
      <w:pPr>
        <w:pStyle w:val="BodyText"/>
        <w:spacing w:after="0" w:line="360" w:lineRule="auto"/>
        <w:rPr>
          <w:lang w:val="es-ES_tradnl"/>
        </w:rPr>
      </w:pPr>
      <w:r w:rsidRPr="007459DD">
        <w:rPr>
          <w:lang w:val="es-ES_tradnl"/>
        </w:rPr>
        <w:t xml:space="preserve">En este artículo se pone el énfasis sobre algunos crímenes, que no incluyen </w:t>
      </w:r>
      <w:r w:rsidRPr="00806FF2">
        <w:rPr>
          <w:bCs/>
          <w:lang w:val="es-ES_tradnl"/>
        </w:rPr>
        <w:t>la</w:t>
      </w:r>
      <w:r w:rsidRPr="007459DD">
        <w:rPr>
          <w:b/>
          <w:bCs/>
          <w:lang w:val="es-ES_tradnl"/>
        </w:rPr>
        <w:t xml:space="preserve">s </w:t>
      </w:r>
      <w:r w:rsidRPr="00E5590B">
        <w:rPr>
          <w:bCs/>
          <w:lang w:val="es-ES_tradnl"/>
        </w:rPr>
        <w:t>violaciones de derechos económicos, sociales y culturales (DESC) que tengan lugar en el marco de las operaciones  de las ETNs</w:t>
      </w:r>
      <w:r w:rsidRPr="007459DD">
        <w:rPr>
          <w:lang w:val="es-ES_tradnl"/>
        </w:rPr>
        <w:t>. Consideramos que el futuro Tratado debe prever una amplia protección de los Derechos Humanos, en todas sus dimensiones, sin efectuar distinciones. Tal principio debe ser mencionado además en el Preámbulo.</w:t>
      </w:r>
    </w:p>
    <w:p w14:paraId="213D0A8E" w14:textId="77777777" w:rsidR="00723996" w:rsidRPr="007459DD" w:rsidRDefault="00723996" w:rsidP="00723996">
      <w:pPr>
        <w:pStyle w:val="BodyText"/>
        <w:spacing w:after="0" w:line="360" w:lineRule="auto"/>
        <w:rPr>
          <w:lang w:val="es-ES_tradnl"/>
        </w:rPr>
      </w:pPr>
      <w:r w:rsidRPr="007459DD">
        <w:rPr>
          <w:rFonts w:cs="Times New Roman"/>
          <w:lang w:val="es-ES_tradnl"/>
        </w:rPr>
        <w:t xml:space="preserve">Es necesario establecer la </w:t>
      </w:r>
      <w:r w:rsidRPr="007459DD">
        <w:rPr>
          <w:rStyle w:val="Policepardfaut"/>
          <w:lang w:val="es-ES_tradnl"/>
        </w:rPr>
        <w:t>responsabilidad para todas las violaciones y no solo las más graves, y que se establezca un régimen penal bien delimitado y lo suficientemente amplio para integrar los DESC.</w:t>
      </w:r>
    </w:p>
    <w:p w14:paraId="3DCABB8F" w14:textId="77777777" w:rsidR="00723996" w:rsidRDefault="00723996" w:rsidP="00723996">
      <w:pPr>
        <w:pStyle w:val="BodyText"/>
        <w:spacing w:after="0" w:line="360" w:lineRule="auto"/>
        <w:rPr>
          <w:rFonts w:cs="Times New Roman"/>
          <w:lang w:val="es-ES_tradnl"/>
        </w:rPr>
      </w:pPr>
      <w:r w:rsidRPr="007459DD">
        <w:rPr>
          <w:rFonts w:cs="Times New Roman"/>
          <w:lang w:val="es-ES_tradnl"/>
        </w:rPr>
        <w:lastRenderedPageBreak/>
        <w:t xml:space="preserve">Además, es necesario </w:t>
      </w:r>
      <w:r w:rsidRPr="00E5590B">
        <w:rPr>
          <w:rFonts w:cs="Times New Roman"/>
          <w:bCs/>
          <w:lang w:val="es-ES_tradnl"/>
        </w:rPr>
        <w:t>vincular la responsabilidad jurídica con el deber de prevención y establecer responsabilidades</w:t>
      </w:r>
      <w:r w:rsidRPr="007459DD">
        <w:rPr>
          <w:rFonts w:cs="Times New Roman"/>
          <w:lang w:val="es-ES_tradnl"/>
        </w:rPr>
        <w:t xml:space="preserve"> por su incumplimiento.</w:t>
      </w:r>
      <w:r>
        <w:rPr>
          <w:rFonts w:cs="Times New Roman"/>
          <w:lang w:val="es-ES_tradnl"/>
        </w:rPr>
        <w:t xml:space="preserve"> Incluso, se debería desarrollar más el texto, en materia de mecanismos de recurso y sanciones administrativas</w:t>
      </w:r>
    </w:p>
    <w:p w14:paraId="258A2BDA" w14:textId="77777777" w:rsidR="00723996" w:rsidRPr="007459DD" w:rsidRDefault="00723996" w:rsidP="00723996">
      <w:pPr>
        <w:pStyle w:val="BodyText"/>
        <w:spacing w:after="0" w:line="360" w:lineRule="auto"/>
        <w:rPr>
          <w:rFonts w:cs="Times New Roman"/>
          <w:color w:val="000000"/>
          <w:lang w:val="es-ES_tradnl"/>
        </w:rPr>
      </w:pPr>
      <w:r w:rsidRPr="007459DD">
        <w:rPr>
          <w:rStyle w:val="Policepardfaut"/>
          <w:lang w:val="es-ES_tradnl"/>
        </w:rPr>
        <w:t>E</w:t>
      </w:r>
      <w:r w:rsidRPr="007459DD">
        <w:rPr>
          <w:rFonts w:cs="Times New Roman"/>
          <w:lang w:val="es-ES_tradnl"/>
        </w:rPr>
        <w:t xml:space="preserve">s </w:t>
      </w:r>
      <w:r>
        <w:rPr>
          <w:rFonts w:cs="Times New Roman"/>
          <w:lang w:val="es-ES_tradnl"/>
        </w:rPr>
        <w:t xml:space="preserve">fundamental señalar nuevamente </w:t>
      </w:r>
      <w:r w:rsidRPr="007459DD">
        <w:rPr>
          <w:rFonts w:cs="Times New Roman"/>
          <w:lang w:val="es-ES_tradnl"/>
        </w:rPr>
        <w:t xml:space="preserve">que no existe criterio alguno referido al tipo de sanciones que deberían imponerse por parte de los Estados a las ETNs. El futuro Tratado debería contener </w:t>
      </w:r>
      <w:r w:rsidRPr="00E5590B">
        <w:rPr>
          <w:rFonts w:cs="Times New Roman"/>
          <w:bCs/>
          <w:lang w:val="es-ES_tradnl"/>
        </w:rPr>
        <w:t>criterios que permitan la modulación de sanciones en función del tipo de delito o infracción cometidos</w:t>
      </w:r>
      <w:r w:rsidRPr="007459DD">
        <w:rPr>
          <w:rFonts w:cs="Times New Roman"/>
          <w:lang w:val="es-ES_tradnl"/>
        </w:rPr>
        <w:t xml:space="preserve">. </w:t>
      </w:r>
      <w:r w:rsidRPr="007459DD">
        <w:rPr>
          <w:lang w:val="es-ES_tradnl"/>
        </w:rPr>
        <w:t xml:space="preserve">Es </w:t>
      </w:r>
      <w:r w:rsidRPr="007459DD">
        <w:rPr>
          <w:rFonts w:cs="Times New Roman"/>
          <w:color w:val="000000"/>
          <w:lang w:val="es-ES_tradnl"/>
        </w:rPr>
        <w:t>importante exigir que los Estados incluyan en su legislación las sanciones imponibles a las ETNs en caso de incumplimiento de las normas establecidas.</w:t>
      </w:r>
    </w:p>
    <w:p w14:paraId="40C107F0" w14:textId="77777777" w:rsidR="00723996" w:rsidRDefault="00723996" w:rsidP="00723996">
      <w:pPr>
        <w:pStyle w:val="BodyText"/>
        <w:spacing w:after="0" w:line="360" w:lineRule="auto"/>
        <w:rPr>
          <w:lang w:val="es-ES_tradnl"/>
        </w:rPr>
      </w:pPr>
      <w:r>
        <w:rPr>
          <w:lang w:val="es-ES_tradnl"/>
        </w:rPr>
        <w:t>Señalamos también que</w:t>
      </w:r>
      <w:r w:rsidRPr="007459DD">
        <w:rPr>
          <w:lang w:val="es-ES_tradnl"/>
        </w:rPr>
        <w:t xml:space="preserve"> las referencias a la legislación nacional </w:t>
      </w:r>
      <w:r w:rsidRPr="00E5590B">
        <w:rPr>
          <w:lang w:val="es-ES_tradnl"/>
        </w:rPr>
        <w:t xml:space="preserve">en </w:t>
      </w:r>
      <w:r w:rsidRPr="00E5590B">
        <w:rPr>
          <w:bCs/>
          <w:lang w:val="es-ES_tradnl"/>
        </w:rPr>
        <w:t>los apartados 7, 8 y 9 limitan el ámbito de aplicación del artículo 6. Por lo tanto, deben suprimirse</w:t>
      </w:r>
      <w:r w:rsidRPr="00E5590B">
        <w:rPr>
          <w:lang w:val="es-ES_tradnl"/>
        </w:rPr>
        <w:t>.</w:t>
      </w:r>
    </w:p>
    <w:p w14:paraId="485A4F70" w14:textId="77777777" w:rsidR="00723996" w:rsidRPr="00E5590B" w:rsidRDefault="00723996" w:rsidP="00723996">
      <w:pPr>
        <w:pStyle w:val="BodyText"/>
        <w:spacing w:after="0" w:line="360" w:lineRule="auto"/>
        <w:rPr>
          <w:lang w:val="es-ES_tradnl"/>
        </w:rPr>
      </w:pPr>
      <w:r>
        <w:rPr>
          <w:rFonts w:cs="Times New Roman"/>
          <w:lang w:val="es-ES_tradnl"/>
        </w:rPr>
        <w:t>Por fin, nos</w:t>
      </w:r>
      <w:r w:rsidRPr="00EC7F7D">
        <w:rPr>
          <w:rFonts w:cs="Times New Roman"/>
          <w:lang w:val="es-ES_tradnl"/>
        </w:rPr>
        <w:t xml:space="preserve"> solidarizamos con el Pueblo de Ecuador movilizado contra las medidas de ajuste estructural impuestas por el FMI y condenamos represión</w:t>
      </w:r>
      <w:r>
        <w:rPr>
          <w:rFonts w:cs="Times New Roman"/>
          <w:lang w:val="es-ES_tradnl"/>
        </w:rPr>
        <w:t>.</w:t>
      </w:r>
    </w:p>
    <w:p w14:paraId="4BA65FF1" w14:textId="77777777" w:rsidR="00723996" w:rsidRPr="00E5590B" w:rsidRDefault="00723996" w:rsidP="00723996">
      <w:pPr>
        <w:pStyle w:val="BodyText"/>
        <w:spacing w:after="0" w:line="360" w:lineRule="auto"/>
        <w:rPr>
          <w:lang w:val="es-ES_tradnl"/>
        </w:rPr>
      </w:pPr>
    </w:p>
    <w:p w14:paraId="48BB7BBD" w14:textId="77777777" w:rsidR="00723996" w:rsidRPr="00E5590B" w:rsidRDefault="00723996" w:rsidP="00723996">
      <w:pPr>
        <w:spacing w:line="360" w:lineRule="auto"/>
        <w:jc w:val="both"/>
        <w:rPr>
          <w:lang w:val="es-ES_tradnl"/>
        </w:rPr>
      </w:pPr>
    </w:p>
    <w:p w14:paraId="438A19C2" w14:textId="77777777" w:rsidR="00952649" w:rsidRPr="00EC7F7D" w:rsidRDefault="00952649" w:rsidP="00952649">
      <w:pPr>
        <w:spacing w:line="360" w:lineRule="auto"/>
        <w:jc w:val="both"/>
        <w:rPr>
          <w:rFonts w:ascii="Times New Roman" w:hAnsi="Times New Roman" w:cs="Times New Roman"/>
          <w:lang w:val="es-ES_tradnl"/>
        </w:rPr>
      </w:pPr>
      <w:bookmarkStart w:id="0" w:name="_GoBack"/>
      <w:bookmarkEnd w:id="0"/>
    </w:p>
    <w:p w14:paraId="240AF481" w14:textId="77777777" w:rsidR="00952649" w:rsidRPr="00EC7F7D" w:rsidRDefault="00952649" w:rsidP="00952649">
      <w:pPr>
        <w:jc w:val="both"/>
        <w:rPr>
          <w:lang w:val="es-ES_tradnl"/>
        </w:rPr>
      </w:pPr>
    </w:p>
    <w:p w14:paraId="5352C836" w14:textId="77777777" w:rsidR="00440BAD" w:rsidRDefault="00440BAD" w:rsidP="00952649"/>
    <w:sectPr w:rsidR="00440BAD" w:rsidSect="00336501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309ED2" w14:textId="77777777" w:rsidR="00440BAD" w:rsidRDefault="00440BAD" w:rsidP="00440BAD">
      <w:r>
        <w:separator/>
      </w:r>
    </w:p>
  </w:endnote>
  <w:endnote w:type="continuationSeparator" w:id="0">
    <w:p w14:paraId="4E74DAD4" w14:textId="77777777" w:rsidR="00440BAD" w:rsidRDefault="00440BAD" w:rsidP="00440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D7A72B" w14:textId="77777777" w:rsidR="00440BAD" w:rsidRDefault="00440BAD" w:rsidP="00440BAD">
      <w:r>
        <w:separator/>
      </w:r>
    </w:p>
  </w:footnote>
  <w:footnote w:type="continuationSeparator" w:id="0">
    <w:p w14:paraId="78081CBA" w14:textId="77777777" w:rsidR="00440BAD" w:rsidRDefault="00440BAD" w:rsidP="00440BA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D31B61" w14:textId="77777777" w:rsidR="00440BAD" w:rsidRDefault="00440BAD">
    <w:pPr>
      <w:pStyle w:val="Header"/>
    </w:pPr>
    <w:r>
      <w:rPr>
        <w:noProof/>
      </w:rPr>
      <w:drawing>
        <wp:inline distT="0" distB="0" distL="0" distR="0" wp14:anchorId="7F835822" wp14:editId="6CD8FCEC">
          <wp:extent cx="737419" cy="51521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GC_ENG_peti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7773" cy="515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</w:t>
    </w:r>
    <w:r w:rsidRPr="00440BAD">
      <w:rPr>
        <w:noProof/>
      </w:rPr>
      <w:drawing>
        <wp:inline distT="0" distB="0" distL="0" distR="0" wp14:anchorId="5B6BCB37" wp14:editId="515FE2F5">
          <wp:extent cx="853236" cy="883060"/>
          <wp:effectExtent l="0" t="0" r="10795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TNI.jpe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3343" cy="883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5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BAD"/>
    <w:rsid w:val="00336501"/>
    <w:rsid w:val="00440BAD"/>
    <w:rsid w:val="00723996"/>
    <w:rsid w:val="00952649"/>
    <w:rsid w:val="00EF5AF1"/>
    <w:rsid w:val="00F1734D"/>
    <w:rsid w:val="00FA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4EA440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0BA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0BAD"/>
  </w:style>
  <w:style w:type="paragraph" w:styleId="Footer">
    <w:name w:val="footer"/>
    <w:basedOn w:val="Normal"/>
    <w:link w:val="FooterChar"/>
    <w:uiPriority w:val="99"/>
    <w:unhideWhenUsed/>
    <w:rsid w:val="00440BA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0BAD"/>
  </w:style>
  <w:style w:type="paragraph" w:styleId="BalloonText">
    <w:name w:val="Balloon Text"/>
    <w:basedOn w:val="Normal"/>
    <w:link w:val="BalloonTextChar"/>
    <w:uiPriority w:val="99"/>
    <w:semiHidden/>
    <w:unhideWhenUsed/>
    <w:rsid w:val="00440BA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BAD"/>
    <w:rPr>
      <w:rFonts w:ascii="Lucida Grande" w:hAnsi="Lucida Grande" w:cs="Lucida Grande"/>
      <w:sz w:val="18"/>
      <w:szCs w:val="18"/>
    </w:rPr>
  </w:style>
  <w:style w:type="character" w:customStyle="1" w:styleId="Policepardfaut">
    <w:name w:val="Police par défaut"/>
    <w:rsid w:val="00723996"/>
  </w:style>
  <w:style w:type="paragraph" w:styleId="BodyText">
    <w:name w:val="Body Text"/>
    <w:basedOn w:val="Normal"/>
    <w:link w:val="BodyTextChar"/>
    <w:rsid w:val="00723996"/>
    <w:pPr>
      <w:suppressAutoHyphens/>
      <w:spacing w:after="140" w:line="276" w:lineRule="auto"/>
      <w:jc w:val="both"/>
    </w:pPr>
    <w:rPr>
      <w:rFonts w:ascii="Times New Roman" w:eastAsia="Calibri" w:hAnsi="Times New Roman" w:cs="Tahoma"/>
      <w:szCs w:val="22"/>
      <w:lang w:val="es-ES"/>
    </w:rPr>
  </w:style>
  <w:style w:type="character" w:customStyle="1" w:styleId="BodyTextChar">
    <w:name w:val="Body Text Char"/>
    <w:basedOn w:val="DefaultParagraphFont"/>
    <w:link w:val="BodyText"/>
    <w:rsid w:val="00723996"/>
    <w:rPr>
      <w:rFonts w:ascii="Times New Roman" w:eastAsia="Calibri" w:hAnsi="Times New Roman" w:cs="Tahoma"/>
      <w:szCs w:val="22"/>
      <w:lang w:val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0BA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0BAD"/>
  </w:style>
  <w:style w:type="paragraph" w:styleId="Footer">
    <w:name w:val="footer"/>
    <w:basedOn w:val="Normal"/>
    <w:link w:val="FooterChar"/>
    <w:uiPriority w:val="99"/>
    <w:unhideWhenUsed/>
    <w:rsid w:val="00440BA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0BAD"/>
  </w:style>
  <w:style w:type="paragraph" w:styleId="BalloonText">
    <w:name w:val="Balloon Text"/>
    <w:basedOn w:val="Normal"/>
    <w:link w:val="BalloonTextChar"/>
    <w:uiPriority w:val="99"/>
    <w:semiHidden/>
    <w:unhideWhenUsed/>
    <w:rsid w:val="00440BA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BAD"/>
    <w:rPr>
      <w:rFonts w:ascii="Lucida Grande" w:hAnsi="Lucida Grande" w:cs="Lucida Grande"/>
      <w:sz w:val="18"/>
      <w:szCs w:val="18"/>
    </w:rPr>
  </w:style>
  <w:style w:type="character" w:customStyle="1" w:styleId="Policepardfaut">
    <w:name w:val="Police par défaut"/>
    <w:rsid w:val="00723996"/>
  </w:style>
  <w:style w:type="paragraph" w:styleId="BodyText">
    <w:name w:val="Body Text"/>
    <w:basedOn w:val="Normal"/>
    <w:link w:val="BodyTextChar"/>
    <w:rsid w:val="00723996"/>
    <w:pPr>
      <w:suppressAutoHyphens/>
      <w:spacing w:after="140" w:line="276" w:lineRule="auto"/>
      <w:jc w:val="both"/>
    </w:pPr>
    <w:rPr>
      <w:rFonts w:ascii="Times New Roman" w:eastAsia="Calibri" w:hAnsi="Times New Roman" w:cs="Tahoma"/>
      <w:szCs w:val="22"/>
      <w:lang w:val="es-ES"/>
    </w:rPr>
  </w:style>
  <w:style w:type="character" w:customStyle="1" w:styleId="BodyTextChar">
    <w:name w:val="Body Text Char"/>
    <w:basedOn w:val="DefaultParagraphFont"/>
    <w:link w:val="BodyText"/>
    <w:rsid w:val="00723996"/>
    <w:rPr>
      <w:rFonts w:ascii="Times New Roman" w:eastAsia="Calibri" w:hAnsi="Times New Roman" w:cs="Tahoma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8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6" Type="http://schemas.openxmlformats.org/officeDocument/2006/relationships/endnotes" Target="endnotes.xml"/><Relationship Id="rId1" Type="http://schemas.openxmlformats.org/officeDocument/2006/relationships/styles" Target="styl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C7B2E3E-76FD-4805-97A0-CBB6C9077C5D}"/>
</file>

<file path=customXml/itemProps2.xml><?xml version="1.0" encoding="utf-8"?>
<ds:datastoreItem xmlns:ds="http://schemas.openxmlformats.org/officeDocument/2006/customXml" ds:itemID="{1A7DFB56-B6CD-4156-AB53-31A14A67AF6A}"/>
</file>

<file path=customXml/itemProps3.xml><?xml version="1.0" encoding="utf-8"?>
<ds:datastoreItem xmlns:ds="http://schemas.openxmlformats.org/officeDocument/2006/customXml" ds:itemID="{8208DAE0-3A41-4331-A7D7-2CA4E72E605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450</Words>
  <Characters>2565</Characters>
  <Application>Microsoft Macintosh Word</Application>
  <DocSecurity>0</DocSecurity>
  <Lines>21</Lines>
  <Paragraphs>6</Paragraphs>
  <ScaleCrop>false</ScaleCrop>
  <LinksUpToDate>false</LinksUpToDate>
  <CharactersWithSpaces>3009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2019-10-16T09:23:00Z</dcterms:created>
  <dcterms:modified xsi:type="dcterms:W3CDTF">2019-10-16T09:24:00Z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