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B192" w14:textId="77777777" w:rsidR="003B6CF9" w:rsidRDefault="003B6CF9" w:rsidP="003B6CF9">
      <w:pPr>
        <w:jc w:val="center"/>
        <w:rPr>
          <w:rFonts w:ascii="Calibri" w:hAnsi="Calibri" w:cs="Calibri"/>
          <w:b/>
          <w:bCs/>
          <w:color w:val="000000"/>
          <w:sz w:val="24"/>
          <w:lang w:val="en-US"/>
        </w:rPr>
      </w:pPr>
      <w:r w:rsidRPr="00130854">
        <w:rPr>
          <w:rFonts w:ascii="Calibri" w:hAnsi="Calibri" w:cs="Calibri"/>
          <w:b/>
          <w:bCs/>
          <w:color w:val="000000"/>
          <w:sz w:val="24"/>
          <w:lang w:val="en-US"/>
        </w:rPr>
        <w:t>Open-ended intergovernmental working group on transnational corporations and other business enterprises with respect to human rights</w:t>
      </w:r>
    </w:p>
    <w:p w14:paraId="5C04E410" w14:textId="77777777" w:rsidR="003B6CF9" w:rsidRPr="00130854" w:rsidRDefault="003B6CF9" w:rsidP="003B6CF9">
      <w:pPr>
        <w:jc w:val="center"/>
        <w:rPr>
          <w:rFonts w:ascii="Calibri" w:hAnsi="Calibri" w:cs="Calibri"/>
          <w:sz w:val="24"/>
          <w:lang w:val="en-US"/>
        </w:rPr>
      </w:pPr>
    </w:p>
    <w:p w14:paraId="42AE123A" w14:textId="77777777" w:rsidR="003B6CF9" w:rsidRPr="00130854" w:rsidRDefault="003B6CF9" w:rsidP="003B6CF9">
      <w:pPr>
        <w:jc w:val="center"/>
        <w:rPr>
          <w:rFonts w:ascii="Calibri" w:hAnsi="Calibri" w:cs="Calibri"/>
          <w:sz w:val="24"/>
          <w:lang w:val="en-US"/>
        </w:rPr>
      </w:pPr>
      <w:r w:rsidRPr="00130854">
        <w:rPr>
          <w:rFonts w:ascii="Calibri" w:hAnsi="Calibri" w:cs="Calibri"/>
          <w:b/>
          <w:bCs/>
          <w:i/>
          <w:iCs/>
          <w:color w:val="000000"/>
          <w:sz w:val="24"/>
          <w:lang w:val="en-US"/>
        </w:rPr>
        <w:t>Fifth session (14-18 October 2019)</w:t>
      </w:r>
    </w:p>
    <w:p w14:paraId="2AFE21CC" w14:textId="77777777" w:rsidR="003B6CF9" w:rsidRDefault="003B6CF9" w:rsidP="003B6CF9">
      <w:pPr>
        <w:jc w:val="both"/>
        <w:rPr>
          <w:rFonts w:ascii="Calibri" w:hAnsi="Calibri"/>
          <w:color w:val="000000"/>
          <w:lang w:val="en-US"/>
        </w:rPr>
      </w:pPr>
    </w:p>
    <w:p w14:paraId="72636A12" w14:textId="77777777" w:rsidR="003B6CF9" w:rsidRPr="00C21D50" w:rsidRDefault="003B6CF9" w:rsidP="003B6CF9">
      <w:pPr>
        <w:jc w:val="center"/>
        <w:rPr>
          <w:rFonts w:ascii="Calibri" w:hAnsi="Calibri"/>
          <w:b/>
          <w:i/>
          <w:color w:val="000000"/>
          <w:sz w:val="24"/>
          <w:szCs w:val="24"/>
          <w:lang w:val="en-US"/>
        </w:rPr>
      </w:pPr>
      <w:r w:rsidRPr="00C21D50">
        <w:rPr>
          <w:rFonts w:ascii="Calibri" w:hAnsi="Calibri"/>
          <w:b/>
          <w:i/>
          <w:color w:val="000000"/>
          <w:sz w:val="24"/>
          <w:szCs w:val="24"/>
          <w:lang w:val="en-US"/>
        </w:rPr>
        <w:t xml:space="preserve">Article 14 Implementation </w:t>
      </w:r>
    </w:p>
    <w:p w14:paraId="6AE92202" w14:textId="77777777" w:rsidR="003B6CF9" w:rsidRDefault="003B6CF9" w:rsidP="003B6CF9">
      <w:pPr>
        <w:spacing w:before="120" w:after="120"/>
        <w:jc w:val="both"/>
        <w:rPr>
          <w:rFonts w:ascii="Calibri" w:eastAsia="Calibri" w:hAnsi="Calibri" w:cs="Calibri"/>
          <w:b/>
          <w:sz w:val="24"/>
          <w:szCs w:val="24"/>
        </w:rPr>
      </w:pPr>
    </w:p>
    <w:p w14:paraId="674C4058" w14:textId="7006511F" w:rsidR="00DD275D" w:rsidRDefault="00C21D50" w:rsidP="003A2B63">
      <w:pPr>
        <w:jc w:val="both"/>
        <w:rPr>
          <w:rFonts w:ascii="Calibri" w:eastAsia="Calibri" w:hAnsi="Calibri" w:cs="Calibri"/>
          <w:sz w:val="24"/>
          <w:szCs w:val="24"/>
        </w:rPr>
      </w:pPr>
      <w:r w:rsidRPr="00C21D50">
        <w:rPr>
          <w:rFonts w:ascii="Calibri" w:eastAsia="Calibri" w:hAnsi="Calibri" w:cs="Calibri"/>
          <w:sz w:val="24"/>
          <w:szCs w:val="24"/>
          <w:lang w:val="en-US"/>
        </w:rPr>
        <w:t>This statement is made on behalf of WILPF and members</w:t>
      </w:r>
      <w:r w:rsidRPr="00C21D50">
        <w:rPr>
          <w:rFonts w:ascii="Calibri" w:eastAsia="Calibri" w:hAnsi="Calibri" w:cs="Calibri"/>
          <w:sz w:val="24"/>
          <w:szCs w:val="24"/>
          <w:vertAlign w:val="superscript"/>
          <w:lang w:val="fr-CH"/>
        </w:rPr>
        <w:footnoteReference w:id="1"/>
      </w:r>
      <w:r w:rsidRPr="00C21D50">
        <w:rPr>
          <w:rFonts w:ascii="Calibri" w:eastAsia="Calibri" w:hAnsi="Calibri" w:cs="Calibri"/>
          <w:sz w:val="24"/>
          <w:szCs w:val="24"/>
          <w:lang w:val="en-US"/>
        </w:rPr>
        <w:t xml:space="preserve"> of the #Feminists4BindingTreaty.</w:t>
      </w:r>
      <w:r>
        <w:rPr>
          <w:rFonts w:ascii="Calibri" w:eastAsia="Calibri" w:hAnsi="Calibri" w:cs="Calibri"/>
          <w:sz w:val="24"/>
          <w:szCs w:val="24"/>
          <w:lang w:val="en-US"/>
        </w:rPr>
        <w:t xml:space="preserve"> </w:t>
      </w:r>
      <w:r w:rsidR="00DD275D">
        <w:rPr>
          <w:rFonts w:ascii="Calibri" w:eastAsia="Calibri" w:hAnsi="Calibri" w:cs="Calibri"/>
          <w:sz w:val="24"/>
          <w:szCs w:val="24"/>
        </w:rPr>
        <w:t>We welcome</w:t>
      </w:r>
      <w:r w:rsidR="007F5354" w:rsidRPr="00FF2C52">
        <w:rPr>
          <w:rFonts w:ascii="Calibri" w:eastAsia="Calibri" w:hAnsi="Calibri" w:cs="Calibri"/>
          <w:sz w:val="24"/>
          <w:szCs w:val="24"/>
        </w:rPr>
        <w:t xml:space="preserve"> article 14 paragraph 3</w:t>
      </w:r>
      <w:r w:rsidR="00DD275D">
        <w:rPr>
          <w:rFonts w:ascii="Calibri" w:eastAsia="Calibri" w:hAnsi="Calibri" w:cs="Calibri"/>
          <w:sz w:val="24"/>
          <w:szCs w:val="24"/>
        </w:rPr>
        <w:t xml:space="preserve">, which </w:t>
      </w:r>
      <w:r w:rsidR="007F5354" w:rsidRPr="00FF2C52">
        <w:rPr>
          <w:rFonts w:ascii="Calibri" w:eastAsia="Calibri" w:hAnsi="Calibri" w:cs="Calibri"/>
          <w:sz w:val="24"/>
          <w:szCs w:val="24"/>
        </w:rPr>
        <w:t>i</w:t>
      </w:r>
      <w:r w:rsidR="00DF66BD">
        <w:rPr>
          <w:rFonts w:ascii="Calibri" w:eastAsia="Calibri" w:hAnsi="Calibri" w:cs="Calibri"/>
          <w:sz w:val="24"/>
          <w:szCs w:val="24"/>
        </w:rPr>
        <w:t>s connected to article 5 paragraph 3 e)</w:t>
      </w:r>
      <w:r w:rsidR="00406BE2">
        <w:rPr>
          <w:rFonts w:ascii="Calibri" w:eastAsia="Calibri" w:hAnsi="Calibri" w:cs="Calibri"/>
          <w:sz w:val="24"/>
          <w:szCs w:val="24"/>
        </w:rPr>
        <w:t xml:space="preserve"> that</w:t>
      </w:r>
      <w:r w:rsidR="00DF66BD">
        <w:rPr>
          <w:rFonts w:ascii="Calibri" w:eastAsia="Calibri" w:hAnsi="Calibri" w:cs="Calibri"/>
          <w:sz w:val="24"/>
          <w:szCs w:val="24"/>
        </w:rPr>
        <w:t xml:space="preserve"> </w:t>
      </w:r>
      <w:r w:rsidR="00FF2C52" w:rsidRPr="00FF2C52">
        <w:rPr>
          <w:rFonts w:ascii="Calibri" w:eastAsia="Calibri" w:hAnsi="Calibri" w:cs="Calibri"/>
          <w:sz w:val="24"/>
          <w:szCs w:val="24"/>
        </w:rPr>
        <w:t>imposes enhanced human rights due diligence</w:t>
      </w:r>
      <w:r w:rsidR="009205BC">
        <w:rPr>
          <w:rFonts w:ascii="Calibri" w:eastAsia="Calibri" w:hAnsi="Calibri" w:cs="Calibri"/>
          <w:sz w:val="24"/>
          <w:szCs w:val="24"/>
        </w:rPr>
        <w:t xml:space="preserve"> obligations</w:t>
      </w:r>
      <w:r w:rsidR="00FF2C52" w:rsidRPr="00FF2C52">
        <w:rPr>
          <w:rFonts w:ascii="Calibri" w:eastAsia="Calibri" w:hAnsi="Calibri" w:cs="Calibri"/>
          <w:sz w:val="24"/>
          <w:szCs w:val="24"/>
        </w:rPr>
        <w:t xml:space="preserve"> </w:t>
      </w:r>
      <w:r w:rsidR="00DF66BD">
        <w:rPr>
          <w:rFonts w:ascii="Calibri" w:eastAsia="Calibri" w:hAnsi="Calibri" w:cs="Calibri"/>
          <w:sz w:val="24"/>
          <w:szCs w:val="24"/>
        </w:rPr>
        <w:t>in</w:t>
      </w:r>
      <w:r w:rsidR="00FF2C52">
        <w:rPr>
          <w:rFonts w:ascii="Calibri" w:eastAsia="Calibri" w:hAnsi="Calibri" w:cs="Calibri"/>
          <w:sz w:val="24"/>
          <w:szCs w:val="24"/>
        </w:rPr>
        <w:t xml:space="preserve"> </w:t>
      </w:r>
      <w:r w:rsidR="00DF66BD">
        <w:rPr>
          <w:rFonts w:ascii="Calibri" w:eastAsia="Calibri" w:hAnsi="Calibri" w:cs="Calibri"/>
          <w:sz w:val="24"/>
          <w:szCs w:val="24"/>
        </w:rPr>
        <w:t>“</w:t>
      </w:r>
      <w:r w:rsidR="00FF2C52">
        <w:rPr>
          <w:rFonts w:ascii="Calibri" w:eastAsia="Calibri" w:hAnsi="Calibri" w:cs="Calibri"/>
          <w:sz w:val="24"/>
          <w:szCs w:val="24"/>
        </w:rPr>
        <w:t>conflict-affected areas</w:t>
      </w:r>
      <w:r w:rsidR="00DF66BD">
        <w:rPr>
          <w:rFonts w:ascii="Calibri" w:eastAsia="Calibri" w:hAnsi="Calibri" w:cs="Calibri"/>
          <w:sz w:val="24"/>
          <w:szCs w:val="24"/>
        </w:rPr>
        <w:t>”</w:t>
      </w:r>
      <w:r w:rsidR="00FF2C52">
        <w:rPr>
          <w:rFonts w:ascii="Calibri" w:eastAsia="Calibri" w:hAnsi="Calibri" w:cs="Calibri"/>
          <w:sz w:val="24"/>
          <w:szCs w:val="24"/>
        </w:rPr>
        <w:t xml:space="preserve">. </w:t>
      </w:r>
    </w:p>
    <w:p w14:paraId="7CB85AF2" w14:textId="77777777" w:rsidR="00DD275D" w:rsidRDefault="00DD275D" w:rsidP="003A2B63">
      <w:pPr>
        <w:jc w:val="both"/>
        <w:rPr>
          <w:rFonts w:ascii="Calibri" w:eastAsia="Calibri" w:hAnsi="Calibri" w:cs="Calibri"/>
          <w:sz w:val="24"/>
          <w:szCs w:val="24"/>
        </w:rPr>
      </w:pPr>
    </w:p>
    <w:p w14:paraId="0CCA8F1B" w14:textId="605FE790" w:rsidR="007F5354" w:rsidRDefault="00B74CE9" w:rsidP="003A2B63">
      <w:pPr>
        <w:jc w:val="both"/>
        <w:rPr>
          <w:rFonts w:ascii="Calibri" w:eastAsia="Calibri" w:hAnsi="Calibri" w:cs="Calibri"/>
          <w:sz w:val="24"/>
          <w:szCs w:val="24"/>
        </w:rPr>
      </w:pPr>
      <w:r>
        <w:rPr>
          <w:rFonts w:ascii="Calibri" w:eastAsia="Calibri" w:hAnsi="Calibri" w:cs="Calibri"/>
          <w:sz w:val="24"/>
          <w:szCs w:val="24"/>
        </w:rPr>
        <w:t>First</w:t>
      </w:r>
      <w:r w:rsidR="00406BE2">
        <w:rPr>
          <w:rFonts w:ascii="Calibri" w:eastAsia="Calibri" w:hAnsi="Calibri" w:cs="Calibri"/>
          <w:sz w:val="24"/>
          <w:szCs w:val="24"/>
        </w:rPr>
        <w:t>ly</w:t>
      </w:r>
      <w:r w:rsidR="00FF2C52">
        <w:rPr>
          <w:rFonts w:ascii="Calibri" w:eastAsia="Calibri" w:hAnsi="Calibri" w:cs="Calibri"/>
          <w:sz w:val="24"/>
          <w:szCs w:val="24"/>
        </w:rPr>
        <w:t xml:space="preserve">, </w:t>
      </w:r>
      <w:r w:rsidR="00991C1D">
        <w:rPr>
          <w:rFonts w:ascii="Calibri" w:eastAsia="Calibri" w:hAnsi="Calibri" w:cs="Calibri"/>
          <w:sz w:val="24"/>
          <w:szCs w:val="24"/>
        </w:rPr>
        <w:t xml:space="preserve">we </w:t>
      </w:r>
      <w:r w:rsidR="00406BE2">
        <w:rPr>
          <w:rFonts w:ascii="Calibri" w:eastAsia="Calibri" w:hAnsi="Calibri" w:cs="Calibri"/>
          <w:sz w:val="24"/>
          <w:szCs w:val="24"/>
        </w:rPr>
        <w:t xml:space="preserve">recall </w:t>
      </w:r>
      <w:r w:rsidR="00991C1D">
        <w:rPr>
          <w:rFonts w:ascii="Calibri" w:eastAsia="Calibri" w:hAnsi="Calibri" w:cs="Calibri"/>
          <w:sz w:val="24"/>
          <w:szCs w:val="24"/>
        </w:rPr>
        <w:t xml:space="preserve">the statement made by Franciscans International </w:t>
      </w:r>
      <w:r w:rsidR="00406BE2">
        <w:rPr>
          <w:rFonts w:ascii="Calibri" w:eastAsia="Calibri" w:hAnsi="Calibri" w:cs="Calibri"/>
          <w:sz w:val="24"/>
          <w:szCs w:val="24"/>
        </w:rPr>
        <w:t xml:space="preserve">on art. </w:t>
      </w:r>
      <w:r w:rsidR="00DA2B0C">
        <w:rPr>
          <w:rFonts w:ascii="Calibri" w:eastAsia="Calibri" w:hAnsi="Calibri" w:cs="Calibri"/>
          <w:sz w:val="24"/>
          <w:szCs w:val="24"/>
        </w:rPr>
        <w:t>5</w:t>
      </w:r>
      <w:r w:rsidR="00406BE2">
        <w:rPr>
          <w:rFonts w:ascii="Calibri" w:eastAsia="Calibri" w:hAnsi="Calibri" w:cs="Calibri"/>
          <w:sz w:val="24"/>
          <w:szCs w:val="24"/>
        </w:rPr>
        <w:t xml:space="preserve"> </w:t>
      </w:r>
      <w:r w:rsidR="00991C1D">
        <w:rPr>
          <w:rFonts w:ascii="Calibri" w:eastAsia="Calibri" w:hAnsi="Calibri" w:cs="Calibri"/>
          <w:sz w:val="24"/>
          <w:szCs w:val="24"/>
        </w:rPr>
        <w:t xml:space="preserve">that </w:t>
      </w:r>
      <w:r w:rsidR="00FF2C52">
        <w:rPr>
          <w:rFonts w:ascii="Calibri" w:eastAsia="Calibri" w:hAnsi="Calibri" w:cs="Calibri"/>
          <w:sz w:val="24"/>
          <w:szCs w:val="24"/>
        </w:rPr>
        <w:t>the Instrument should use terminology that takes into consideration existing analysis by</w:t>
      </w:r>
      <w:r w:rsidR="0095231C">
        <w:rPr>
          <w:rFonts w:ascii="Calibri" w:eastAsia="Calibri" w:hAnsi="Calibri" w:cs="Calibri"/>
          <w:sz w:val="24"/>
          <w:szCs w:val="24"/>
        </w:rPr>
        <w:t xml:space="preserve">, </w:t>
      </w:r>
      <w:r w:rsidR="0095231C">
        <w:rPr>
          <w:rFonts w:ascii="Calibri" w:eastAsia="Calibri" w:hAnsi="Calibri" w:cs="Calibri"/>
          <w:i/>
          <w:iCs/>
          <w:sz w:val="24"/>
          <w:szCs w:val="24"/>
        </w:rPr>
        <w:t xml:space="preserve">inter alia, </w:t>
      </w:r>
      <w:r w:rsidR="00FF2C52">
        <w:rPr>
          <w:rFonts w:ascii="Calibri" w:eastAsia="Calibri" w:hAnsi="Calibri" w:cs="Calibri"/>
          <w:sz w:val="24"/>
          <w:szCs w:val="24"/>
        </w:rPr>
        <w:t xml:space="preserve">UN mechanisms. In particular, the Instrument should use “armed </w:t>
      </w:r>
      <w:r w:rsidR="00FF2C52" w:rsidRPr="00111482">
        <w:rPr>
          <w:rFonts w:ascii="Calibri" w:eastAsia="Calibri" w:hAnsi="Calibri" w:cs="Calibri"/>
          <w:sz w:val="24"/>
          <w:szCs w:val="24"/>
        </w:rPr>
        <w:t>conflict-affected areas, including situations of occupation</w:t>
      </w:r>
      <w:r w:rsidR="00FF2C52">
        <w:rPr>
          <w:rFonts w:ascii="Calibri" w:eastAsia="Calibri" w:hAnsi="Calibri" w:cs="Calibri"/>
          <w:sz w:val="24"/>
          <w:szCs w:val="24"/>
        </w:rPr>
        <w:t>”, instead of “occupied or conflict-affected areas”</w:t>
      </w:r>
      <w:r w:rsidR="00AB19E0">
        <w:rPr>
          <w:rFonts w:ascii="Calibri" w:eastAsia="Calibri" w:hAnsi="Calibri" w:cs="Calibri"/>
          <w:sz w:val="24"/>
          <w:szCs w:val="24"/>
        </w:rPr>
        <w:t>, which would also be more in line with international humanitarian law terminology.</w:t>
      </w:r>
      <w:r w:rsidR="00FF2C52">
        <w:rPr>
          <w:rStyle w:val="FootnoteReference"/>
          <w:rFonts w:ascii="Calibri" w:eastAsia="Calibri" w:hAnsi="Calibri" w:cs="Calibri"/>
          <w:sz w:val="24"/>
          <w:szCs w:val="24"/>
        </w:rPr>
        <w:footnoteReference w:id="2"/>
      </w:r>
      <w:r w:rsidR="00FF2C52">
        <w:rPr>
          <w:rFonts w:ascii="Calibri" w:eastAsia="Calibri" w:hAnsi="Calibri" w:cs="Calibri"/>
          <w:sz w:val="24"/>
          <w:szCs w:val="24"/>
        </w:rPr>
        <w:t xml:space="preserve"> </w:t>
      </w:r>
      <w:r w:rsidR="00E87E9B">
        <w:rPr>
          <w:rFonts w:ascii="Calibri" w:eastAsia="Calibri" w:hAnsi="Calibri" w:cs="Calibri"/>
          <w:sz w:val="24"/>
          <w:szCs w:val="24"/>
        </w:rPr>
        <w:t>Th</w:t>
      </w:r>
      <w:r w:rsidR="00DA2B0C">
        <w:rPr>
          <w:rFonts w:ascii="Calibri" w:eastAsia="Calibri" w:hAnsi="Calibri" w:cs="Calibri"/>
          <w:sz w:val="24"/>
          <w:szCs w:val="24"/>
        </w:rPr>
        <w:t xml:space="preserve">is recommended terminology </w:t>
      </w:r>
      <w:r w:rsidR="00E87E9B">
        <w:rPr>
          <w:rFonts w:ascii="Calibri" w:eastAsia="Calibri" w:hAnsi="Calibri" w:cs="Calibri"/>
          <w:sz w:val="24"/>
          <w:szCs w:val="24"/>
        </w:rPr>
        <w:t>should</w:t>
      </w:r>
      <w:r w:rsidR="00AB19E0">
        <w:rPr>
          <w:rFonts w:ascii="Calibri" w:eastAsia="Calibri" w:hAnsi="Calibri" w:cs="Calibri"/>
          <w:sz w:val="24"/>
          <w:szCs w:val="24"/>
        </w:rPr>
        <w:t xml:space="preserve"> thus</w:t>
      </w:r>
      <w:r w:rsidR="00E87E9B">
        <w:rPr>
          <w:rFonts w:ascii="Calibri" w:eastAsia="Calibri" w:hAnsi="Calibri" w:cs="Calibri"/>
          <w:sz w:val="24"/>
          <w:szCs w:val="24"/>
        </w:rPr>
        <w:t xml:space="preserve"> be </w:t>
      </w:r>
      <w:r w:rsidR="00DA2B0C">
        <w:rPr>
          <w:rFonts w:ascii="Calibri" w:eastAsia="Calibri" w:hAnsi="Calibri" w:cs="Calibri"/>
          <w:sz w:val="24"/>
          <w:szCs w:val="24"/>
        </w:rPr>
        <w:t xml:space="preserve">reflected </w:t>
      </w:r>
      <w:r w:rsidR="00E87E9B">
        <w:rPr>
          <w:rFonts w:ascii="Calibri" w:eastAsia="Calibri" w:hAnsi="Calibri" w:cs="Calibri"/>
          <w:sz w:val="24"/>
          <w:szCs w:val="24"/>
        </w:rPr>
        <w:t xml:space="preserve">in </w:t>
      </w:r>
      <w:r w:rsidR="00E87E9B" w:rsidRPr="00FF2C52">
        <w:rPr>
          <w:rFonts w:ascii="Calibri" w:eastAsia="Calibri" w:hAnsi="Calibri" w:cs="Calibri"/>
          <w:sz w:val="24"/>
          <w:szCs w:val="24"/>
        </w:rPr>
        <w:t>article 14 paragraph 3</w:t>
      </w:r>
      <w:r w:rsidR="00E87E9B">
        <w:rPr>
          <w:rFonts w:ascii="Calibri" w:eastAsia="Calibri" w:hAnsi="Calibri" w:cs="Calibri"/>
          <w:sz w:val="24"/>
          <w:szCs w:val="24"/>
        </w:rPr>
        <w:t>, and article 5 paragraph 3 e).</w:t>
      </w:r>
    </w:p>
    <w:p w14:paraId="6B769400" w14:textId="77777777" w:rsidR="00AB19E0" w:rsidRPr="00FF2C52" w:rsidRDefault="00AB19E0" w:rsidP="003A2B63">
      <w:pPr>
        <w:jc w:val="both"/>
        <w:rPr>
          <w:rFonts w:ascii="Calibri" w:eastAsia="Calibri" w:hAnsi="Calibri" w:cs="Calibri"/>
          <w:sz w:val="24"/>
          <w:szCs w:val="24"/>
        </w:rPr>
      </w:pPr>
    </w:p>
    <w:p w14:paraId="5F5780B9" w14:textId="05092441" w:rsidR="003B6CF9" w:rsidRDefault="00991C1D" w:rsidP="006B6550">
      <w:pPr>
        <w:spacing w:before="120" w:after="120"/>
        <w:jc w:val="both"/>
        <w:rPr>
          <w:rFonts w:ascii="Calibri" w:eastAsia="Calibri" w:hAnsi="Calibri" w:cs="Calibri"/>
          <w:sz w:val="24"/>
          <w:szCs w:val="24"/>
        </w:rPr>
      </w:pPr>
      <w:r>
        <w:rPr>
          <w:rFonts w:ascii="Calibri" w:eastAsia="Calibri" w:hAnsi="Calibri" w:cs="Calibri"/>
          <w:sz w:val="24"/>
          <w:szCs w:val="24"/>
        </w:rPr>
        <w:t>Secondly,</w:t>
      </w:r>
      <w:r w:rsidR="003B6CF9" w:rsidRPr="00FF2C52">
        <w:rPr>
          <w:rFonts w:ascii="Calibri" w:eastAsia="Calibri" w:hAnsi="Calibri" w:cs="Calibri"/>
          <w:sz w:val="24"/>
          <w:szCs w:val="24"/>
        </w:rPr>
        <w:t xml:space="preserve"> </w:t>
      </w:r>
      <w:r w:rsidR="002903CC">
        <w:rPr>
          <w:rFonts w:ascii="Calibri" w:eastAsia="Calibri" w:hAnsi="Calibri" w:cs="Calibri"/>
          <w:sz w:val="24"/>
          <w:szCs w:val="24"/>
        </w:rPr>
        <w:t xml:space="preserve">article 5 paragraph 3 e) </w:t>
      </w:r>
      <w:r>
        <w:rPr>
          <w:rFonts w:ascii="Calibri" w:eastAsia="Calibri" w:hAnsi="Calibri" w:cs="Calibri"/>
          <w:sz w:val="24"/>
          <w:szCs w:val="24"/>
        </w:rPr>
        <w:t xml:space="preserve">should </w:t>
      </w:r>
      <w:r w:rsidR="00AB19E0">
        <w:rPr>
          <w:rFonts w:ascii="Calibri" w:eastAsia="Calibri" w:hAnsi="Calibri" w:cs="Calibri"/>
          <w:sz w:val="24"/>
          <w:szCs w:val="24"/>
        </w:rPr>
        <w:t xml:space="preserve">be strengthened </w:t>
      </w:r>
      <w:r w:rsidR="002903CC">
        <w:rPr>
          <w:rFonts w:ascii="Calibri" w:eastAsia="Calibri" w:hAnsi="Calibri" w:cs="Calibri"/>
          <w:sz w:val="24"/>
          <w:szCs w:val="24"/>
        </w:rPr>
        <w:t>to clarify</w:t>
      </w:r>
      <w:r w:rsidR="003B6CF9" w:rsidRPr="00FF2C52">
        <w:rPr>
          <w:rFonts w:ascii="Calibri" w:eastAsia="Calibri" w:hAnsi="Calibri" w:cs="Calibri"/>
          <w:sz w:val="24"/>
          <w:szCs w:val="24"/>
        </w:rPr>
        <w:t xml:space="preserve"> that business activities must either not be undertaken, </w:t>
      </w:r>
      <w:r w:rsidR="00DA2B0C">
        <w:rPr>
          <w:rFonts w:ascii="Calibri" w:eastAsia="Calibri" w:hAnsi="Calibri" w:cs="Calibri"/>
          <w:sz w:val="24"/>
          <w:szCs w:val="24"/>
        </w:rPr>
        <w:t xml:space="preserve">or </w:t>
      </w:r>
      <w:r w:rsidR="003B6CF9" w:rsidRPr="00FF2C52">
        <w:rPr>
          <w:rFonts w:ascii="Calibri" w:eastAsia="Calibri" w:hAnsi="Calibri" w:cs="Calibri"/>
          <w:sz w:val="24"/>
          <w:szCs w:val="24"/>
        </w:rPr>
        <w:t>be suspended or terminated in circumstances where it might not be possible to prevent or mitigate risks of violations or abuses of human rights and/or of violations of international humanitarian law. Indeed, in certain situations, the immitigability of adverse human rights impacts is such</w:t>
      </w:r>
      <w:r w:rsidR="0095231C">
        <w:rPr>
          <w:rFonts w:ascii="Calibri" w:eastAsia="Calibri" w:hAnsi="Calibri" w:cs="Calibri"/>
          <w:sz w:val="24"/>
          <w:szCs w:val="24"/>
        </w:rPr>
        <w:t xml:space="preserve"> </w:t>
      </w:r>
      <w:r w:rsidR="00AB19E0">
        <w:rPr>
          <w:rFonts w:ascii="Calibri" w:eastAsia="Calibri" w:hAnsi="Calibri" w:cs="Calibri"/>
          <w:sz w:val="24"/>
          <w:szCs w:val="24"/>
        </w:rPr>
        <w:t xml:space="preserve">that no due diligence exercise, even enhanced, </w:t>
      </w:r>
      <w:r w:rsidR="003B6CF9" w:rsidRPr="00FF2C52">
        <w:rPr>
          <w:rFonts w:ascii="Calibri" w:eastAsia="Calibri" w:hAnsi="Calibri" w:cs="Calibri"/>
          <w:sz w:val="24"/>
          <w:szCs w:val="24"/>
        </w:rPr>
        <w:t>can ensure the effective respect of international human rights law and of international humanitarian law.</w:t>
      </w:r>
      <w:r w:rsidR="003B6CF9" w:rsidRPr="00FF2C52">
        <w:rPr>
          <w:rStyle w:val="FootnoteReference"/>
          <w:rFonts w:ascii="Calibri" w:eastAsia="Calibri" w:hAnsi="Calibri" w:cs="Calibri"/>
          <w:sz w:val="24"/>
          <w:szCs w:val="24"/>
        </w:rPr>
        <w:footnoteReference w:id="3"/>
      </w:r>
      <w:r w:rsidR="003B6CF9" w:rsidRPr="00FF2C52">
        <w:rPr>
          <w:rFonts w:ascii="Calibri" w:eastAsia="Calibri" w:hAnsi="Calibri" w:cs="Calibri"/>
          <w:sz w:val="24"/>
          <w:szCs w:val="24"/>
        </w:rPr>
        <w:t xml:space="preserve"> </w:t>
      </w:r>
    </w:p>
    <w:p w14:paraId="5DBC1EAD" w14:textId="45F99877" w:rsidR="003B6CF9" w:rsidRDefault="003B6CF9" w:rsidP="00B1210F">
      <w:pPr>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The draft </w:t>
      </w:r>
      <w:r w:rsidR="00C96D8B">
        <w:rPr>
          <w:rFonts w:ascii="Calibri" w:eastAsia="Calibri" w:hAnsi="Calibri" w:cs="Calibri"/>
          <w:sz w:val="24"/>
          <w:szCs w:val="24"/>
        </w:rPr>
        <w:t>text</w:t>
      </w:r>
      <w:r w:rsidR="0095231C">
        <w:rPr>
          <w:rFonts w:ascii="Calibri" w:eastAsia="Calibri" w:hAnsi="Calibri" w:cs="Calibri"/>
          <w:sz w:val="24"/>
          <w:szCs w:val="24"/>
        </w:rPr>
        <w:t xml:space="preserve"> </w:t>
      </w:r>
      <w:r>
        <w:rPr>
          <w:rFonts w:ascii="Calibri" w:eastAsia="Calibri" w:hAnsi="Calibri" w:cs="Calibri"/>
          <w:sz w:val="24"/>
          <w:szCs w:val="24"/>
        </w:rPr>
        <w:t>currently only mentions</w:t>
      </w:r>
      <w:r>
        <w:rPr>
          <w:rFonts w:ascii="Calibri" w:eastAsia="Calibri" w:hAnsi="Calibri" w:cs="Calibri"/>
          <w:i/>
          <w:sz w:val="24"/>
          <w:szCs w:val="24"/>
        </w:rPr>
        <w:t xml:space="preserve"> “</w:t>
      </w:r>
      <w:r>
        <w:rPr>
          <w:rFonts w:ascii="Calibri" w:eastAsia="Calibri" w:hAnsi="Calibri" w:cs="Calibri"/>
          <w:sz w:val="24"/>
          <w:szCs w:val="24"/>
        </w:rPr>
        <w:t>conflict-affected and areas of occupation”. Several soft law and legally-binding instruments also refer to “high-risk areas” in relation to enhanced human rights due diligence by businesses, including OECD and UN Global Compact guidelines, as well as the EU conflict-minerals regulation.</w:t>
      </w:r>
      <w:r w:rsidR="00462968">
        <w:rPr>
          <w:rStyle w:val="FootnoteReference"/>
          <w:rFonts w:ascii="Calibri" w:eastAsia="Calibri" w:hAnsi="Calibri" w:cs="Calibri"/>
          <w:szCs w:val="24"/>
        </w:rPr>
        <w:footnoteReference w:id="4"/>
      </w:r>
      <w:r>
        <w:rPr>
          <w:rFonts w:ascii="Calibri" w:eastAsia="Calibri" w:hAnsi="Calibri" w:cs="Calibri"/>
          <w:sz w:val="24"/>
          <w:szCs w:val="24"/>
        </w:rPr>
        <w:t xml:space="preserve">  While there is no unified legal definition of “high-risk areas”, </w:t>
      </w:r>
      <w:r w:rsidR="00B1210F" w:rsidRPr="00C96D8B">
        <w:rPr>
          <w:rFonts w:ascii="Calibri" w:hAnsi="Calibri"/>
          <w:color w:val="000000"/>
          <w:sz w:val="24"/>
          <w:szCs w:val="24"/>
          <w:lang w:val="en-US"/>
        </w:rPr>
        <w:t xml:space="preserve">they are often understood as </w:t>
      </w:r>
      <w:r w:rsidRPr="00C96D8B">
        <w:rPr>
          <w:rFonts w:ascii="Calibri" w:eastAsia="Calibri" w:hAnsi="Calibri" w:cs="Calibri"/>
          <w:sz w:val="24"/>
          <w:szCs w:val="24"/>
        </w:rPr>
        <w:t>situations of political instability and repression that may lead to violent co</w:t>
      </w:r>
      <w:r>
        <w:rPr>
          <w:rFonts w:ascii="Calibri" w:eastAsia="Calibri" w:hAnsi="Calibri" w:cs="Calibri"/>
          <w:sz w:val="24"/>
          <w:szCs w:val="24"/>
        </w:rPr>
        <w:t>nflict.</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High-risk areas could also</w:t>
      </w:r>
      <w:r w:rsidRPr="00571D35">
        <w:rPr>
          <w:rFonts w:ascii="Calibri" w:eastAsia="Calibri" w:hAnsi="Calibri" w:cs="Calibri"/>
          <w:sz w:val="24"/>
          <w:szCs w:val="24"/>
        </w:rPr>
        <w:t xml:space="preserve"> </w:t>
      </w:r>
      <w:r>
        <w:rPr>
          <w:rFonts w:ascii="Calibri" w:eastAsia="Calibri" w:hAnsi="Calibri" w:cs="Calibri"/>
          <w:sz w:val="24"/>
          <w:szCs w:val="24"/>
        </w:rPr>
        <w:t>cover</w:t>
      </w:r>
      <w:r w:rsidRPr="00571D35">
        <w:rPr>
          <w:rFonts w:ascii="Calibri" w:eastAsia="Calibri" w:hAnsi="Calibri" w:cs="Calibri"/>
          <w:sz w:val="24"/>
          <w:szCs w:val="24"/>
        </w:rPr>
        <w:t xml:space="preserve"> internal disturbances and tensions (which would include riots, isolated and sporadic acts of violence), no</w:t>
      </w:r>
      <w:r w:rsidR="00991C1D">
        <w:rPr>
          <w:rFonts w:ascii="Calibri" w:eastAsia="Calibri" w:hAnsi="Calibri" w:cs="Calibri"/>
          <w:sz w:val="24"/>
          <w:szCs w:val="24"/>
        </w:rPr>
        <w:t xml:space="preserve">t reaching the threshold of an non-international </w:t>
      </w:r>
      <w:r w:rsidRPr="00571D35">
        <w:rPr>
          <w:rFonts w:ascii="Calibri" w:eastAsia="Calibri" w:hAnsi="Calibri" w:cs="Calibri"/>
          <w:sz w:val="24"/>
          <w:szCs w:val="24"/>
        </w:rPr>
        <w:t>armed conflict</w:t>
      </w:r>
      <w:r>
        <w:rPr>
          <w:rFonts w:ascii="Calibri" w:eastAsia="Calibri" w:hAnsi="Calibri" w:cs="Calibri"/>
          <w:sz w:val="24"/>
          <w:szCs w:val="24"/>
        </w:rPr>
        <w:t xml:space="preserve"> under international humanitarian law,</w:t>
      </w:r>
      <w:r w:rsidRPr="00571D35">
        <w:rPr>
          <w:rFonts w:ascii="Calibri" w:eastAsia="Calibri" w:hAnsi="Calibri" w:cs="Calibri"/>
          <w:sz w:val="24"/>
          <w:szCs w:val="24"/>
        </w:rPr>
        <w:t xml:space="preserve"> as well as certain post-conflict situations where there has been a general close of military operations but there is still violence/ high risk of violence breaking out. </w:t>
      </w:r>
      <w:r w:rsidR="00956B34">
        <w:rPr>
          <w:rFonts w:ascii="Calibri" w:eastAsia="Calibri" w:hAnsi="Calibri" w:cs="Calibri"/>
          <w:sz w:val="24"/>
          <w:szCs w:val="24"/>
        </w:rPr>
        <w:t xml:space="preserve"> </w:t>
      </w:r>
    </w:p>
    <w:p w14:paraId="4620FD50" w14:textId="77777777" w:rsidR="0095231C" w:rsidRPr="001805AC" w:rsidRDefault="0095231C" w:rsidP="003B6CF9">
      <w:pPr>
        <w:spacing w:before="120" w:after="120"/>
        <w:jc w:val="both"/>
        <w:rPr>
          <w:rFonts w:ascii="Calibri" w:eastAsia="Calibri" w:hAnsi="Calibri" w:cs="Calibri"/>
          <w:sz w:val="24"/>
          <w:szCs w:val="24"/>
          <w:lang w:val="en-US"/>
        </w:rPr>
      </w:pPr>
    </w:p>
    <w:p w14:paraId="4F0126E2" w14:textId="0B686377" w:rsidR="006B6550" w:rsidRDefault="003B6CF9" w:rsidP="001805AC">
      <w:pPr>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It is important to make </w:t>
      </w:r>
      <w:r w:rsidRPr="00571D35">
        <w:rPr>
          <w:rFonts w:ascii="Calibri" w:eastAsia="Calibri" w:hAnsi="Calibri" w:cs="Calibri"/>
          <w:sz w:val="24"/>
          <w:szCs w:val="24"/>
        </w:rPr>
        <w:t>clear that the legal framework governing such high-risk situations is different from that governing armed conflicts (mainly in that international humanitarian law is not applicable).</w:t>
      </w:r>
      <w:r>
        <w:rPr>
          <w:rFonts w:ascii="Calibri" w:eastAsia="Calibri" w:hAnsi="Calibri" w:cs="Calibri"/>
          <w:sz w:val="24"/>
          <w:szCs w:val="24"/>
        </w:rPr>
        <w:t xml:space="preserve"> </w:t>
      </w:r>
      <w:r w:rsidR="001805AC">
        <w:rPr>
          <w:rFonts w:ascii="Calibri" w:eastAsia="Calibri" w:hAnsi="Calibri" w:cs="Calibri"/>
          <w:sz w:val="24"/>
          <w:szCs w:val="24"/>
        </w:rPr>
        <w:t xml:space="preserve">At the same time,  </w:t>
      </w:r>
      <w:r w:rsidR="00991C1D">
        <w:rPr>
          <w:rFonts w:ascii="Calibri" w:eastAsia="Calibri" w:hAnsi="Calibri" w:cs="Calibri"/>
          <w:sz w:val="24"/>
          <w:szCs w:val="24"/>
        </w:rPr>
        <w:t>in our view</w:t>
      </w:r>
      <w:r w:rsidR="001805AC">
        <w:rPr>
          <w:rFonts w:ascii="Calibri" w:eastAsia="Calibri" w:hAnsi="Calibri" w:cs="Calibri"/>
          <w:sz w:val="24"/>
          <w:szCs w:val="24"/>
        </w:rPr>
        <w:t xml:space="preserve">, </w:t>
      </w:r>
      <w:r>
        <w:rPr>
          <w:rFonts w:ascii="Calibri" w:eastAsia="Calibri" w:hAnsi="Calibri" w:cs="Calibri"/>
          <w:sz w:val="24"/>
          <w:szCs w:val="24"/>
        </w:rPr>
        <w:t xml:space="preserve"> </w:t>
      </w:r>
      <w:r w:rsidR="00C96D8B">
        <w:rPr>
          <w:rFonts w:ascii="Calibri" w:eastAsia="Calibri" w:hAnsi="Calibri" w:cs="Calibri"/>
          <w:sz w:val="24"/>
          <w:szCs w:val="24"/>
        </w:rPr>
        <w:t>the Instrument should</w:t>
      </w:r>
      <w:r>
        <w:rPr>
          <w:rFonts w:ascii="Calibri" w:eastAsia="Calibri" w:hAnsi="Calibri" w:cs="Calibri"/>
          <w:sz w:val="24"/>
          <w:szCs w:val="24"/>
        </w:rPr>
        <w:t xml:space="preserve"> </w:t>
      </w:r>
      <w:r w:rsidR="00402555">
        <w:rPr>
          <w:rFonts w:ascii="Calibri" w:eastAsia="Calibri" w:hAnsi="Calibri" w:cs="Calibri"/>
          <w:sz w:val="24"/>
          <w:szCs w:val="24"/>
        </w:rPr>
        <w:t>defin</w:t>
      </w:r>
      <w:r w:rsidR="00C96D8B">
        <w:rPr>
          <w:rFonts w:ascii="Calibri" w:eastAsia="Calibri" w:hAnsi="Calibri" w:cs="Calibri"/>
          <w:sz w:val="24"/>
          <w:szCs w:val="24"/>
        </w:rPr>
        <w:t>e</w:t>
      </w:r>
      <w:r>
        <w:rPr>
          <w:rFonts w:ascii="Calibri" w:eastAsia="Calibri" w:hAnsi="Calibri" w:cs="Calibri"/>
          <w:sz w:val="24"/>
          <w:szCs w:val="24"/>
        </w:rPr>
        <w:t xml:space="preserve"> “high-risk areas”</w:t>
      </w:r>
      <w:r w:rsidR="00402555">
        <w:rPr>
          <w:rFonts w:ascii="Calibri" w:eastAsia="Calibri" w:hAnsi="Calibri" w:cs="Calibri"/>
          <w:sz w:val="24"/>
          <w:szCs w:val="24"/>
        </w:rPr>
        <w:t xml:space="preserve"> in the Instrument</w:t>
      </w:r>
      <w:r>
        <w:rPr>
          <w:rFonts w:ascii="Calibri" w:eastAsia="Calibri" w:hAnsi="Calibri" w:cs="Calibri"/>
          <w:sz w:val="24"/>
          <w:szCs w:val="24"/>
        </w:rPr>
        <w:t xml:space="preserve"> and</w:t>
      </w:r>
      <w:r w:rsidR="00402555">
        <w:rPr>
          <w:rFonts w:ascii="Calibri" w:eastAsia="Calibri" w:hAnsi="Calibri" w:cs="Calibri"/>
          <w:sz w:val="24"/>
          <w:szCs w:val="24"/>
        </w:rPr>
        <w:t xml:space="preserve"> </w:t>
      </w:r>
      <w:r w:rsidR="00806A53">
        <w:rPr>
          <w:rFonts w:ascii="Calibri" w:eastAsia="Calibri" w:hAnsi="Calibri" w:cs="Calibri"/>
          <w:sz w:val="24"/>
          <w:szCs w:val="24"/>
        </w:rPr>
        <w:t>extend</w:t>
      </w:r>
      <w:r>
        <w:rPr>
          <w:rFonts w:ascii="Calibri" w:eastAsia="Calibri" w:hAnsi="Calibri" w:cs="Calibri"/>
          <w:sz w:val="24"/>
          <w:szCs w:val="24"/>
        </w:rPr>
        <w:t xml:space="preserve"> enhanced human rights due diligence to these situations in order to ensure more effective and comprehensive prevention of business-related human rights abuses. </w:t>
      </w:r>
    </w:p>
    <w:p w14:paraId="587E37F9" w14:textId="072A8065" w:rsidR="00801F76" w:rsidRDefault="0055231C" w:rsidP="0055231C">
      <w:pPr>
        <w:spacing w:before="120" w:after="120"/>
        <w:jc w:val="both"/>
        <w:rPr>
          <w:rFonts w:ascii="Calibri" w:eastAsia="Calibri" w:hAnsi="Calibri" w:cs="Calibri"/>
          <w:sz w:val="24"/>
          <w:szCs w:val="24"/>
        </w:rPr>
      </w:pPr>
      <w:r>
        <w:rPr>
          <w:rFonts w:ascii="Calibri" w:eastAsia="Calibri" w:hAnsi="Calibri" w:cs="Calibri"/>
          <w:sz w:val="24"/>
          <w:szCs w:val="24"/>
        </w:rPr>
        <w:t>W</w:t>
      </w:r>
      <w:r w:rsidR="00AB19E0">
        <w:rPr>
          <w:rFonts w:ascii="Calibri" w:eastAsia="Calibri" w:hAnsi="Calibri" w:cs="Calibri"/>
          <w:sz w:val="24"/>
          <w:szCs w:val="24"/>
        </w:rPr>
        <w:t>e welcome the recognition in</w:t>
      </w:r>
      <w:r w:rsidR="006B6550">
        <w:rPr>
          <w:rFonts w:ascii="Calibri" w:eastAsia="Calibri" w:hAnsi="Calibri" w:cs="Calibri"/>
          <w:sz w:val="24"/>
          <w:szCs w:val="24"/>
        </w:rPr>
        <w:t xml:space="preserve"> </w:t>
      </w:r>
      <w:r w:rsidR="006B6550" w:rsidRPr="00FF2C52">
        <w:rPr>
          <w:rFonts w:ascii="Calibri" w:eastAsia="Calibri" w:hAnsi="Calibri" w:cs="Calibri"/>
          <w:sz w:val="24"/>
          <w:szCs w:val="24"/>
        </w:rPr>
        <w:t>article 14 paragraph 3</w:t>
      </w:r>
      <w:r w:rsidR="006B6550">
        <w:rPr>
          <w:rFonts w:ascii="Calibri" w:eastAsia="Calibri" w:hAnsi="Calibri" w:cs="Calibri"/>
          <w:sz w:val="24"/>
          <w:szCs w:val="24"/>
        </w:rPr>
        <w:t xml:space="preserve"> of the need </w:t>
      </w:r>
      <w:r w:rsidR="006B6550" w:rsidRPr="006B6550">
        <w:rPr>
          <w:rFonts w:ascii="Calibri" w:eastAsia="Calibri" w:hAnsi="Calibri" w:cs="Calibri"/>
          <w:sz w:val="24"/>
          <w:szCs w:val="24"/>
        </w:rPr>
        <w:t>to assess and address the heightened risks of abuses</w:t>
      </w:r>
      <w:r w:rsidR="008405FF">
        <w:rPr>
          <w:rFonts w:ascii="Calibri" w:eastAsia="Calibri" w:hAnsi="Calibri" w:cs="Calibri"/>
          <w:sz w:val="24"/>
          <w:szCs w:val="24"/>
        </w:rPr>
        <w:t xml:space="preserve"> arising from business activities in conflict-affected areas</w:t>
      </w:r>
      <w:r w:rsidR="006B6550" w:rsidRPr="006B6550">
        <w:rPr>
          <w:rFonts w:ascii="Calibri" w:eastAsia="Calibri" w:hAnsi="Calibri" w:cs="Calibri"/>
          <w:sz w:val="24"/>
          <w:szCs w:val="24"/>
        </w:rPr>
        <w:t>, paying special attention to both gender-based and sexual violence</w:t>
      </w:r>
      <w:r w:rsidR="006B6550">
        <w:rPr>
          <w:rFonts w:ascii="Calibri" w:eastAsia="Calibri" w:hAnsi="Calibri" w:cs="Calibri"/>
          <w:sz w:val="24"/>
          <w:szCs w:val="24"/>
        </w:rPr>
        <w:t xml:space="preserve">. </w:t>
      </w:r>
      <w:r w:rsidR="008405FF">
        <w:rPr>
          <w:rFonts w:ascii="Calibri" w:eastAsia="Calibri" w:hAnsi="Calibri" w:cs="Calibri"/>
          <w:sz w:val="24"/>
          <w:szCs w:val="24"/>
        </w:rPr>
        <w:t xml:space="preserve">However, as </w:t>
      </w:r>
      <w:r w:rsidR="001805AC">
        <w:rPr>
          <w:rFonts w:ascii="Calibri" w:eastAsia="Calibri" w:hAnsi="Calibri" w:cs="Calibri"/>
          <w:sz w:val="24"/>
          <w:szCs w:val="24"/>
        </w:rPr>
        <w:t xml:space="preserve">we emphasised </w:t>
      </w:r>
      <w:r w:rsidR="00373471">
        <w:rPr>
          <w:rFonts w:ascii="Calibri" w:eastAsia="Calibri" w:hAnsi="Calibri" w:cs="Calibri"/>
          <w:sz w:val="24"/>
          <w:szCs w:val="24"/>
        </w:rPr>
        <w:t xml:space="preserve">in </w:t>
      </w:r>
      <w:r w:rsidR="001805AC">
        <w:rPr>
          <w:rFonts w:ascii="Calibri" w:eastAsia="Calibri" w:hAnsi="Calibri" w:cs="Calibri"/>
          <w:sz w:val="24"/>
          <w:szCs w:val="24"/>
        </w:rPr>
        <w:t xml:space="preserve">our </w:t>
      </w:r>
      <w:r w:rsidR="00AB19E0">
        <w:rPr>
          <w:rFonts w:ascii="Calibri" w:eastAsia="Calibri" w:hAnsi="Calibri" w:cs="Calibri"/>
          <w:sz w:val="24"/>
          <w:szCs w:val="24"/>
        </w:rPr>
        <w:t xml:space="preserve"> statement</w:t>
      </w:r>
      <w:r w:rsidR="001805AC">
        <w:rPr>
          <w:rFonts w:ascii="Calibri" w:eastAsia="Calibri" w:hAnsi="Calibri" w:cs="Calibri"/>
          <w:sz w:val="24"/>
          <w:szCs w:val="24"/>
        </w:rPr>
        <w:t xml:space="preserve"> on the article on Prevention</w:t>
      </w:r>
      <w:r w:rsidR="00373471">
        <w:rPr>
          <w:rFonts w:ascii="Calibri" w:eastAsia="Calibri" w:hAnsi="Calibri" w:cs="Calibri"/>
          <w:sz w:val="24"/>
          <w:szCs w:val="24"/>
        </w:rPr>
        <w:t>,</w:t>
      </w:r>
      <w:r w:rsidR="008405FF">
        <w:rPr>
          <w:rFonts w:ascii="Calibri" w:eastAsia="Calibri" w:hAnsi="Calibri" w:cs="Calibri"/>
          <w:sz w:val="24"/>
          <w:szCs w:val="24"/>
        </w:rPr>
        <w:t xml:space="preserve"> gender</w:t>
      </w:r>
      <w:r w:rsidR="001805AC">
        <w:rPr>
          <w:rFonts w:ascii="Calibri" w:eastAsia="Calibri" w:hAnsi="Calibri" w:cs="Calibri"/>
          <w:sz w:val="24"/>
          <w:szCs w:val="24"/>
        </w:rPr>
        <w:t>ed</w:t>
      </w:r>
      <w:r w:rsidR="008405FF">
        <w:rPr>
          <w:rFonts w:ascii="Calibri" w:eastAsia="Calibri" w:hAnsi="Calibri" w:cs="Calibri"/>
          <w:sz w:val="24"/>
          <w:szCs w:val="24"/>
        </w:rPr>
        <w:t xml:space="preserve"> impacts go beyond sexual and gender-based violence</w:t>
      </w:r>
      <w:r w:rsidR="001805AC">
        <w:rPr>
          <w:rFonts w:ascii="Calibri" w:eastAsia="Calibri" w:hAnsi="Calibri" w:cs="Calibri"/>
          <w:sz w:val="24"/>
          <w:szCs w:val="24"/>
        </w:rPr>
        <w:t xml:space="preserve">. </w:t>
      </w:r>
      <w:r w:rsidR="008405FF">
        <w:rPr>
          <w:rFonts w:ascii="Calibri" w:eastAsia="Calibri" w:hAnsi="Calibri" w:cs="Calibri"/>
          <w:sz w:val="24"/>
          <w:szCs w:val="24"/>
        </w:rPr>
        <w:t xml:space="preserve"> </w:t>
      </w:r>
      <w:r w:rsidR="001805AC">
        <w:rPr>
          <w:rFonts w:ascii="Calibri" w:eastAsia="Calibri" w:hAnsi="Calibri" w:cs="Calibri"/>
          <w:sz w:val="24"/>
          <w:szCs w:val="24"/>
        </w:rPr>
        <w:t>W</w:t>
      </w:r>
      <w:r w:rsidR="008405FF">
        <w:rPr>
          <w:rFonts w:ascii="Calibri" w:eastAsia="Calibri" w:hAnsi="Calibri" w:cs="Calibri"/>
          <w:sz w:val="24"/>
          <w:szCs w:val="24"/>
        </w:rPr>
        <w:t>e</w:t>
      </w:r>
      <w:r w:rsidR="001805AC">
        <w:rPr>
          <w:rFonts w:ascii="Calibri" w:eastAsia="Calibri" w:hAnsi="Calibri" w:cs="Calibri"/>
          <w:sz w:val="24"/>
          <w:szCs w:val="24"/>
        </w:rPr>
        <w:t>,</w:t>
      </w:r>
      <w:r w:rsidR="008405FF">
        <w:rPr>
          <w:rFonts w:ascii="Calibri" w:eastAsia="Calibri" w:hAnsi="Calibri" w:cs="Calibri"/>
          <w:sz w:val="24"/>
          <w:szCs w:val="24"/>
        </w:rPr>
        <w:t xml:space="preserve"> hence</w:t>
      </w:r>
      <w:r w:rsidR="001805AC">
        <w:rPr>
          <w:rFonts w:ascii="Calibri" w:eastAsia="Calibri" w:hAnsi="Calibri" w:cs="Calibri"/>
          <w:sz w:val="24"/>
          <w:szCs w:val="24"/>
        </w:rPr>
        <w:t>,</w:t>
      </w:r>
      <w:r w:rsidR="008405FF">
        <w:rPr>
          <w:rFonts w:ascii="Calibri" w:eastAsia="Calibri" w:hAnsi="Calibri" w:cs="Calibri"/>
          <w:sz w:val="24"/>
          <w:szCs w:val="24"/>
        </w:rPr>
        <w:t xml:space="preserve"> reiterate the importance of gender-responsive human rights impact assessments, including in the context of enhanced human rights due diligence for business activities related to armed conflict-affected areas.</w:t>
      </w:r>
      <w:r w:rsidR="00D96C6B">
        <w:rPr>
          <w:rStyle w:val="FootnoteReference"/>
          <w:rFonts w:ascii="Calibri" w:eastAsia="Calibri" w:hAnsi="Calibri" w:cs="Calibri"/>
          <w:szCs w:val="24"/>
        </w:rPr>
        <w:footnoteReference w:id="6"/>
      </w:r>
      <w:r w:rsidR="008405FF">
        <w:rPr>
          <w:rFonts w:ascii="Calibri" w:eastAsia="Calibri" w:hAnsi="Calibri" w:cs="Calibri"/>
          <w:sz w:val="24"/>
          <w:szCs w:val="24"/>
        </w:rPr>
        <w:t xml:space="preserve"> </w:t>
      </w:r>
      <w:r w:rsidR="001805AC">
        <w:rPr>
          <w:rFonts w:ascii="Calibri" w:eastAsia="Calibri" w:hAnsi="Calibri" w:cs="Calibri"/>
          <w:sz w:val="24"/>
          <w:szCs w:val="24"/>
        </w:rPr>
        <w:t xml:space="preserve">In this regard, we recommend that the Gender Guidance developed by the Working Group on Business and Human Rights be used as a key reference tool. </w:t>
      </w:r>
    </w:p>
    <w:p w14:paraId="16105266" w14:textId="048C5905" w:rsidR="00442E10" w:rsidRPr="0055231C" w:rsidRDefault="0055231C" w:rsidP="0055231C">
      <w:pPr>
        <w:spacing w:before="120" w:after="120"/>
        <w:jc w:val="both"/>
        <w:rPr>
          <w:rFonts w:ascii="Calibri" w:eastAsia="Calibri" w:hAnsi="Calibri" w:cs="Calibri"/>
          <w:sz w:val="24"/>
          <w:szCs w:val="24"/>
        </w:rPr>
      </w:pPr>
      <w:r w:rsidRPr="0055231C">
        <w:rPr>
          <w:rFonts w:ascii="Calibri" w:eastAsia="Calibri" w:hAnsi="Calibri" w:cs="Calibri"/>
          <w:sz w:val="24"/>
          <w:szCs w:val="24"/>
        </w:rPr>
        <w:t>Finally, we welcome article 14.4</w:t>
      </w:r>
      <w:r w:rsidR="0047694D">
        <w:rPr>
          <w:rFonts w:ascii="Calibri" w:eastAsia="Calibri" w:hAnsi="Calibri" w:cs="Calibri"/>
          <w:sz w:val="24"/>
          <w:szCs w:val="24"/>
        </w:rPr>
        <w:t>,</w:t>
      </w:r>
      <w:r w:rsidRPr="0055231C">
        <w:rPr>
          <w:rFonts w:ascii="Calibri" w:eastAsia="Calibri" w:hAnsi="Calibri" w:cs="Calibri"/>
          <w:sz w:val="24"/>
          <w:szCs w:val="24"/>
        </w:rPr>
        <w:t xml:space="preserve"> which recognises that certain groups, including women face heightened risks of human rights abuses within the context of business activities. </w:t>
      </w:r>
      <w:r w:rsidR="00801F76">
        <w:rPr>
          <w:rFonts w:ascii="Calibri" w:eastAsia="Calibri" w:hAnsi="Calibri" w:cs="Calibri"/>
          <w:sz w:val="24"/>
          <w:szCs w:val="24"/>
        </w:rPr>
        <w:t>H</w:t>
      </w:r>
      <w:r w:rsidR="00B03576">
        <w:rPr>
          <w:rFonts w:ascii="Calibri" w:eastAsia="Calibri" w:hAnsi="Calibri" w:cs="Calibri"/>
          <w:sz w:val="24"/>
          <w:szCs w:val="24"/>
        </w:rPr>
        <w:t>owever</w:t>
      </w:r>
      <w:r w:rsidR="00801F76">
        <w:rPr>
          <w:rFonts w:ascii="Calibri" w:eastAsia="Calibri" w:hAnsi="Calibri" w:cs="Calibri"/>
          <w:sz w:val="24"/>
          <w:szCs w:val="24"/>
        </w:rPr>
        <w:t>, we suggest</w:t>
      </w:r>
      <w:r w:rsidR="00B03576">
        <w:rPr>
          <w:rFonts w:ascii="Calibri" w:eastAsia="Calibri" w:hAnsi="Calibri" w:cs="Calibri"/>
          <w:sz w:val="24"/>
          <w:szCs w:val="24"/>
        </w:rPr>
        <w:t xml:space="preserve"> to clarify in this article that this list is not </w:t>
      </w:r>
      <w:r w:rsidR="0047694D">
        <w:rPr>
          <w:rFonts w:ascii="Calibri" w:eastAsia="Calibri" w:hAnsi="Calibri" w:cs="Calibri"/>
          <w:sz w:val="24"/>
          <w:szCs w:val="24"/>
        </w:rPr>
        <w:t>exhaustive</w:t>
      </w:r>
      <w:r w:rsidR="00012080">
        <w:rPr>
          <w:rFonts w:ascii="Calibri" w:eastAsia="Calibri" w:hAnsi="Calibri" w:cs="Calibri"/>
          <w:sz w:val="24"/>
          <w:szCs w:val="24"/>
        </w:rPr>
        <w:t xml:space="preserve"> </w:t>
      </w:r>
      <w:r w:rsidR="00B03576">
        <w:rPr>
          <w:rFonts w:ascii="Calibri" w:eastAsia="Calibri" w:hAnsi="Calibri" w:cs="Calibri"/>
          <w:sz w:val="24"/>
          <w:szCs w:val="24"/>
        </w:rPr>
        <w:t>and that</w:t>
      </w:r>
      <w:r w:rsidR="00B03576" w:rsidRPr="00B03576">
        <w:rPr>
          <w:rFonts w:ascii="Calibri" w:eastAsia="Calibri" w:hAnsi="Calibri" w:cs="Calibri"/>
          <w:sz w:val="24"/>
          <w:szCs w:val="24"/>
        </w:rPr>
        <w:t xml:space="preserve"> particular attention</w:t>
      </w:r>
      <w:r w:rsidR="00E058D1">
        <w:rPr>
          <w:rFonts w:ascii="Calibri" w:eastAsia="Calibri" w:hAnsi="Calibri" w:cs="Calibri"/>
          <w:sz w:val="24"/>
          <w:szCs w:val="24"/>
        </w:rPr>
        <w:t xml:space="preserve"> must be paid</w:t>
      </w:r>
      <w:r w:rsidR="00B03576" w:rsidRPr="00B03576">
        <w:rPr>
          <w:rFonts w:ascii="Calibri" w:eastAsia="Calibri" w:hAnsi="Calibri" w:cs="Calibri"/>
          <w:sz w:val="24"/>
          <w:szCs w:val="24"/>
        </w:rPr>
        <w:t xml:space="preserve"> to the multiple or inter</w:t>
      </w:r>
      <w:r w:rsidR="00174623">
        <w:rPr>
          <w:rFonts w:ascii="Calibri" w:eastAsia="Calibri" w:hAnsi="Calibri" w:cs="Calibri"/>
          <w:sz w:val="24"/>
          <w:szCs w:val="24"/>
        </w:rPr>
        <w:t>secting</w:t>
      </w:r>
      <w:r w:rsidR="00B03576" w:rsidRPr="00B03576">
        <w:rPr>
          <w:rFonts w:ascii="Calibri" w:eastAsia="Calibri" w:hAnsi="Calibri" w:cs="Calibri"/>
          <w:sz w:val="24"/>
          <w:szCs w:val="24"/>
        </w:rPr>
        <w:t xml:space="preserve"> forms of discrimination faced by persons belonging to more than one of these groups.</w:t>
      </w:r>
      <w:r w:rsidR="00174623">
        <w:rPr>
          <w:rStyle w:val="FootnoteReference"/>
          <w:rFonts w:ascii="Calibri" w:eastAsia="Calibri" w:hAnsi="Calibri" w:cs="Calibri"/>
          <w:szCs w:val="24"/>
        </w:rPr>
        <w:footnoteReference w:id="7"/>
      </w:r>
      <w:r w:rsidR="00801F76">
        <w:rPr>
          <w:rFonts w:ascii="Calibri" w:eastAsia="Calibri" w:hAnsi="Calibri" w:cs="Calibri"/>
          <w:sz w:val="24"/>
          <w:szCs w:val="24"/>
        </w:rPr>
        <w:t xml:space="preserve"> </w:t>
      </w:r>
    </w:p>
    <w:sectPr w:rsidR="00442E10" w:rsidRPr="0055231C" w:rsidSect="003B6CF9">
      <w:headerReference w:type="default" r:id="rId9"/>
      <w:footerReference w:type="even" r:id="rId10"/>
      <w:footerReference w:type="default" r:id="rId11"/>
      <w:pgSz w:w="11900" w:h="16840"/>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0D71D" w15:done="0"/>
  <w15:commentEx w15:paraId="0B839E39" w15:done="0"/>
  <w15:commentEx w15:paraId="3A7777E1" w15:done="0"/>
  <w15:commentEx w15:paraId="3BF9A5A1" w15:done="0"/>
  <w15:commentEx w15:paraId="71A6D5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0D71D" w16cid:durableId="2152C22F"/>
  <w16cid:commentId w16cid:paraId="0B839E39" w16cid:durableId="2152C358"/>
  <w16cid:commentId w16cid:paraId="3A7777E1" w16cid:durableId="2152C3F6"/>
  <w16cid:commentId w16cid:paraId="3BF9A5A1" w16cid:durableId="2152C49B"/>
  <w16cid:commentId w16cid:paraId="71A6D5F3" w16cid:durableId="2152C52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9D58B" w14:textId="77777777" w:rsidR="00C83C47" w:rsidRDefault="00C83C47" w:rsidP="003B6CF9">
      <w:pPr>
        <w:spacing w:line="240" w:lineRule="auto"/>
      </w:pPr>
      <w:r>
        <w:separator/>
      </w:r>
    </w:p>
  </w:endnote>
  <w:endnote w:type="continuationSeparator" w:id="0">
    <w:p w14:paraId="6071A860" w14:textId="77777777" w:rsidR="00C83C47" w:rsidRDefault="00C83C47" w:rsidP="003B6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994B" w14:textId="77777777" w:rsidR="00A67C8F" w:rsidRDefault="00A67C8F" w:rsidP="00AE5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7C371" w14:textId="77777777" w:rsidR="00A67C8F" w:rsidRDefault="00A67C8F" w:rsidP="00A67C8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E936" w14:textId="25790304" w:rsidR="00A67C8F" w:rsidRPr="00A67C8F" w:rsidRDefault="00A67C8F" w:rsidP="00A67C8F">
    <w:pPr>
      <w:pStyle w:val="Footer"/>
      <w:framePr w:wrap="around" w:vAnchor="text" w:hAnchor="page" w:x="10081" w:y="-38"/>
      <w:rPr>
        <w:rStyle w:val="PageNumber"/>
        <w:rFonts w:asciiTheme="majorHAnsi" w:hAnsiTheme="majorHAnsi"/>
      </w:rPr>
    </w:pPr>
    <w:r w:rsidRPr="00A67C8F">
      <w:rPr>
        <w:rStyle w:val="PageNumber"/>
        <w:rFonts w:asciiTheme="majorHAnsi" w:hAnsiTheme="majorHAnsi"/>
      </w:rPr>
      <w:fldChar w:fldCharType="begin"/>
    </w:r>
    <w:r w:rsidRPr="00A67C8F">
      <w:rPr>
        <w:rStyle w:val="PageNumber"/>
        <w:rFonts w:asciiTheme="majorHAnsi" w:hAnsiTheme="majorHAnsi"/>
      </w:rPr>
      <w:instrText xml:space="preserve">PAGE  </w:instrText>
    </w:r>
    <w:r w:rsidRPr="00A67C8F">
      <w:rPr>
        <w:rStyle w:val="PageNumber"/>
        <w:rFonts w:asciiTheme="majorHAnsi" w:hAnsiTheme="majorHAnsi"/>
      </w:rPr>
      <w:fldChar w:fldCharType="separate"/>
    </w:r>
    <w:r w:rsidR="00A326B6">
      <w:rPr>
        <w:rStyle w:val="PageNumber"/>
        <w:rFonts w:asciiTheme="majorHAnsi" w:hAnsiTheme="majorHAnsi"/>
        <w:noProof/>
      </w:rPr>
      <w:t>2</w:t>
    </w:r>
    <w:r w:rsidRPr="00A67C8F">
      <w:rPr>
        <w:rStyle w:val="PageNumber"/>
        <w:rFonts w:asciiTheme="majorHAnsi" w:hAnsiTheme="majorHAnsi"/>
      </w:rPr>
      <w:fldChar w:fldCharType="end"/>
    </w:r>
    <w:r w:rsidRPr="00A67C8F">
      <w:rPr>
        <w:rStyle w:val="PageNumber"/>
        <w:rFonts w:asciiTheme="majorHAnsi" w:hAnsiTheme="majorHAnsi"/>
      </w:rPr>
      <w:t>/3</w:t>
    </w:r>
  </w:p>
  <w:p w14:paraId="6D6E0482" w14:textId="77777777" w:rsidR="00A67C8F" w:rsidRDefault="00A67C8F" w:rsidP="00A67C8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198FE" w14:textId="77777777" w:rsidR="00C83C47" w:rsidRDefault="00C83C47" w:rsidP="003B6CF9">
      <w:pPr>
        <w:spacing w:line="240" w:lineRule="auto"/>
      </w:pPr>
      <w:r>
        <w:separator/>
      </w:r>
    </w:p>
  </w:footnote>
  <w:footnote w:type="continuationSeparator" w:id="0">
    <w:p w14:paraId="762BFF8C" w14:textId="77777777" w:rsidR="00C83C47" w:rsidRDefault="00C83C47" w:rsidP="003B6CF9">
      <w:pPr>
        <w:spacing w:line="240" w:lineRule="auto"/>
      </w:pPr>
      <w:r>
        <w:continuationSeparator/>
      </w:r>
    </w:p>
  </w:footnote>
  <w:footnote w:id="1">
    <w:p w14:paraId="5B165525" w14:textId="4FE94EC5" w:rsidR="00B03576" w:rsidRPr="00956FC5" w:rsidRDefault="00B03576" w:rsidP="00C96D8B">
      <w:pPr>
        <w:pStyle w:val="Footnotes"/>
      </w:pPr>
      <w:r w:rsidRPr="00956FC5">
        <w:rPr>
          <w:rStyle w:val="FootnoteReference"/>
          <w:szCs w:val="18"/>
        </w:rPr>
        <w:footnoteRef/>
      </w:r>
      <w:r w:rsidRPr="00956FC5">
        <w:t xml:space="preserve"> </w:t>
      </w:r>
      <w:r w:rsidRPr="00956FC5">
        <w:rPr>
          <w:shd w:val="clear" w:color="auto" w:fill="FFFFFF"/>
        </w:rPr>
        <w:t xml:space="preserve">ActionAid International, Anima Mundi Law Initiative, AWID (Association for Women’s Rights in Development), </w:t>
      </w:r>
      <w:proofErr w:type="spellStart"/>
      <w:r w:rsidRPr="00956FC5">
        <w:rPr>
          <w:shd w:val="clear" w:color="auto" w:fill="FFFFFF"/>
        </w:rPr>
        <w:t>CaL</w:t>
      </w:r>
      <w:proofErr w:type="spellEnd"/>
      <w:r w:rsidRPr="00956FC5">
        <w:rPr>
          <w:shd w:val="clear" w:color="auto" w:fill="FFFFFF"/>
        </w:rPr>
        <w:t xml:space="preserve"> (Coalition of African Lesbians), CAWEE (Center for Accelerated Women’s Empowerment), CELS (Centro de </w:t>
      </w:r>
      <w:proofErr w:type="spellStart"/>
      <w:r w:rsidRPr="00956FC5">
        <w:rPr>
          <w:shd w:val="clear" w:color="auto" w:fill="FFFFFF"/>
        </w:rPr>
        <w:t>Estudios</w:t>
      </w:r>
      <w:proofErr w:type="spellEnd"/>
      <w:r w:rsidRPr="00956FC5">
        <w:rPr>
          <w:shd w:val="clear" w:color="auto" w:fill="FFFFFF"/>
        </w:rPr>
        <w:t xml:space="preserve"> </w:t>
      </w:r>
      <w:proofErr w:type="spellStart"/>
      <w:r w:rsidRPr="00956FC5">
        <w:rPr>
          <w:shd w:val="clear" w:color="auto" w:fill="FFFFFF"/>
        </w:rPr>
        <w:t>Legales</w:t>
      </w:r>
      <w:proofErr w:type="spellEnd"/>
      <w:r w:rsidRPr="00956FC5">
        <w:rPr>
          <w:shd w:val="clear" w:color="auto" w:fill="FFFFFF"/>
        </w:rPr>
        <w:t xml:space="preserve"> y </w:t>
      </w:r>
      <w:proofErr w:type="spellStart"/>
      <w:r w:rsidRPr="00956FC5">
        <w:rPr>
          <w:shd w:val="clear" w:color="auto" w:fill="FFFFFF"/>
        </w:rPr>
        <w:t>Sociales</w:t>
      </w:r>
      <w:proofErr w:type="spellEnd"/>
      <w:r w:rsidRPr="00956FC5">
        <w:rPr>
          <w:shd w:val="clear" w:color="auto" w:fill="FFFFFF"/>
        </w:rPr>
        <w:t xml:space="preserve">, Argentina), DAWN (Development Alternatives with Women for a New era), Federation of Women Lawyers (FIDA Kenya), FIAN International, FIDH, Franciscans International, Gender and Development Network, </w:t>
      </w:r>
      <w:proofErr w:type="spellStart"/>
      <w:r w:rsidR="00A326B6">
        <w:rPr>
          <w:shd w:val="clear" w:color="auto" w:fill="FFFFFF"/>
        </w:rPr>
        <w:t>Manushya</w:t>
      </w:r>
      <w:proofErr w:type="spellEnd"/>
      <w:r w:rsidR="00A326B6">
        <w:rPr>
          <w:shd w:val="clear" w:color="auto" w:fill="FFFFFF"/>
        </w:rPr>
        <w:t xml:space="preserve"> Foundation, </w:t>
      </w:r>
      <w:bookmarkStart w:id="0" w:name="_GoBack"/>
      <w:bookmarkEnd w:id="0"/>
      <w:r w:rsidRPr="00956FC5">
        <w:rPr>
          <w:shd w:val="clear" w:color="auto" w:fill="FFFFFF"/>
        </w:rPr>
        <w:t>NAPE (National Association of Professional Environmentalists), NAWAD (National Association for Women's Action in Development), PODER (Project on Organizing, Development, Education, and Research), SIHA Network - Strategic Initiative for Women in the Horn of Africa, Womankind Worldwide, WILPF - Women’s International League for Peace and Freedom</w:t>
      </w:r>
    </w:p>
  </w:footnote>
  <w:footnote w:id="2">
    <w:p w14:paraId="58A432B8" w14:textId="77777777" w:rsidR="00B03576" w:rsidRPr="009D7099" w:rsidRDefault="00B03576" w:rsidP="00C96D8B">
      <w:pPr>
        <w:pStyle w:val="Footnotes"/>
        <w:rPr>
          <w:rFonts w:eastAsia="Calibri" w:cs="Calibri"/>
        </w:rPr>
      </w:pPr>
      <w:r w:rsidRPr="009D7099">
        <w:rPr>
          <w:rStyle w:val="FootnoteReference"/>
        </w:rPr>
        <w:footnoteRef/>
      </w:r>
      <w:r w:rsidRPr="009D7099">
        <w:t xml:space="preserve"> </w:t>
      </w:r>
      <w:r w:rsidRPr="009D7099">
        <w:rPr>
          <w:rFonts w:eastAsia="Calibri" w:cs="Calibri"/>
        </w:rPr>
        <w:t xml:space="preserve">See, for instance, the Statement on the implications of the Guiding Principles on Business and Human Rights in the context of Israeli settlements in the Occupied Palestinian Territory, Working Group on the issue of human rights and transnational corporations and other business enterprises, 6 June 2014, available at: </w:t>
      </w:r>
      <w:hyperlink r:id="rId1" w:history="1">
        <w:r w:rsidRPr="009D7099">
          <w:rPr>
            <w:rStyle w:val="Hyperlink"/>
            <w:rFonts w:ascii="Calibri" w:eastAsia="Calibri" w:hAnsi="Calibri" w:cs="Calibri"/>
            <w:szCs w:val="18"/>
          </w:rPr>
          <w:t>https://www.ohchr.org/Documents/Issues/Business/OPTStatement6June2014.pdf</w:t>
        </w:r>
      </w:hyperlink>
    </w:p>
    <w:p w14:paraId="2E3AA7FE" w14:textId="77777777" w:rsidR="00B03576" w:rsidRPr="009D7099" w:rsidRDefault="00B03576" w:rsidP="00C96D8B">
      <w:pPr>
        <w:pStyle w:val="Footnotes"/>
        <w:rPr>
          <w:rFonts w:eastAsia="Calibri" w:cs="Calibri"/>
        </w:rPr>
      </w:pPr>
      <w:r w:rsidRPr="009D7099">
        <w:rPr>
          <w:rFonts w:eastAsia="Calibri" w:cs="Calibri"/>
        </w:rPr>
        <w:t>“A situation of military occupation is considered to be a conflict situation even if active hostilities may have ceased or occur periodically or sporadically.” (p.2), “While the Guiding Principles do not explicitly address the situations of occupation, an area under occupation falls within the term “conflict-affected area” in the Guiding Principles.” (p.3)</w:t>
      </w:r>
    </w:p>
  </w:footnote>
  <w:footnote w:id="3">
    <w:p w14:paraId="60C200E6" w14:textId="77777777" w:rsidR="00B03576" w:rsidRPr="009D7099" w:rsidRDefault="00B03576" w:rsidP="00C96D8B">
      <w:pPr>
        <w:pStyle w:val="Footnotes"/>
        <w:rPr>
          <w:rFonts w:eastAsia="Calibri" w:cs="Calibri"/>
        </w:rPr>
      </w:pPr>
      <w:r w:rsidRPr="009D7099">
        <w:rPr>
          <w:rStyle w:val="FootnoteReference"/>
        </w:rPr>
        <w:footnoteRef/>
      </w:r>
      <w:r w:rsidRPr="009D7099">
        <w:t xml:space="preserve"> </w:t>
      </w:r>
      <w:r w:rsidRPr="009D7099">
        <w:rPr>
          <w:rFonts w:eastAsia="Calibri" w:cs="Calibri"/>
        </w:rPr>
        <w:t xml:space="preserve">See, in particular, the Report of the UN High Commissioner for Human Rights, Database of all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A/HRC/37/39, 1 February 2018, available at: </w:t>
      </w:r>
      <w:hyperlink r:id="rId2" w:history="1">
        <w:r w:rsidRPr="009D7099">
          <w:rPr>
            <w:rStyle w:val="Hyperlink"/>
            <w:rFonts w:ascii="Calibri" w:eastAsia="Calibri" w:hAnsi="Calibri" w:cs="Calibri"/>
            <w:szCs w:val="18"/>
          </w:rPr>
          <w:t>https://documents-dds-ny.un.org/doc/UNDOC/GEN/G18/021/93/PDF/G1802193.pdf?OpenElement</w:t>
        </w:r>
      </w:hyperlink>
    </w:p>
    <w:p w14:paraId="0DA973B7" w14:textId="77777777" w:rsidR="00B03576" w:rsidRPr="009D7099" w:rsidRDefault="00B03576" w:rsidP="00C96D8B">
      <w:pPr>
        <w:pStyle w:val="Footnotes"/>
        <w:rPr>
          <w:rFonts w:eastAsia="Calibri" w:cs="Calibri"/>
        </w:rPr>
      </w:pPr>
      <w:r w:rsidRPr="009D7099">
        <w:rPr>
          <w:rFonts w:eastAsia="Calibri" w:cs="Calibri"/>
        </w:rPr>
        <w:t xml:space="preserve">Para. 40 “The scale, scope and immitigability of the human rights impacts caused by settlements must be taken into consideration as part of businesses’ enhanced due diligence exercises.”; Para. 41“OHCHR notes that, considering the weight of the international legal consensus concerning the illegal nature of the settlements themselves, and the systemic and pervasive nature of the negative human rights impact caused by them, it is difficult to imagine a scenario in which a company could engage in listed activities in a way that is consistent with the Guiding Principles and international law. This view was reinforced in Human Rights Council resolution 34/31 on the Israeli settlements, in which the Council referred to the immitigable nature of the adverse impact of businesses’ activities on human rights.” </w:t>
      </w:r>
    </w:p>
  </w:footnote>
  <w:footnote w:id="4">
    <w:p w14:paraId="28F5447A" w14:textId="0402CD19" w:rsidR="00B03576" w:rsidRPr="00462968" w:rsidRDefault="00B03576" w:rsidP="00C96D8B">
      <w:pPr>
        <w:pStyle w:val="Footnotes"/>
        <w:rPr>
          <w:rFonts w:eastAsia="Calibri" w:cs="Calibri"/>
        </w:rPr>
      </w:pPr>
      <w:r>
        <w:rPr>
          <w:rStyle w:val="FootnoteReference"/>
        </w:rPr>
        <w:footnoteRef/>
      </w:r>
      <w:r>
        <w:t xml:space="preserve"> </w:t>
      </w:r>
      <w:r w:rsidRPr="009D7099">
        <w:rPr>
          <w:rFonts w:eastAsia="Calibri" w:cs="Calibri"/>
        </w:rPr>
        <w:t xml:space="preserve">REGULATION (EU) 2017/821 OF THE EUROPEAN PARLIAMENT AND OF THE COUNCIL of 17 May 2017 laying down supply chain due diligence obligations for Union importers of tin, tantalum and tungsten, their ores, and gold originating from conflict-affected and high-risk areas, available at: </w:t>
      </w:r>
      <w:hyperlink r:id="rId3" w:history="1">
        <w:r w:rsidRPr="009D7099">
          <w:rPr>
            <w:rStyle w:val="Hyperlink"/>
            <w:rFonts w:ascii="Calibri" w:eastAsia="Calibri" w:hAnsi="Calibri" w:cs="Calibri"/>
            <w:szCs w:val="18"/>
          </w:rPr>
          <w:t>http://eur-lex.europa.eu/legal-content/EN/TXT/PDF/?uri=OJ:L:2017:130:FULL&amp;from=EN</w:t>
        </w:r>
      </w:hyperlink>
      <w:r>
        <w:rPr>
          <w:rFonts w:eastAsia="Calibri" w:cs="Calibri"/>
        </w:rPr>
        <w:t xml:space="preserve">; </w:t>
      </w:r>
      <w:r w:rsidRPr="009D7099">
        <w:rPr>
          <w:rFonts w:eastAsia="Calibri" w:cs="Calibri"/>
        </w:rPr>
        <w:t xml:space="preserve">OECD (2016), OECD Due Diligence Guidance for Responsible Supply Chains of Minerals from Conflict-Affected and High-Risk Areas: Third Edition, OECD Publishing, Paris, available at: </w:t>
      </w:r>
      <w:hyperlink r:id="rId4">
        <w:r w:rsidRPr="009D7099">
          <w:rPr>
            <w:rFonts w:eastAsia="Calibri" w:cs="Calibri"/>
            <w:color w:val="1155CC"/>
            <w:u w:val="single"/>
          </w:rPr>
          <w:t>http://dx.doi.org/10.1787/9789264252479-en</w:t>
        </w:r>
      </w:hyperlink>
      <w:r>
        <w:rPr>
          <w:rFonts w:eastAsia="Calibri" w:cs="Calibri"/>
          <w:color w:val="1155CC"/>
          <w:u w:val="single"/>
        </w:rPr>
        <w:t xml:space="preserve">; </w:t>
      </w:r>
      <w:r w:rsidRPr="009D7099">
        <w:rPr>
          <w:rFonts w:eastAsia="Calibri" w:cs="Calibri"/>
        </w:rPr>
        <w:t>Guidance on Responsible Business in Conflict-Affected and High-Risk Areas: A Resource for Companies and Investors A joint UN Global Compact – PRI publication, United Nations Global Compact, 2010, p. 10, available at:</w:t>
      </w:r>
    </w:p>
  </w:footnote>
  <w:footnote w:id="5">
    <w:p w14:paraId="490084C9" w14:textId="77777777" w:rsidR="00B03576" w:rsidRPr="009D7099" w:rsidRDefault="00B03576" w:rsidP="00C96D8B">
      <w:pPr>
        <w:pStyle w:val="Footnotes"/>
        <w:rPr>
          <w:rFonts w:eastAsia="Calibri" w:cs="Calibri"/>
        </w:rPr>
      </w:pPr>
      <w:r w:rsidRPr="009D7099">
        <w:rPr>
          <w:vertAlign w:val="superscript"/>
        </w:rPr>
        <w:footnoteRef/>
      </w:r>
      <w:r w:rsidRPr="009D7099">
        <w:rPr>
          <w:rFonts w:eastAsia="Calibri" w:cs="Calibri"/>
        </w:rPr>
        <w:t xml:space="preserve"> The EU conflict minerals regulation provides the following definition:</w:t>
      </w:r>
    </w:p>
    <w:p w14:paraId="33F2EE22" w14:textId="77777777" w:rsidR="00B03576" w:rsidRPr="009D7099" w:rsidRDefault="00B03576" w:rsidP="00C96D8B">
      <w:pPr>
        <w:pStyle w:val="Footnotes"/>
        <w:rPr>
          <w:rFonts w:eastAsia="Calibri" w:cs="Calibri"/>
        </w:rPr>
      </w:pPr>
      <w:r w:rsidRPr="009D7099">
        <w:rPr>
          <w:rFonts w:eastAsia="Calibri" w:cs="Calibri"/>
          <w:i/>
        </w:rPr>
        <w:t>“</w:t>
      </w:r>
      <w:proofErr w:type="gramStart"/>
      <w:r w:rsidRPr="009D7099">
        <w:rPr>
          <w:rFonts w:eastAsia="Calibri" w:cs="Calibri"/>
          <w:i/>
        </w:rPr>
        <w:t>‘conflict</w:t>
      </w:r>
      <w:proofErr w:type="gramEnd"/>
      <w:r w:rsidRPr="009D7099">
        <w:rPr>
          <w:rFonts w:eastAsia="Calibri" w:cs="Calibri"/>
          <w:i/>
        </w:rPr>
        <w:t>-affected and high-risk areas’ means areas in a state of armed conflict or fragile post-conflict as areas witnessing weak or non-existent governance and security, such as failed states, and widespread and systematic violations of international law, including human rights abuses”,</w:t>
      </w:r>
      <w:r w:rsidRPr="009D7099">
        <w:rPr>
          <w:rFonts w:eastAsia="Calibri" w:cs="Calibri"/>
        </w:rPr>
        <w:t xml:space="preserve"> see REGULATION (EU) 2017/821 OF THE EUROPEAN PARLIAMENT AND OF THE COUNCIL of 17 May 2017 laying down supply chain due diligence obligations for Union importers of tin, tantalum and tungsten, their ores, and gold originating from conflict-affected and high-risk areas, Article 2 f), available at: </w:t>
      </w:r>
      <w:hyperlink r:id="rId5">
        <w:r w:rsidRPr="009D7099">
          <w:rPr>
            <w:rFonts w:eastAsia="Calibri" w:cs="Calibri"/>
            <w:color w:val="1155CC"/>
            <w:u w:val="single"/>
          </w:rPr>
          <w:t>http://eur-lex.europa.eu/legal-content/EN/TXT/PDF/?uri=OJ:L:2017:130:FULL&amp;from=EN</w:t>
        </w:r>
      </w:hyperlink>
      <w:r w:rsidRPr="009D7099">
        <w:rPr>
          <w:rFonts w:eastAsia="Calibri" w:cs="Calibri"/>
        </w:rPr>
        <w:t>; The OECD Guidelines on Due Diligence Guidance for Responsible Supply Chains of Minerals from Conflict-Affected and High-Risk Areas provide the following definition:</w:t>
      </w:r>
    </w:p>
    <w:p w14:paraId="09A66366" w14:textId="77777777" w:rsidR="00B03576" w:rsidRPr="009D7099" w:rsidRDefault="00B03576" w:rsidP="00C96D8B">
      <w:pPr>
        <w:pStyle w:val="Footnotes"/>
        <w:rPr>
          <w:rFonts w:eastAsia="Calibri" w:cs="Calibri"/>
        </w:rPr>
      </w:pPr>
      <w:r w:rsidRPr="009D7099">
        <w:rPr>
          <w:rFonts w:eastAsia="Calibri" w:cs="Calibri"/>
          <w:i/>
        </w:rPr>
        <w:t xml:space="preserve">“Conflict-affected and high-risk areas – Areas identified by the presence of armed conflict, widespread violence, including violence generated by criminal networks, or other risks of serious and widespread harm to people. Armed conflict may take a variety of forms, such as a conflict of international or </w:t>
      </w:r>
      <w:proofErr w:type="gramStart"/>
      <w:r w:rsidRPr="009D7099">
        <w:rPr>
          <w:rFonts w:eastAsia="Calibri" w:cs="Calibri"/>
          <w:i/>
        </w:rPr>
        <w:t>non international</w:t>
      </w:r>
      <w:proofErr w:type="gramEnd"/>
      <w:r w:rsidRPr="009D7099">
        <w:rPr>
          <w:rFonts w:eastAsia="Calibri" w:cs="Calibri"/>
          <w:i/>
        </w:rPr>
        <w:t xml:space="preserve"> character, which may involve two or more states, or may consist of wars of liberation, or insurgencies, civil wars. High-risk areas are those where there is a high risk of conflict or of widespread or serious abuses as defined in paragraph 1 of Annex II of the Guidance. Such areas are often characterized by political instability or repression, institutional weakness, insecurity, collapse of civil infrastructure, widespread violence and violations of national or international law.</w:t>
      </w:r>
      <w:proofErr w:type="gramStart"/>
      <w:r w:rsidRPr="009D7099">
        <w:rPr>
          <w:rFonts w:eastAsia="Calibri" w:cs="Calibri"/>
          <w:i/>
        </w:rPr>
        <w:t>”</w:t>
      </w:r>
      <w:r w:rsidRPr="009D7099">
        <w:rPr>
          <w:rFonts w:eastAsia="Calibri" w:cs="Calibri"/>
        </w:rPr>
        <w:t>,</w:t>
      </w:r>
      <w:proofErr w:type="gramEnd"/>
      <w:r w:rsidRPr="009D7099">
        <w:rPr>
          <w:rFonts w:eastAsia="Calibri" w:cs="Calibri"/>
        </w:rPr>
        <w:t xml:space="preserve"> see OECD Due Diligence Guidance for Responsible Supply Chains of Minerals from Conflict-Affected and High-Risk Areas Third Edition, see p. 66: </w:t>
      </w:r>
      <w:hyperlink r:id="rId6">
        <w:r w:rsidRPr="009D7099">
          <w:rPr>
            <w:rFonts w:eastAsia="Calibri" w:cs="Calibri"/>
            <w:color w:val="1155CC"/>
            <w:u w:val="single"/>
          </w:rPr>
          <w:t>https://www.oecd.org/daf/inv/mne/OECD-Due-Diligence-Guidance-Minerals-Edition3.pdf</w:t>
        </w:r>
      </w:hyperlink>
      <w:r w:rsidRPr="009D7099">
        <w:rPr>
          <w:rFonts w:eastAsia="Calibri" w:cs="Calibri"/>
        </w:rPr>
        <w:t xml:space="preserve">; Finally, the UN Global Compact Guidance on Responsible Business in Conflict-Affected and High-Risk Areas provides the following definition: </w:t>
      </w:r>
      <w:r w:rsidRPr="009D7099">
        <w:rPr>
          <w:rFonts w:eastAsia="Calibri" w:cs="Calibri"/>
          <w:i/>
        </w:rPr>
        <w:t xml:space="preserve">“Conflict-affected or high-risk areas are countries, areas, or regions: that are not currently experiencing high levels of armed violence, but where political and social instability prevails, and a number of factors are present that make a future outbreak of violence more likely, in which there are serious concerns about abuses of human rights and political and civil liberties, but where violent conflict is not currently present, that are currently experiencing violent conflict, including civil wars, armed insurrections, inter-state wars and other types of organized violence, that are currently in transition from violent conflict to peace.” </w:t>
      </w:r>
      <w:r w:rsidRPr="009D7099">
        <w:rPr>
          <w:rFonts w:eastAsia="Calibri" w:cs="Calibri"/>
        </w:rPr>
        <w:t xml:space="preserve">Guidance on Responsible Business in Conflict-Affected and High-Risk Areas: A Resource for Companies and Investors A joint UN Global Compact – PRI publication, United Nations Global Compact, 2010, p. 7, available at: </w:t>
      </w:r>
      <w:hyperlink r:id="rId7">
        <w:r w:rsidRPr="009D7099">
          <w:rPr>
            <w:rFonts w:eastAsia="Calibri" w:cs="Calibri"/>
            <w:color w:val="1155CC"/>
            <w:u w:val="single"/>
          </w:rPr>
          <w:t>https://www.unglobalcompact.org/docs/issues_doc/Peace_and_Business/Guidance_RB.pdf</w:t>
        </w:r>
      </w:hyperlink>
      <w:r w:rsidRPr="009D7099">
        <w:rPr>
          <w:rFonts w:eastAsia="Calibri" w:cs="Calibri"/>
        </w:rPr>
        <w:t xml:space="preserve"> </w:t>
      </w:r>
    </w:p>
  </w:footnote>
  <w:footnote w:id="6">
    <w:p w14:paraId="07335BEA" w14:textId="2D9C453C" w:rsidR="00D96C6B" w:rsidRPr="00D96C6B" w:rsidRDefault="00D96C6B" w:rsidP="00C96D8B">
      <w:pPr>
        <w:pStyle w:val="Footnotes"/>
      </w:pPr>
      <w:r>
        <w:rPr>
          <w:rStyle w:val="FootnoteReference"/>
        </w:rPr>
        <w:footnoteRef/>
      </w:r>
      <w:r>
        <w:t xml:space="preserve"> </w:t>
      </w:r>
      <w:r w:rsidRPr="00406BE2">
        <w:t>See</w:t>
      </w:r>
      <w:r w:rsidR="00BD2C34">
        <w:t xml:space="preserve"> the</w:t>
      </w:r>
      <w:r w:rsidRPr="00406BE2">
        <w:t xml:space="preserve"> statement of eminent jurists on legal obligations when supporting reconstruction in Syria: “For example, the location of new reconstruction projects may impact women and girls’ security or property rights in a way not experienced by their male counterparts. Additionally, the failure to locate missing and disappeared male relatives is likely to impact property rights and security for women and girls”, available at: </w:t>
      </w:r>
      <w:hyperlink r:id="rId8" w:history="1">
        <w:r w:rsidRPr="00406BE2">
          <w:t>https://www.business-humanrights.org/sites/default/files/documents/Eminents%20Jurists%20Statement_Syria%20reconstruction.pdf</w:t>
        </w:r>
      </w:hyperlink>
    </w:p>
  </w:footnote>
  <w:footnote w:id="7">
    <w:p w14:paraId="760CA910" w14:textId="2B2B0181" w:rsidR="00174623" w:rsidRPr="00174623" w:rsidRDefault="00174623" w:rsidP="00C96D8B">
      <w:pPr>
        <w:pStyle w:val="Footnotes"/>
      </w:pPr>
      <w:r>
        <w:rPr>
          <w:rStyle w:val="FootnoteReference"/>
        </w:rPr>
        <w:footnoteRef/>
      </w:r>
      <w:r>
        <w:t xml:space="preserve"> </w:t>
      </w:r>
      <w:r w:rsidRPr="00406BE2">
        <w:t>Preambular paragraph 13 of ILO Convention 190 on Violence and Harass</w:t>
      </w:r>
      <w:r w:rsidR="006E6895">
        <w:t>ment for instance provides language along these lines</w:t>
      </w:r>
      <w:r w:rsidRPr="00406BE2">
        <w:t>: « </w:t>
      </w:r>
      <w:r w:rsidRPr="00174623">
        <w:t xml:space="preserve">Acknowledging that gender-based violence and harassment disproportionately affects women and girls, and recognizing that an inclusive, integrated and gender-responsive approach, which tackles underlying causes and risk factors, including gender stereotypes, </w:t>
      </w:r>
      <w:r w:rsidRPr="00C96D8B">
        <w:rPr>
          <w:u w:val="single"/>
        </w:rPr>
        <w:t>multiple and intersecting forms of discrimination</w:t>
      </w:r>
      <w:r w:rsidRPr="00174623">
        <w:t xml:space="preserve">, and unequal gender-based power relations, is essential to ending violence and harassment in the world of work, and”, available at: </w:t>
      </w:r>
      <w:hyperlink r:id="rId9" w:history="1">
        <w:r w:rsidRPr="00174623">
          <w:rPr>
            <w:rStyle w:val="Hyperlink"/>
          </w:rPr>
          <w:t>https://www.ilo.org/dyn/normlex/en/f?p=NORMLEXPUB:12100:0::NO::P12100_INSTRUMENT_ID:3999810</w:t>
        </w:r>
      </w:hyperlink>
    </w:p>
    <w:p w14:paraId="2F27D762" w14:textId="67925DC9" w:rsidR="00174623" w:rsidRPr="00174623" w:rsidRDefault="00174623" w:rsidP="00C96D8B">
      <w:pPr>
        <w:pStyle w:val="Footnotes"/>
      </w:pPr>
    </w:p>
    <w:p w14:paraId="4281D807" w14:textId="6880CDC9" w:rsidR="00174623" w:rsidRPr="00406BE2" w:rsidRDefault="00174623" w:rsidP="00C96D8B">
      <w:pPr>
        <w:pStyle w:val="Footnotes"/>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292B" w14:textId="77777777" w:rsidR="00B03576" w:rsidRPr="003B6CF9" w:rsidRDefault="00B03576" w:rsidP="003B6CF9">
    <w:pPr>
      <w:pStyle w:val="Header"/>
      <w:jc w:val="right"/>
      <w:rPr>
        <w:rFonts w:asciiTheme="majorHAnsi" w:hAnsiTheme="majorHAnsi"/>
      </w:rPr>
    </w:pPr>
    <w:r w:rsidRPr="003B6CF9">
      <w:rPr>
        <w:rFonts w:asciiTheme="majorHAnsi" w:hAnsiTheme="majorHAnsi"/>
      </w:rPr>
      <w:t>18 October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D1A"/>
    <w:multiLevelType w:val="hybridMultilevel"/>
    <w:tmpl w:val="82A4454C"/>
    <w:lvl w:ilvl="0" w:tplc="A67E9A2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E6D36"/>
    <w:multiLevelType w:val="hybridMultilevel"/>
    <w:tmpl w:val="1F4C0178"/>
    <w:lvl w:ilvl="0" w:tplc="7994BE5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C3101"/>
    <w:multiLevelType w:val="hybridMultilevel"/>
    <w:tmpl w:val="6F544D16"/>
    <w:lvl w:ilvl="0" w:tplc="2F820AB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35146"/>
    <w:multiLevelType w:val="hybridMultilevel"/>
    <w:tmpl w:val="BCC0855A"/>
    <w:lvl w:ilvl="0" w:tplc="779882F2">
      <w:start w:val="1"/>
      <w:numFmt w:val="decimal"/>
      <w:pStyle w:val="ListParagraph"/>
      <w:lvlText w:val="%1."/>
      <w:lvlJc w:val="left"/>
      <w:pPr>
        <w:ind w:left="1495" w:hanging="360"/>
      </w:pPr>
      <w:rPr>
        <w:rFonts w:ascii="Georgia" w:eastAsia="Georgia" w:hAnsi="Georgia" w:cs="Georg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9072E"/>
    <w:multiLevelType w:val="multilevel"/>
    <w:tmpl w:val="2048F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C64414E"/>
    <w:multiLevelType w:val="hybridMultilevel"/>
    <w:tmpl w:val="1F9AB43A"/>
    <w:lvl w:ilvl="0" w:tplc="2E5499E6">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47739"/>
    <w:multiLevelType w:val="hybridMultilevel"/>
    <w:tmpl w:val="0F743E28"/>
    <w:lvl w:ilvl="0" w:tplc="E6EA3ED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zia Scannella">
    <w15:presenceInfo w15:providerId="AD" w15:userId="S::patrizia.scannella@wilpf.org::20e2ad34-c37b-4c2d-863d-ab3e15cf5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F9"/>
    <w:rsid w:val="00012080"/>
    <w:rsid w:val="00174623"/>
    <w:rsid w:val="001805AC"/>
    <w:rsid w:val="002903CC"/>
    <w:rsid w:val="00373471"/>
    <w:rsid w:val="003A2B63"/>
    <w:rsid w:val="003B6CF9"/>
    <w:rsid w:val="00402555"/>
    <w:rsid w:val="00406BE2"/>
    <w:rsid w:val="00440A08"/>
    <w:rsid w:val="00442E10"/>
    <w:rsid w:val="00462968"/>
    <w:rsid w:val="0047694D"/>
    <w:rsid w:val="0055231C"/>
    <w:rsid w:val="00645D87"/>
    <w:rsid w:val="00670E89"/>
    <w:rsid w:val="006B6550"/>
    <w:rsid w:val="006E6895"/>
    <w:rsid w:val="00761713"/>
    <w:rsid w:val="00790B5E"/>
    <w:rsid w:val="007F5354"/>
    <w:rsid w:val="00801F76"/>
    <w:rsid w:val="00806A53"/>
    <w:rsid w:val="008405FF"/>
    <w:rsid w:val="009205BC"/>
    <w:rsid w:val="0095231C"/>
    <w:rsid w:val="00956B34"/>
    <w:rsid w:val="00991C1D"/>
    <w:rsid w:val="009C5871"/>
    <w:rsid w:val="00A326B6"/>
    <w:rsid w:val="00A67C8F"/>
    <w:rsid w:val="00AB19E0"/>
    <w:rsid w:val="00B03576"/>
    <w:rsid w:val="00B1210F"/>
    <w:rsid w:val="00B31777"/>
    <w:rsid w:val="00B74CE9"/>
    <w:rsid w:val="00BD2C34"/>
    <w:rsid w:val="00C21D50"/>
    <w:rsid w:val="00C47AE4"/>
    <w:rsid w:val="00C83C47"/>
    <w:rsid w:val="00C96D8B"/>
    <w:rsid w:val="00D96C6B"/>
    <w:rsid w:val="00DA2B0C"/>
    <w:rsid w:val="00DB0E94"/>
    <w:rsid w:val="00DD275D"/>
    <w:rsid w:val="00DF66BD"/>
    <w:rsid w:val="00E058D1"/>
    <w:rsid w:val="00E87E9B"/>
    <w:rsid w:val="00E95C7B"/>
    <w:rsid w:val="00EA4C5B"/>
    <w:rsid w:val="00F655B3"/>
    <w:rsid w:val="00FD709E"/>
    <w:rsid w:val="00FF2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227F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F9"/>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autoRedefine/>
    <w:uiPriority w:val="9"/>
    <w:qFormat/>
    <w:rsid w:val="00E95C7B"/>
    <w:pPr>
      <w:keepNext/>
      <w:keepLines/>
      <w:numPr>
        <w:numId w:val="6"/>
      </w:numPr>
      <w:spacing w:before="480" w:after="120"/>
      <w:outlineLvl w:val="0"/>
    </w:pPr>
    <w:rPr>
      <w:rFonts w:asciiTheme="majorHAnsi" w:eastAsia="Georgia" w:hAnsiTheme="majorHAnsi" w:cs="Georgia"/>
      <w:b/>
      <w:sz w:val="28"/>
      <w:szCs w:val="48"/>
      <w:lang w:val="en-GB"/>
    </w:rPr>
  </w:style>
  <w:style w:type="paragraph" w:styleId="Heading2">
    <w:name w:val="heading 2"/>
    <w:basedOn w:val="Normal"/>
    <w:next w:val="Normal"/>
    <w:link w:val="Heading2Char"/>
    <w:autoRedefine/>
    <w:uiPriority w:val="9"/>
    <w:unhideWhenUsed/>
    <w:qFormat/>
    <w:rsid w:val="00E95C7B"/>
    <w:pPr>
      <w:keepNext/>
      <w:keepLines/>
      <w:numPr>
        <w:numId w:val="2"/>
      </w:numPr>
      <w:spacing w:before="360" w:after="80"/>
      <w:outlineLvl w:val="1"/>
    </w:pPr>
    <w:rPr>
      <w:rFonts w:asciiTheme="majorHAnsi" w:eastAsia="Georgia" w:hAnsiTheme="majorHAnsi" w:cs="Georgia"/>
      <w:b/>
      <w:sz w:val="24"/>
      <w:szCs w:val="36"/>
      <w:lang w:val="en-US"/>
    </w:rPr>
  </w:style>
  <w:style w:type="paragraph" w:styleId="Heading3">
    <w:name w:val="heading 3"/>
    <w:basedOn w:val="Normal"/>
    <w:next w:val="Normal"/>
    <w:link w:val="Heading3Char"/>
    <w:autoRedefine/>
    <w:uiPriority w:val="9"/>
    <w:unhideWhenUsed/>
    <w:qFormat/>
    <w:rsid w:val="00E95C7B"/>
    <w:pPr>
      <w:keepNext/>
      <w:keepLines/>
      <w:numPr>
        <w:numId w:val="5"/>
      </w:numPr>
      <w:spacing w:before="280" w:after="80"/>
      <w:outlineLvl w:val="2"/>
    </w:pPr>
    <w:rPr>
      <w:rFonts w:asciiTheme="majorHAnsi" w:eastAsia="Georgia" w:hAnsiTheme="majorHAnsi" w:cs="Georgia"/>
      <w:b/>
      <w:sz w:val="24"/>
      <w:szCs w:val="28"/>
      <w:lang w:val="en-US"/>
    </w:rPr>
  </w:style>
  <w:style w:type="paragraph" w:styleId="Heading4">
    <w:name w:val="heading 4"/>
    <w:basedOn w:val="Normal"/>
    <w:next w:val="Normal"/>
    <w:link w:val="Heading4Char"/>
    <w:autoRedefine/>
    <w:uiPriority w:val="9"/>
    <w:unhideWhenUsed/>
    <w:qFormat/>
    <w:rsid w:val="00E95C7B"/>
    <w:pPr>
      <w:keepNext/>
      <w:keepLines/>
      <w:numPr>
        <w:numId w:val="4"/>
      </w:numPr>
      <w:spacing w:before="240" w:after="40"/>
      <w:outlineLvl w:val="3"/>
    </w:pPr>
    <w:rPr>
      <w:rFonts w:asciiTheme="majorHAnsi" w:eastAsia="Georgia" w:hAnsiTheme="majorHAnsi" w:cs="Georgia"/>
      <w:b/>
      <w:sz w:val="24"/>
      <w:lang w:val="en-US"/>
    </w:rPr>
  </w:style>
  <w:style w:type="paragraph" w:styleId="Heading5">
    <w:name w:val="heading 5"/>
    <w:basedOn w:val="Normal"/>
    <w:next w:val="Normal"/>
    <w:link w:val="Heading5Char"/>
    <w:autoRedefine/>
    <w:uiPriority w:val="9"/>
    <w:unhideWhenUsed/>
    <w:qFormat/>
    <w:rsid w:val="00E95C7B"/>
    <w:pPr>
      <w:keepNext/>
      <w:keepLines/>
      <w:spacing w:before="220" w:after="40"/>
      <w:outlineLvl w:val="4"/>
    </w:pPr>
    <w:rPr>
      <w:rFonts w:asciiTheme="majorHAnsi" w:eastAsia="Georgia" w:hAnsiTheme="majorHAnsi" w:cs="Georgia"/>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C7B"/>
    <w:rPr>
      <w:rFonts w:asciiTheme="majorHAnsi" w:eastAsia="Georgia" w:hAnsiTheme="majorHAnsi" w:cs="Georgia"/>
      <w:b/>
      <w:szCs w:val="36"/>
      <w:lang w:val="en-US"/>
    </w:rPr>
  </w:style>
  <w:style w:type="paragraph" w:styleId="BalloonText">
    <w:name w:val="Balloon Text"/>
    <w:basedOn w:val="Normal"/>
    <w:link w:val="BalloonTextChar"/>
    <w:uiPriority w:val="99"/>
    <w:semiHidden/>
    <w:unhideWhenUsed/>
    <w:rsid w:val="00761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1713"/>
    <w:rPr>
      <w:rFonts w:ascii="Lucida Grande" w:hAnsi="Lucida Grande" w:cs="Lucida Grande"/>
      <w:sz w:val="18"/>
      <w:szCs w:val="18"/>
    </w:rPr>
  </w:style>
  <w:style w:type="paragraph" w:styleId="FootnoteText">
    <w:name w:val="footnote text"/>
    <w:aliases w:val="5_G,FOOTNOTES,fn,single space,f,Footnote Text Char1,Footnote Text Char Char,Char,ft,ADB,WB-Fußnotentext,Fußnote,Geneva 9,Font: Geneva 9,Boston 10,12pt,12pt Знак,12pt Знак Знак Знак Знак Знак,12pt Знак Знак Знак Знак,12pt ????,12"/>
    <w:basedOn w:val="Normal"/>
    <w:link w:val="FootnoteTextChar"/>
    <w:autoRedefine/>
    <w:uiPriority w:val="99"/>
    <w:unhideWhenUsed/>
    <w:qFormat/>
    <w:rsid w:val="00E95C7B"/>
    <w:pPr>
      <w:contextualSpacing/>
    </w:pPr>
    <w:rPr>
      <w:rFonts w:asciiTheme="minorHAnsi" w:hAnsiTheme="minorHAnsi"/>
      <w:sz w:val="18"/>
    </w:rPr>
  </w:style>
  <w:style w:type="character" w:customStyle="1" w:styleId="FootnoteTextChar">
    <w:name w:val="Footnote Text Char"/>
    <w:aliases w:val="5_G Char,FOOTNOTES Char,fn Char,single space Char,f Char,Footnote Text Char1 Char,Footnote Text Char Char Char,Char Char1,ft Char,ADB Char,WB-Fußnotentext Char,Fußnote Char,Geneva 9 Char,Font: Geneva 9 Char,Boston 10 Char,12pt Char"/>
    <w:basedOn w:val="DefaultParagraphFont"/>
    <w:link w:val="FootnoteText"/>
    <w:uiPriority w:val="99"/>
    <w:rsid w:val="00E95C7B"/>
    <w:rPr>
      <w:rFonts w:eastAsia="Arial" w:cs="Arial"/>
      <w:sz w:val="18"/>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qFormat/>
    <w:rsid w:val="00FD709E"/>
    <w:rPr>
      <w:sz w:val="18"/>
      <w:vertAlign w:val="superscript"/>
      <w:lang w:val="fr-CH"/>
    </w:rPr>
  </w:style>
  <w:style w:type="paragraph" w:customStyle="1" w:styleId="Char2">
    <w:name w:val="Char2"/>
    <w:basedOn w:val="Normal"/>
    <w:link w:val="FootnoteReference"/>
    <w:autoRedefine/>
    <w:uiPriority w:val="99"/>
    <w:rsid w:val="00FD709E"/>
    <w:pPr>
      <w:spacing w:after="160" w:line="240" w:lineRule="exact"/>
    </w:pPr>
    <w:rPr>
      <w:rFonts w:asciiTheme="minorHAnsi" w:hAnsiTheme="minorHAnsi" w:cstheme="minorBidi"/>
      <w:sz w:val="18"/>
      <w:vertAlign w:val="superscript"/>
      <w:lang w:val="fr-CH"/>
    </w:rPr>
  </w:style>
  <w:style w:type="character" w:customStyle="1" w:styleId="Heading1Char">
    <w:name w:val="Heading 1 Char"/>
    <w:basedOn w:val="DefaultParagraphFont"/>
    <w:link w:val="Heading1"/>
    <w:uiPriority w:val="9"/>
    <w:rsid w:val="00E95C7B"/>
    <w:rPr>
      <w:rFonts w:asciiTheme="majorHAnsi" w:eastAsia="Georgia" w:hAnsiTheme="majorHAnsi" w:cs="Georgia"/>
      <w:b/>
      <w:sz w:val="28"/>
      <w:szCs w:val="48"/>
      <w:lang w:val="en-GB"/>
    </w:rPr>
  </w:style>
  <w:style w:type="paragraph" w:styleId="ListParagraph">
    <w:name w:val="List Paragraph"/>
    <w:basedOn w:val="Normal"/>
    <w:next w:val="BodyText"/>
    <w:autoRedefine/>
    <w:uiPriority w:val="34"/>
    <w:qFormat/>
    <w:rsid w:val="00E95C7B"/>
    <w:pPr>
      <w:numPr>
        <w:numId w:val="3"/>
      </w:numPr>
      <w:pBdr>
        <w:top w:val="nil"/>
        <w:left w:val="nil"/>
        <w:bottom w:val="nil"/>
        <w:right w:val="nil"/>
        <w:between w:val="nil"/>
      </w:pBdr>
      <w:contextualSpacing/>
      <w:jc w:val="both"/>
    </w:pPr>
    <w:rPr>
      <w:rFonts w:asciiTheme="majorHAnsi" w:eastAsia="Georgia" w:hAnsiTheme="majorHAnsi" w:cs="Georgia"/>
      <w:lang w:val="en-US"/>
    </w:rPr>
  </w:style>
  <w:style w:type="paragraph" w:styleId="BodyText">
    <w:name w:val="Body Text"/>
    <w:basedOn w:val="Normal"/>
    <w:link w:val="BodyTextChar"/>
    <w:uiPriority w:val="99"/>
    <w:semiHidden/>
    <w:unhideWhenUsed/>
    <w:rsid w:val="00E95C7B"/>
    <w:pPr>
      <w:spacing w:after="120"/>
    </w:pPr>
  </w:style>
  <w:style w:type="character" w:customStyle="1" w:styleId="BodyTextChar">
    <w:name w:val="Body Text Char"/>
    <w:basedOn w:val="DefaultParagraphFont"/>
    <w:link w:val="BodyText"/>
    <w:uiPriority w:val="99"/>
    <w:semiHidden/>
    <w:rsid w:val="00E95C7B"/>
    <w:rPr>
      <w:rFonts w:ascii="Cambria" w:hAnsi="Cambria" w:cs="Times New Roman"/>
      <w:sz w:val="22"/>
    </w:rPr>
  </w:style>
  <w:style w:type="paragraph" w:customStyle="1" w:styleId="Style1">
    <w:name w:val="Style1"/>
    <w:basedOn w:val="FootnoteText"/>
    <w:autoRedefine/>
    <w:qFormat/>
    <w:rsid w:val="00E95C7B"/>
    <w:pPr>
      <w:contextualSpacing w:val="0"/>
    </w:pPr>
    <w:rPr>
      <w:rFonts w:asciiTheme="majorHAnsi" w:eastAsia="Georgia" w:hAnsiTheme="majorHAnsi" w:cs="Georgia"/>
      <w:vertAlign w:val="superscript"/>
      <w:lang w:val="en-US"/>
    </w:rPr>
  </w:style>
  <w:style w:type="paragraph" w:customStyle="1" w:styleId="Footnotes">
    <w:name w:val="Footnotes"/>
    <w:basedOn w:val="Normal"/>
    <w:autoRedefine/>
    <w:qFormat/>
    <w:rsid w:val="00E95C7B"/>
    <w:rPr>
      <w:rFonts w:asciiTheme="majorHAnsi" w:eastAsia="Georgia" w:hAnsiTheme="majorHAnsi" w:cs="Georgia"/>
      <w:sz w:val="18"/>
      <w:szCs w:val="20"/>
      <w:lang w:val="en-US"/>
    </w:rPr>
  </w:style>
  <w:style w:type="character" w:customStyle="1" w:styleId="Heading4Char">
    <w:name w:val="Heading 4 Char"/>
    <w:basedOn w:val="DefaultParagraphFont"/>
    <w:link w:val="Heading4"/>
    <w:uiPriority w:val="9"/>
    <w:rsid w:val="00E95C7B"/>
    <w:rPr>
      <w:rFonts w:asciiTheme="majorHAnsi" w:eastAsia="Georgia" w:hAnsiTheme="majorHAnsi" w:cs="Georgia"/>
      <w:b/>
      <w:lang w:val="en-US"/>
    </w:rPr>
  </w:style>
  <w:style w:type="character" w:customStyle="1" w:styleId="Heading3Char">
    <w:name w:val="Heading 3 Char"/>
    <w:basedOn w:val="DefaultParagraphFont"/>
    <w:link w:val="Heading3"/>
    <w:uiPriority w:val="9"/>
    <w:rsid w:val="00E95C7B"/>
    <w:rPr>
      <w:rFonts w:asciiTheme="majorHAnsi" w:eastAsia="Georgia" w:hAnsiTheme="majorHAnsi" w:cs="Georgia"/>
      <w:b/>
      <w:szCs w:val="28"/>
      <w:lang w:val="en-US"/>
    </w:rPr>
  </w:style>
  <w:style w:type="character" w:customStyle="1" w:styleId="Heading5Char">
    <w:name w:val="Heading 5 Char"/>
    <w:basedOn w:val="DefaultParagraphFont"/>
    <w:link w:val="Heading5"/>
    <w:uiPriority w:val="9"/>
    <w:rsid w:val="00E95C7B"/>
    <w:rPr>
      <w:rFonts w:asciiTheme="majorHAnsi" w:eastAsia="Georgia" w:hAnsiTheme="majorHAnsi" w:cs="Georgia"/>
      <w:b/>
      <w:sz w:val="22"/>
      <w:szCs w:val="22"/>
      <w:u w:val="single"/>
      <w:lang w:val="en-US"/>
    </w:rPr>
  </w:style>
  <w:style w:type="character" w:styleId="Hyperlink">
    <w:name w:val="Hyperlink"/>
    <w:basedOn w:val="DefaultParagraphFont"/>
    <w:uiPriority w:val="99"/>
    <w:unhideWhenUsed/>
    <w:rsid w:val="003B6CF9"/>
    <w:rPr>
      <w:color w:val="0000FF"/>
      <w:u w:val="single"/>
    </w:rPr>
  </w:style>
  <w:style w:type="paragraph" w:styleId="Header">
    <w:name w:val="header"/>
    <w:basedOn w:val="Normal"/>
    <w:link w:val="HeaderChar"/>
    <w:uiPriority w:val="99"/>
    <w:unhideWhenUsed/>
    <w:rsid w:val="003B6CF9"/>
    <w:pPr>
      <w:tabs>
        <w:tab w:val="center" w:pos="4320"/>
        <w:tab w:val="right" w:pos="8640"/>
      </w:tabs>
      <w:spacing w:line="240" w:lineRule="auto"/>
    </w:pPr>
  </w:style>
  <w:style w:type="character" w:customStyle="1" w:styleId="HeaderChar">
    <w:name w:val="Header Char"/>
    <w:basedOn w:val="DefaultParagraphFont"/>
    <w:link w:val="Header"/>
    <w:uiPriority w:val="99"/>
    <w:rsid w:val="003B6CF9"/>
    <w:rPr>
      <w:rFonts w:ascii="Arial" w:eastAsia="Arial" w:hAnsi="Arial" w:cs="Arial"/>
      <w:sz w:val="22"/>
      <w:szCs w:val="22"/>
      <w:lang w:eastAsia="en-GB"/>
    </w:rPr>
  </w:style>
  <w:style w:type="paragraph" w:styleId="Footer">
    <w:name w:val="footer"/>
    <w:basedOn w:val="Normal"/>
    <w:link w:val="FooterChar"/>
    <w:uiPriority w:val="99"/>
    <w:unhideWhenUsed/>
    <w:rsid w:val="003B6CF9"/>
    <w:pPr>
      <w:tabs>
        <w:tab w:val="center" w:pos="4320"/>
        <w:tab w:val="right" w:pos="8640"/>
      </w:tabs>
      <w:spacing w:line="240" w:lineRule="auto"/>
    </w:pPr>
  </w:style>
  <w:style w:type="character" w:customStyle="1" w:styleId="FooterChar">
    <w:name w:val="Footer Char"/>
    <w:basedOn w:val="DefaultParagraphFont"/>
    <w:link w:val="Footer"/>
    <w:uiPriority w:val="99"/>
    <w:rsid w:val="003B6CF9"/>
    <w:rPr>
      <w:rFonts w:ascii="Arial" w:eastAsia="Arial" w:hAnsi="Arial" w:cs="Arial"/>
      <w:sz w:val="22"/>
      <w:szCs w:val="22"/>
      <w:lang w:eastAsia="en-GB"/>
    </w:rPr>
  </w:style>
  <w:style w:type="character" w:styleId="FollowedHyperlink">
    <w:name w:val="FollowedHyperlink"/>
    <w:basedOn w:val="DefaultParagraphFont"/>
    <w:uiPriority w:val="99"/>
    <w:semiHidden/>
    <w:unhideWhenUsed/>
    <w:rsid w:val="00402555"/>
    <w:rPr>
      <w:color w:val="800080" w:themeColor="followedHyperlink"/>
      <w:u w:val="single"/>
    </w:rPr>
  </w:style>
  <w:style w:type="character" w:styleId="CommentReference">
    <w:name w:val="annotation reference"/>
    <w:basedOn w:val="DefaultParagraphFont"/>
    <w:uiPriority w:val="99"/>
    <w:semiHidden/>
    <w:unhideWhenUsed/>
    <w:rsid w:val="00406BE2"/>
    <w:rPr>
      <w:sz w:val="16"/>
      <w:szCs w:val="16"/>
    </w:rPr>
  </w:style>
  <w:style w:type="paragraph" w:styleId="CommentText">
    <w:name w:val="annotation text"/>
    <w:basedOn w:val="Normal"/>
    <w:link w:val="CommentTextChar"/>
    <w:uiPriority w:val="99"/>
    <w:semiHidden/>
    <w:unhideWhenUsed/>
    <w:rsid w:val="00406BE2"/>
    <w:pPr>
      <w:spacing w:line="240" w:lineRule="auto"/>
    </w:pPr>
    <w:rPr>
      <w:sz w:val="20"/>
      <w:szCs w:val="20"/>
    </w:rPr>
  </w:style>
  <w:style w:type="character" w:customStyle="1" w:styleId="CommentTextChar">
    <w:name w:val="Comment Text Char"/>
    <w:basedOn w:val="DefaultParagraphFont"/>
    <w:link w:val="CommentText"/>
    <w:uiPriority w:val="99"/>
    <w:semiHidden/>
    <w:rsid w:val="00406BE2"/>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06BE2"/>
    <w:rPr>
      <w:b/>
      <w:bCs/>
    </w:rPr>
  </w:style>
  <w:style w:type="character" w:customStyle="1" w:styleId="CommentSubjectChar">
    <w:name w:val="Comment Subject Char"/>
    <w:basedOn w:val="CommentTextChar"/>
    <w:link w:val="CommentSubject"/>
    <w:uiPriority w:val="99"/>
    <w:semiHidden/>
    <w:rsid w:val="00406BE2"/>
    <w:rPr>
      <w:rFonts w:ascii="Arial" w:eastAsia="Arial" w:hAnsi="Arial" w:cs="Arial"/>
      <w:b/>
      <w:bCs/>
      <w:sz w:val="20"/>
      <w:szCs w:val="20"/>
      <w:lang w:eastAsia="en-GB"/>
    </w:rPr>
  </w:style>
  <w:style w:type="character" w:styleId="PageNumber">
    <w:name w:val="page number"/>
    <w:basedOn w:val="DefaultParagraphFont"/>
    <w:uiPriority w:val="99"/>
    <w:semiHidden/>
    <w:unhideWhenUsed/>
    <w:rsid w:val="00A67C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F9"/>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autoRedefine/>
    <w:uiPriority w:val="9"/>
    <w:qFormat/>
    <w:rsid w:val="00E95C7B"/>
    <w:pPr>
      <w:keepNext/>
      <w:keepLines/>
      <w:numPr>
        <w:numId w:val="6"/>
      </w:numPr>
      <w:spacing w:before="480" w:after="120"/>
      <w:outlineLvl w:val="0"/>
    </w:pPr>
    <w:rPr>
      <w:rFonts w:asciiTheme="majorHAnsi" w:eastAsia="Georgia" w:hAnsiTheme="majorHAnsi" w:cs="Georgia"/>
      <w:b/>
      <w:sz w:val="28"/>
      <w:szCs w:val="48"/>
      <w:lang w:val="en-GB"/>
    </w:rPr>
  </w:style>
  <w:style w:type="paragraph" w:styleId="Heading2">
    <w:name w:val="heading 2"/>
    <w:basedOn w:val="Normal"/>
    <w:next w:val="Normal"/>
    <w:link w:val="Heading2Char"/>
    <w:autoRedefine/>
    <w:uiPriority w:val="9"/>
    <w:unhideWhenUsed/>
    <w:qFormat/>
    <w:rsid w:val="00E95C7B"/>
    <w:pPr>
      <w:keepNext/>
      <w:keepLines/>
      <w:numPr>
        <w:numId w:val="2"/>
      </w:numPr>
      <w:spacing w:before="360" w:after="80"/>
      <w:outlineLvl w:val="1"/>
    </w:pPr>
    <w:rPr>
      <w:rFonts w:asciiTheme="majorHAnsi" w:eastAsia="Georgia" w:hAnsiTheme="majorHAnsi" w:cs="Georgia"/>
      <w:b/>
      <w:sz w:val="24"/>
      <w:szCs w:val="36"/>
      <w:lang w:val="en-US"/>
    </w:rPr>
  </w:style>
  <w:style w:type="paragraph" w:styleId="Heading3">
    <w:name w:val="heading 3"/>
    <w:basedOn w:val="Normal"/>
    <w:next w:val="Normal"/>
    <w:link w:val="Heading3Char"/>
    <w:autoRedefine/>
    <w:uiPriority w:val="9"/>
    <w:unhideWhenUsed/>
    <w:qFormat/>
    <w:rsid w:val="00E95C7B"/>
    <w:pPr>
      <w:keepNext/>
      <w:keepLines/>
      <w:numPr>
        <w:numId w:val="5"/>
      </w:numPr>
      <w:spacing w:before="280" w:after="80"/>
      <w:outlineLvl w:val="2"/>
    </w:pPr>
    <w:rPr>
      <w:rFonts w:asciiTheme="majorHAnsi" w:eastAsia="Georgia" w:hAnsiTheme="majorHAnsi" w:cs="Georgia"/>
      <w:b/>
      <w:sz w:val="24"/>
      <w:szCs w:val="28"/>
      <w:lang w:val="en-US"/>
    </w:rPr>
  </w:style>
  <w:style w:type="paragraph" w:styleId="Heading4">
    <w:name w:val="heading 4"/>
    <w:basedOn w:val="Normal"/>
    <w:next w:val="Normal"/>
    <w:link w:val="Heading4Char"/>
    <w:autoRedefine/>
    <w:uiPriority w:val="9"/>
    <w:unhideWhenUsed/>
    <w:qFormat/>
    <w:rsid w:val="00E95C7B"/>
    <w:pPr>
      <w:keepNext/>
      <w:keepLines/>
      <w:numPr>
        <w:numId w:val="4"/>
      </w:numPr>
      <w:spacing w:before="240" w:after="40"/>
      <w:outlineLvl w:val="3"/>
    </w:pPr>
    <w:rPr>
      <w:rFonts w:asciiTheme="majorHAnsi" w:eastAsia="Georgia" w:hAnsiTheme="majorHAnsi" w:cs="Georgia"/>
      <w:b/>
      <w:sz w:val="24"/>
      <w:lang w:val="en-US"/>
    </w:rPr>
  </w:style>
  <w:style w:type="paragraph" w:styleId="Heading5">
    <w:name w:val="heading 5"/>
    <w:basedOn w:val="Normal"/>
    <w:next w:val="Normal"/>
    <w:link w:val="Heading5Char"/>
    <w:autoRedefine/>
    <w:uiPriority w:val="9"/>
    <w:unhideWhenUsed/>
    <w:qFormat/>
    <w:rsid w:val="00E95C7B"/>
    <w:pPr>
      <w:keepNext/>
      <w:keepLines/>
      <w:spacing w:before="220" w:after="40"/>
      <w:outlineLvl w:val="4"/>
    </w:pPr>
    <w:rPr>
      <w:rFonts w:asciiTheme="majorHAnsi" w:eastAsia="Georgia" w:hAnsiTheme="majorHAnsi" w:cs="Georgia"/>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C7B"/>
    <w:rPr>
      <w:rFonts w:asciiTheme="majorHAnsi" w:eastAsia="Georgia" w:hAnsiTheme="majorHAnsi" w:cs="Georgia"/>
      <w:b/>
      <w:szCs w:val="36"/>
      <w:lang w:val="en-US"/>
    </w:rPr>
  </w:style>
  <w:style w:type="paragraph" w:styleId="BalloonText">
    <w:name w:val="Balloon Text"/>
    <w:basedOn w:val="Normal"/>
    <w:link w:val="BalloonTextChar"/>
    <w:uiPriority w:val="99"/>
    <w:semiHidden/>
    <w:unhideWhenUsed/>
    <w:rsid w:val="00761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1713"/>
    <w:rPr>
      <w:rFonts w:ascii="Lucida Grande" w:hAnsi="Lucida Grande" w:cs="Lucida Grande"/>
      <w:sz w:val="18"/>
      <w:szCs w:val="18"/>
    </w:rPr>
  </w:style>
  <w:style w:type="paragraph" w:styleId="FootnoteText">
    <w:name w:val="footnote text"/>
    <w:aliases w:val="5_G,FOOTNOTES,fn,single space,f,Footnote Text Char1,Footnote Text Char Char,Char,ft,ADB,WB-Fußnotentext,Fußnote,Geneva 9,Font: Geneva 9,Boston 10,12pt,12pt Знак,12pt Знак Знак Знак Знак Знак,12pt Знак Знак Знак Знак,12pt ????,12"/>
    <w:basedOn w:val="Normal"/>
    <w:link w:val="FootnoteTextChar"/>
    <w:autoRedefine/>
    <w:uiPriority w:val="99"/>
    <w:unhideWhenUsed/>
    <w:qFormat/>
    <w:rsid w:val="00E95C7B"/>
    <w:pPr>
      <w:contextualSpacing/>
    </w:pPr>
    <w:rPr>
      <w:rFonts w:asciiTheme="minorHAnsi" w:hAnsiTheme="minorHAnsi"/>
      <w:sz w:val="18"/>
    </w:rPr>
  </w:style>
  <w:style w:type="character" w:customStyle="1" w:styleId="FootnoteTextChar">
    <w:name w:val="Footnote Text Char"/>
    <w:aliases w:val="5_G Char,FOOTNOTES Char,fn Char,single space Char,f Char,Footnote Text Char1 Char,Footnote Text Char Char Char,Char Char1,ft Char,ADB Char,WB-Fußnotentext Char,Fußnote Char,Geneva 9 Char,Font: Geneva 9 Char,Boston 10 Char,12pt Char"/>
    <w:basedOn w:val="DefaultParagraphFont"/>
    <w:link w:val="FootnoteText"/>
    <w:uiPriority w:val="99"/>
    <w:rsid w:val="00E95C7B"/>
    <w:rPr>
      <w:rFonts w:eastAsia="Arial" w:cs="Arial"/>
      <w:sz w:val="18"/>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qFormat/>
    <w:rsid w:val="00FD709E"/>
    <w:rPr>
      <w:sz w:val="18"/>
      <w:vertAlign w:val="superscript"/>
      <w:lang w:val="fr-CH"/>
    </w:rPr>
  </w:style>
  <w:style w:type="paragraph" w:customStyle="1" w:styleId="Char2">
    <w:name w:val="Char2"/>
    <w:basedOn w:val="Normal"/>
    <w:link w:val="FootnoteReference"/>
    <w:autoRedefine/>
    <w:uiPriority w:val="99"/>
    <w:rsid w:val="00FD709E"/>
    <w:pPr>
      <w:spacing w:after="160" w:line="240" w:lineRule="exact"/>
    </w:pPr>
    <w:rPr>
      <w:rFonts w:asciiTheme="minorHAnsi" w:hAnsiTheme="minorHAnsi" w:cstheme="minorBidi"/>
      <w:sz w:val="18"/>
      <w:vertAlign w:val="superscript"/>
      <w:lang w:val="fr-CH"/>
    </w:rPr>
  </w:style>
  <w:style w:type="character" w:customStyle="1" w:styleId="Heading1Char">
    <w:name w:val="Heading 1 Char"/>
    <w:basedOn w:val="DefaultParagraphFont"/>
    <w:link w:val="Heading1"/>
    <w:uiPriority w:val="9"/>
    <w:rsid w:val="00E95C7B"/>
    <w:rPr>
      <w:rFonts w:asciiTheme="majorHAnsi" w:eastAsia="Georgia" w:hAnsiTheme="majorHAnsi" w:cs="Georgia"/>
      <w:b/>
      <w:sz w:val="28"/>
      <w:szCs w:val="48"/>
      <w:lang w:val="en-GB"/>
    </w:rPr>
  </w:style>
  <w:style w:type="paragraph" w:styleId="ListParagraph">
    <w:name w:val="List Paragraph"/>
    <w:basedOn w:val="Normal"/>
    <w:next w:val="BodyText"/>
    <w:autoRedefine/>
    <w:uiPriority w:val="34"/>
    <w:qFormat/>
    <w:rsid w:val="00E95C7B"/>
    <w:pPr>
      <w:numPr>
        <w:numId w:val="3"/>
      </w:numPr>
      <w:pBdr>
        <w:top w:val="nil"/>
        <w:left w:val="nil"/>
        <w:bottom w:val="nil"/>
        <w:right w:val="nil"/>
        <w:between w:val="nil"/>
      </w:pBdr>
      <w:contextualSpacing/>
      <w:jc w:val="both"/>
    </w:pPr>
    <w:rPr>
      <w:rFonts w:asciiTheme="majorHAnsi" w:eastAsia="Georgia" w:hAnsiTheme="majorHAnsi" w:cs="Georgia"/>
      <w:lang w:val="en-US"/>
    </w:rPr>
  </w:style>
  <w:style w:type="paragraph" w:styleId="BodyText">
    <w:name w:val="Body Text"/>
    <w:basedOn w:val="Normal"/>
    <w:link w:val="BodyTextChar"/>
    <w:uiPriority w:val="99"/>
    <w:semiHidden/>
    <w:unhideWhenUsed/>
    <w:rsid w:val="00E95C7B"/>
    <w:pPr>
      <w:spacing w:after="120"/>
    </w:pPr>
  </w:style>
  <w:style w:type="character" w:customStyle="1" w:styleId="BodyTextChar">
    <w:name w:val="Body Text Char"/>
    <w:basedOn w:val="DefaultParagraphFont"/>
    <w:link w:val="BodyText"/>
    <w:uiPriority w:val="99"/>
    <w:semiHidden/>
    <w:rsid w:val="00E95C7B"/>
    <w:rPr>
      <w:rFonts w:ascii="Cambria" w:hAnsi="Cambria" w:cs="Times New Roman"/>
      <w:sz w:val="22"/>
    </w:rPr>
  </w:style>
  <w:style w:type="paragraph" w:customStyle="1" w:styleId="Style1">
    <w:name w:val="Style1"/>
    <w:basedOn w:val="FootnoteText"/>
    <w:autoRedefine/>
    <w:qFormat/>
    <w:rsid w:val="00E95C7B"/>
    <w:pPr>
      <w:contextualSpacing w:val="0"/>
    </w:pPr>
    <w:rPr>
      <w:rFonts w:asciiTheme="majorHAnsi" w:eastAsia="Georgia" w:hAnsiTheme="majorHAnsi" w:cs="Georgia"/>
      <w:vertAlign w:val="superscript"/>
      <w:lang w:val="en-US"/>
    </w:rPr>
  </w:style>
  <w:style w:type="paragraph" w:customStyle="1" w:styleId="Footnotes">
    <w:name w:val="Footnotes"/>
    <w:basedOn w:val="Normal"/>
    <w:autoRedefine/>
    <w:qFormat/>
    <w:rsid w:val="00E95C7B"/>
    <w:rPr>
      <w:rFonts w:asciiTheme="majorHAnsi" w:eastAsia="Georgia" w:hAnsiTheme="majorHAnsi" w:cs="Georgia"/>
      <w:sz w:val="18"/>
      <w:szCs w:val="20"/>
      <w:lang w:val="en-US"/>
    </w:rPr>
  </w:style>
  <w:style w:type="character" w:customStyle="1" w:styleId="Heading4Char">
    <w:name w:val="Heading 4 Char"/>
    <w:basedOn w:val="DefaultParagraphFont"/>
    <w:link w:val="Heading4"/>
    <w:uiPriority w:val="9"/>
    <w:rsid w:val="00E95C7B"/>
    <w:rPr>
      <w:rFonts w:asciiTheme="majorHAnsi" w:eastAsia="Georgia" w:hAnsiTheme="majorHAnsi" w:cs="Georgia"/>
      <w:b/>
      <w:lang w:val="en-US"/>
    </w:rPr>
  </w:style>
  <w:style w:type="character" w:customStyle="1" w:styleId="Heading3Char">
    <w:name w:val="Heading 3 Char"/>
    <w:basedOn w:val="DefaultParagraphFont"/>
    <w:link w:val="Heading3"/>
    <w:uiPriority w:val="9"/>
    <w:rsid w:val="00E95C7B"/>
    <w:rPr>
      <w:rFonts w:asciiTheme="majorHAnsi" w:eastAsia="Georgia" w:hAnsiTheme="majorHAnsi" w:cs="Georgia"/>
      <w:b/>
      <w:szCs w:val="28"/>
      <w:lang w:val="en-US"/>
    </w:rPr>
  </w:style>
  <w:style w:type="character" w:customStyle="1" w:styleId="Heading5Char">
    <w:name w:val="Heading 5 Char"/>
    <w:basedOn w:val="DefaultParagraphFont"/>
    <w:link w:val="Heading5"/>
    <w:uiPriority w:val="9"/>
    <w:rsid w:val="00E95C7B"/>
    <w:rPr>
      <w:rFonts w:asciiTheme="majorHAnsi" w:eastAsia="Georgia" w:hAnsiTheme="majorHAnsi" w:cs="Georgia"/>
      <w:b/>
      <w:sz w:val="22"/>
      <w:szCs w:val="22"/>
      <w:u w:val="single"/>
      <w:lang w:val="en-US"/>
    </w:rPr>
  </w:style>
  <w:style w:type="character" w:styleId="Hyperlink">
    <w:name w:val="Hyperlink"/>
    <w:basedOn w:val="DefaultParagraphFont"/>
    <w:uiPriority w:val="99"/>
    <w:unhideWhenUsed/>
    <w:rsid w:val="003B6CF9"/>
    <w:rPr>
      <w:color w:val="0000FF"/>
      <w:u w:val="single"/>
    </w:rPr>
  </w:style>
  <w:style w:type="paragraph" w:styleId="Header">
    <w:name w:val="header"/>
    <w:basedOn w:val="Normal"/>
    <w:link w:val="HeaderChar"/>
    <w:uiPriority w:val="99"/>
    <w:unhideWhenUsed/>
    <w:rsid w:val="003B6CF9"/>
    <w:pPr>
      <w:tabs>
        <w:tab w:val="center" w:pos="4320"/>
        <w:tab w:val="right" w:pos="8640"/>
      </w:tabs>
      <w:spacing w:line="240" w:lineRule="auto"/>
    </w:pPr>
  </w:style>
  <w:style w:type="character" w:customStyle="1" w:styleId="HeaderChar">
    <w:name w:val="Header Char"/>
    <w:basedOn w:val="DefaultParagraphFont"/>
    <w:link w:val="Header"/>
    <w:uiPriority w:val="99"/>
    <w:rsid w:val="003B6CF9"/>
    <w:rPr>
      <w:rFonts w:ascii="Arial" w:eastAsia="Arial" w:hAnsi="Arial" w:cs="Arial"/>
      <w:sz w:val="22"/>
      <w:szCs w:val="22"/>
      <w:lang w:eastAsia="en-GB"/>
    </w:rPr>
  </w:style>
  <w:style w:type="paragraph" w:styleId="Footer">
    <w:name w:val="footer"/>
    <w:basedOn w:val="Normal"/>
    <w:link w:val="FooterChar"/>
    <w:uiPriority w:val="99"/>
    <w:unhideWhenUsed/>
    <w:rsid w:val="003B6CF9"/>
    <w:pPr>
      <w:tabs>
        <w:tab w:val="center" w:pos="4320"/>
        <w:tab w:val="right" w:pos="8640"/>
      </w:tabs>
      <w:spacing w:line="240" w:lineRule="auto"/>
    </w:pPr>
  </w:style>
  <w:style w:type="character" w:customStyle="1" w:styleId="FooterChar">
    <w:name w:val="Footer Char"/>
    <w:basedOn w:val="DefaultParagraphFont"/>
    <w:link w:val="Footer"/>
    <w:uiPriority w:val="99"/>
    <w:rsid w:val="003B6CF9"/>
    <w:rPr>
      <w:rFonts w:ascii="Arial" w:eastAsia="Arial" w:hAnsi="Arial" w:cs="Arial"/>
      <w:sz w:val="22"/>
      <w:szCs w:val="22"/>
      <w:lang w:eastAsia="en-GB"/>
    </w:rPr>
  </w:style>
  <w:style w:type="character" w:styleId="FollowedHyperlink">
    <w:name w:val="FollowedHyperlink"/>
    <w:basedOn w:val="DefaultParagraphFont"/>
    <w:uiPriority w:val="99"/>
    <w:semiHidden/>
    <w:unhideWhenUsed/>
    <w:rsid w:val="00402555"/>
    <w:rPr>
      <w:color w:val="800080" w:themeColor="followedHyperlink"/>
      <w:u w:val="single"/>
    </w:rPr>
  </w:style>
  <w:style w:type="character" w:styleId="CommentReference">
    <w:name w:val="annotation reference"/>
    <w:basedOn w:val="DefaultParagraphFont"/>
    <w:uiPriority w:val="99"/>
    <w:semiHidden/>
    <w:unhideWhenUsed/>
    <w:rsid w:val="00406BE2"/>
    <w:rPr>
      <w:sz w:val="16"/>
      <w:szCs w:val="16"/>
    </w:rPr>
  </w:style>
  <w:style w:type="paragraph" w:styleId="CommentText">
    <w:name w:val="annotation text"/>
    <w:basedOn w:val="Normal"/>
    <w:link w:val="CommentTextChar"/>
    <w:uiPriority w:val="99"/>
    <w:semiHidden/>
    <w:unhideWhenUsed/>
    <w:rsid w:val="00406BE2"/>
    <w:pPr>
      <w:spacing w:line="240" w:lineRule="auto"/>
    </w:pPr>
    <w:rPr>
      <w:sz w:val="20"/>
      <w:szCs w:val="20"/>
    </w:rPr>
  </w:style>
  <w:style w:type="character" w:customStyle="1" w:styleId="CommentTextChar">
    <w:name w:val="Comment Text Char"/>
    <w:basedOn w:val="DefaultParagraphFont"/>
    <w:link w:val="CommentText"/>
    <w:uiPriority w:val="99"/>
    <w:semiHidden/>
    <w:rsid w:val="00406BE2"/>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06BE2"/>
    <w:rPr>
      <w:b/>
      <w:bCs/>
    </w:rPr>
  </w:style>
  <w:style w:type="character" w:customStyle="1" w:styleId="CommentSubjectChar">
    <w:name w:val="Comment Subject Char"/>
    <w:basedOn w:val="CommentTextChar"/>
    <w:link w:val="CommentSubject"/>
    <w:uiPriority w:val="99"/>
    <w:semiHidden/>
    <w:rsid w:val="00406BE2"/>
    <w:rPr>
      <w:rFonts w:ascii="Arial" w:eastAsia="Arial" w:hAnsi="Arial" w:cs="Arial"/>
      <w:b/>
      <w:bCs/>
      <w:sz w:val="20"/>
      <w:szCs w:val="20"/>
      <w:lang w:eastAsia="en-GB"/>
    </w:rPr>
  </w:style>
  <w:style w:type="character" w:styleId="PageNumber">
    <w:name w:val="page number"/>
    <w:basedOn w:val="DefaultParagraphFont"/>
    <w:uiPriority w:val="99"/>
    <w:semiHidden/>
    <w:unhideWhenUsed/>
    <w:rsid w:val="00A6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5920">
      <w:bodyDiv w:val="1"/>
      <w:marLeft w:val="0"/>
      <w:marRight w:val="0"/>
      <w:marTop w:val="0"/>
      <w:marBottom w:val="0"/>
      <w:divBdr>
        <w:top w:val="none" w:sz="0" w:space="0" w:color="auto"/>
        <w:left w:val="none" w:sz="0" w:space="0" w:color="auto"/>
        <w:bottom w:val="none" w:sz="0" w:space="0" w:color="auto"/>
        <w:right w:val="none" w:sz="0" w:space="0" w:color="auto"/>
      </w:divBdr>
    </w:div>
    <w:div w:id="625694098">
      <w:bodyDiv w:val="1"/>
      <w:marLeft w:val="0"/>
      <w:marRight w:val="0"/>
      <w:marTop w:val="0"/>
      <w:marBottom w:val="0"/>
      <w:divBdr>
        <w:top w:val="none" w:sz="0" w:space="0" w:color="auto"/>
        <w:left w:val="none" w:sz="0" w:space="0" w:color="auto"/>
        <w:bottom w:val="none" w:sz="0" w:space="0" w:color="auto"/>
        <w:right w:val="none" w:sz="0" w:space="0" w:color="auto"/>
      </w:divBdr>
    </w:div>
    <w:div w:id="773786037">
      <w:bodyDiv w:val="1"/>
      <w:marLeft w:val="0"/>
      <w:marRight w:val="0"/>
      <w:marTop w:val="0"/>
      <w:marBottom w:val="0"/>
      <w:divBdr>
        <w:top w:val="none" w:sz="0" w:space="0" w:color="auto"/>
        <w:left w:val="none" w:sz="0" w:space="0" w:color="auto"/>
        <w:bottom w:val="none" w:sz="0" w:space="0" w:color="auto"/>
        <w:right w:val="none" w:sz="0" w:space="0" w:color="auto"/>
      </w:divBdr>
    </w:div>
    <w:div w:id="809981763">
      <w:bodyDiv w:val="1"/>
      <w:marLeft w:val="0"/>
      <w:marRight w:val="0"/>
      <w:marTop w:val="0"/>
      <w:marBottom w:val="0"/>
      <w:divBdr>
        <w:top w:val="none" w:sz="0" w:space="0" w:color="auto"/>
        <w:left w:val="none" w:sz="0" w:space="0" w:color="auto"/>
        <w:bottom w:val="none" w:sz="0" w:space="0" w:color="auto"/>
        <w:right w:val="none" w:sz="0" w:space="0" w:color="auto"/>
      </w:divBdr>
    </w:div>
    <w:div w:id="1161971492">
      <w:bodyDiv w:val="1"/>
      <w:marLeft w:val="0"/>
      <w:marRight w:val="0"/>
      <w:marTop w:val="0"/>
      <w:marBottom w:val="0"/>
      <w:divBdr>
        <w:top w:val="none" w:sz="0" w:space="0" w:color="auto"/>
        <w:left w:val="none" w:sz="0" w:space="0" w:color="auto"/>
        <w:bottom w:val="none" w:sz="0" w:space="0" w:color="auto"/>
        <w:right w:val="none" w:sz="0" w:space="0" w:color="auto"/>
      </w:divBdr>
    </w:div>
    <w:div w:id="1739084772">
      <w:bodyDiv w:val="1"/>
      <w:marLeft w:val="0"/>
      <w:marRight w:val="0"/>
      <w:marTop w:val="0"/>
      <w:marBottom w:val="0"/>
      <w:divBdr>
        <w:top w:val="none" w:sz="0" w:space="0" w:color="auto"/>
        <w:left w:val="none" w:sz="0" w:space="0" w:color="auto"/>
        <w:bottom w:val="none" w:sz="0" w:space="0" w:color="auto"/>
        <w:right w:val="none" w:sz="0" w:space="0" w:color="auto"/>
      </w:divBdr>
    </w:div>
    <w:div w:id="1889299555">
      <w:bodyDiv w:val="1"/>
      <w:marLeft w:val="0"/>
      <w:marRight w:val="0"/>
      <w:marTop w:val="0"/>
      <w:marBottom w:val="0"/>
      <w:divBdr>
        <w:top w:val="none" w:sz="0" w:space="0" w:color="auto"/>
        <w:left w:val="none" w:sz="0" w:space="0" w:color="auto"/>
        <w:bottom w:val="none" w:sz="0" w:space="0" w:color="auto"/>
        <w:right w:val="none" w:sz="0" w:space="0" w:color="auto"/>
      </w:divBdr>
    </w:div>
    <w:div w:id="19160889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customXml" Target="../customXml/item2.xml"/><Relationship Id="rId16" Type="http://schemas.microsoft.com/office/2016/09/relationships/commentsIds" Target="commentsIds.xml"/><Relationship Id="rId2" Type="http://schemas.openxmlformats.org/officeDocument/2006/relationships/numbering" Target="numbering.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customXml" Target="../customXml/item4.xml"/><Relationship Id="rId1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PDF/?uri=OJ:L:2017:130:FULL&amp;from=EN" TargetMode="External"/><Relationship Id="rId4" Type="http://schemas.openxmlformats.org/officeDocument/2006/relationships/hyperlink" Target="http://dx.doi.org/10.1787/9789264252479-en" TargetMode="External"/><Relationship Id="rId5" Type="http://schemas.openxmlformats.org/officeDocument/2006/relationships/hyperlink" Target="http://eur-lex.europa.eu/legal-content/EN/TXT/PDF/?uri=OJ:L:2017:130:FULL&amp;from=EN" TargetMode="External"/><Relationship Id="rId6" Type="http://schemas.openxmlformats.org/officeDocument/2006/relationships/hyperlink" Target="https://www.oecd.org/daf/inv/mne/OECD-Due-Diligence-Guidance-Minerals-Edition3.pdf" TargetMode="External"/><Relationship Id="rId7" Type="http://schemas.openxmlformats.org/officeDocument/2006/relationships/hyperlink" Target="https://www.unglobalcompact.org/docs/issues_doc/Peace_and_Business/Guidance_RB.pdf" TargetMode="External"/><Relationship Id="rId8" Type="http://schemas.openxmlformats.org/officeDocument/2006/relationships/hyperlink" Target="https://www.business-humanrights.org/sites/default/files/documents/Eminents%20Jurists%20Statement_Syria%20reconstruction.pdf" TargetMode="External"/><Relationship Id="rId9" Type="http://schemas.openxmlformats.org/officeDocument/2006/relationships/hyperlink" Target="https://www.ilo.org/dyn/normlex/en/f?p=NORMLEXPUB:12100:0::NO::P12100_INSTRUMENT_ID:3999810" TargetMode="External"/><Relationship Id="rId1" Type="http://schemas.openxmlformats.org/officeDocument/2006/relationships/hyperlink" Target="https://www.ohchr.org/Documents/Issues/Business/OPTStatement6June2014.pdf" TargetMode="External"/><Relationship Id="rId2" Type="http://schemas.openxmlformats.org/officeDocument/2006/relationships/hyperlink" Target="https://documents-dds-ny.un.org/doc/UNDOC/GEN/G18/021/93/PDF/G1802193.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901746-E484-8E43-94E3-13BF0F3B7A80}">
  <ds:schemaRefs>
    <ds:schemaRef ds:uri="http://schemas.openxmlformats.org/officeDocument/2006/bibliography"/>
  </ds:schemaRefs>
</ds:datastoreItem>
</file>

<file path=customXml/itemProps2.xml><?xml version="1.0" encoding="utf-8"?>
<ds:datastoreItem xmlns:ds="http://schemas.openxmlformats.org/officeDocument/2006/customXml" ds:itemID="{2DFED5B6-4DB9-47C3-B9E1-B02D99048AE1}"/>
</file>

<file path=customXml/itemProps3.xml><?xml version="1.0" encoding="utf-8"?>
<ds:datastoreItem xmlns:ds="http://schemas.openxmlformats.org/officeDocument/2006/customXml" ds:itemID="{515D4830-9705-4F83-99C5-DD0F9E2B10E4}"/>
</file>

<file path=customXml/itemProps4.xml><?xml version="1.0" encoding="utf-8"?>
<ds:datastoreItem xmlns:ds="http://schemas.openxmlformats.org/officeDocument/2006/customXml" ds:itemID="{A0F263EC-E19B-47EC-B0BF-7792FD9FD918}"/>
</file>

<file path=docProps/app.xml><?xml version="1.0" encoding="utf-8"?>
<Properties xmlns="http://schemas.openxmlformats.org/officeDocument/2006/extended-properties" xmlns:vt="http://schemas.openxmlformats.org/officeDocument/2006/docPropsVTypes">
  <Template>Normal.dotm</Template>
  <TotalTime>7</TotalTime>
  <Pages>3</Pages>
  <Words>604</Words>
  <Characters>3554</Characters>
  <Application>Microsoft Macintosh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WILPF</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WILPF WILPF</dc:creator>
  <cp:keywords/>
  <dc:description/>
  <cp:lastModifiedBy>WILPF WILPF</cp:lastModifiedBy>
  <cp:revision>6</cp:revision>
  <dcterms:created xsi:type="dcterms:W3CDTF">2019-10-17T09:33:00Z</dcterms:created>
  <dcterms:modified xsi:type="dcterms:W3CDTF">2019-10-22T09:31:00Z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