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747B8" w14:textId="77777777" w:rsidR="00940158" w:rsidRDefault="00940158" w:rsidP="00CB3333">
      <w:pPr>
        <w:spacing w:line="276" w:lineRule="auto"/>
        <w:jc w:val="both"/>
        <w:rPr>
          <w:rFonts w:ascii="Calibri" w:hAnsi="Calibri"/>
          <w:color w:val="000000"/>
          <w:szCs w:val="22"/>
          <w:lang w:val="en-US"/>
        </w:rPr>
      </w:pPr>
    </w:p>
    <w:p w14:paraId="18374985" w14:textId="77777777" w:rsidR="00940158" w:rsidRDefault="00940158" w:rsidP="00CB3333">
      <w:pPr>
        <w:spacing w:line="276" w:lineRule="auto"/>
        <w:jc w:val="center"/>
        <w:rPr>
          <w:rFonts w:ascii="Calibri" w:hAnsi="Calibri" w:cs="Calibri"/>
          <w:b/>
          <w:bCs/>
          <w:color w:val="000000"/>
          <w:sz w:val="24"/>
          <w:lang w:val="en-US"/>
        </w:rPr>
      </w:pPr>
      <w:r w:rsidRPr="00130854">
        <w:rPr>
          <w:rFonts w:ascii="Calibri" w:hAnsi="Calibri" w:cs="Calibri"/>
          <w:b/>
          <w:bCs/>
          <w:color w:val="000000"/>
          <w:sz w:val="24"/>
          <w:lang w:val="en-US"/>
        </w:rPr>
        <w:t>Open-ended intergovernmental working group on transnational corporations and other business enterprises with respect to human rights</w:t>
      </w:r>
    </w:p>
    <w:p w14:paraId="1C0C2778" w14:textId="77777777" w:rsidR="00940158" w:rsidRPr="00130854" w:rsidRDefault="00940158" w:rsidP="00CB3333">
      <w:pPr>
        <w:spacing w:line="276" w:lineRule="auto"/>
        <w:jc w:val="center"/>
        <w:rPr>
          <w:rFonts w:ascii="Calibri" w:hAnsi="Calibri" w:cs="Calibri"/>
          <w:sz w:val="24"/>
          <w:lang w:val="en-US"/>
        </w:rPr>
      </w:pPr>
    </w:p>
    <w:p w14:paraId="1952EA42" w14:textId="77777777" w:rsidR="00940158" w:rsidRPr="00130854" w:rsidRDefault="00940158" w:rsidP="00CB3333">
      <w:pPr>
        <w:spacing w:line="276" w:lineRule="auto"/>
        <w:jc w:val="center"/>
        <w:rPr>
          <w:rFonts w:ascii="Calibri" w:hAnsi="Calibri" w:cs="Calibri"/>
          <w:sz w:val="24"/>
          <w:lang w:val="en-US"/>
        </w:rPr>
      </w:pPr>
      <w:r w:rsidRPr="00130854">
        <w:rPr>
          <w:rFonts w:ascii="Calibri" w:hAnsi="Calibri" w:cs="Calibri"/>
          <w:b/>
          <w:bCs/>
          <w:i/>
          <w:iCs/>
          <w:color w:val="000000"/>
          <w:sz w:val="24"/>
          <w:lang w:val="en-US"/>
        </w:rPr>
        <w:t>Fifth session (14-18 October 2019)</w:t>
      </w:r>
    </w:p>
    <w:p w14:paraId="1CF19A47" w14:textId="77777777" w:rsidR="00940158" w:rsidRDefault="00940158" w:rsidP="00CB3333">
      <w:pPr>
        <w:spacing w:line="276" w:lineRule="auto"/>
        <w:jc w:val="both"/>
        <w:rPr>
          <w:rFonts w:ascii="Calibri" w:hAnsi="Calibri"/>
          <w:color w:val="000000"/>
          <w:szCs w:val="22"/>
          <w:lang w:val="en-US"/>
        </w:rPr>
      </w:pPr>
    </w:p>
    <w:p w14:paraId="7BB86763" w14:textId="77777777" w:rsidR="00940158" w:rsidRPr="00AF0B77" w:rsidRDefault="00F37548" w:rsidP="00CB3333">
      <w:pPr>
        <w:spacing w:line="276" w:lineRule="auto"/>
        <w:jc w:val="center"/>
        <w:rPr>
          <w:rFonts w:ascii="Calibri" w:hAnsi="Calibri"/>
          <w:b/>
          <w:i/>
          <w:color w:val="000000"/>
          <w:szCs w:val="22"/>
          <w:lang w:val="en-US"/>
        </w:rPr>
      </w:pPr>
      <w:r>
        <w:rPr>
          <w:rFonts w:ascii="Calibri" w:hAnsi="Calibri"/>
          <w:b/>
          <w:i/>
          <w:color w:val="000000"/>
          <w:szCs w:val="22"/>
          <w:lang w:val="en-US"/>
        </w:rPr>
        <w:t xml:space="preserve">Article 5 Prevention </w:t>
      </w:r>
    </w:p>
    <w:p w14:paraId="6C6339BF" w14:textId="77777777" w:rsidR="00940158" w:rsidRDefault="00940158" w:rsidP="00CB3333">
      <w:pPr>
        <w:spacing w:line="276" w:lineRule="auto"/>
        <w:jc w:val="both"/>
        <w:rPr>
          <w:rFonts w:ascii="Calibri" w:hAnsi="Calibri"/>
          <w:color w:val="000000"/>
          <w:szCs w:val="22"/>
          <w:lang w:val="en-US"/>
        </w:rPr>
      </w:pPr>
    </w:p>
    <w:p w14:paraId="35AB4D19" w14:textId="77777777" w:rsidR="00940158" w:rsidRDefault="00940158" w:rsidP="00CB3333">
      <w:pPr>
        <w:spacing w:line="276" w:lineRule="auto"/>
        <w:jc w:val="both"/>
        <w:rPr>
          <w:rFonts w:ascii="Calibri" w:hAnsi="Calibri"/>
          <w:color w:val="000000"/>
          <w:szCs w:val="22"/>
          <w:lang w:val="en-US"/>
        </w:rPr>
      </w:pPr>
    </w:p>
    <w:p w14:paraId="57C853DC" w14:textId="647B526F" w:rsidR="006A35C7" w:rsidRDefault="00C17F44" w:rsidP="00CB3333">
      <w:pPr>
        <w:spacing w:line="276" w:lineRule="auto"/>
        <w:jc w:val="both"/>
        <w:rPr>
          <w:rFonts w:ascii="Calibri" w:hAnsi="Calibri"/>
          <w:color w:val="000000"/>
          <w:szCs w:val="22"/>
          <w:lang w:val="en-US"/>
        </w:rPr>
      </w:pPr>
      <w:r w:rsidRPr="004E5C00">
        <w:rPr>
          <w:rFonts w:ascii="Calibri" w:hAnsi="Calibri"/>
          <w:color w:val="000000"/>
          <w:szCs w:val="22"/>
          <w:lang w:val="en-US"/>
        </w:rPr>
        <w:t xml:space="preserve">This statement is made on behalf of </w:t>
      </w:r>
      <w:r>
        <w:rPr>
          <w:rFonts w:ascii="Calibri" w:hAnsi="Calibri"/>
          <w:color w:val="000000"/>
          <w:szCs w:val="22"/>
          <w:lang w:val="en-US"/>
        </w:rPr>
        <w:t>WILPF</w:t>
      </w:r>
      <w:r w:rsidRPr="004E5C00">
        <w:rPr>
          <w:rFonts w:ascii="Calibri" w:hAnsi="Calibri"/>
          <w:color w:val="000000"/>
          <w:szCs w:val="22"/>
          <w:lang w:val="en-US"/>
        </w:rPr>
        <w:t xml:space="preserve"> and</w:t>
      </w:r>
      <w:r>
        <w:rPr>
          <w:rFonts w:ascii="Calibri" w:hAnsi="Calibri"/>
          <w:color w:val="000000"/>
          <w:szCs w:val="22"/>
          <w:lang w:val="en-US"/>
        </w:rPr>
        <w:t xml:space="preserve"> </w:t>
      </w:r>
      <w:r w:rsidRPr="004E5C00">
        <w:rPr>
          <w:rFonts w:ascii="Calibri" w:hAnsi="Calibri"/>
          <w:color w:val="000000"/>
          <w:szCs w:val="22"/>
          <w:lang w:val="en-US"/>
        </w:rPr>
        <w:t>members</w:t>
      </w:r>
      <w:r>
        <w:rPr>
          <w:rStyle w:val="FootnoteReference"/>
          <w:rFonts w:ascii="Calibri" w:hAnsi="Calibri"/>
          <w:color w:val="000000"/>
          <w:szCs w:val="22"/>
        </w:rPr>
        <w:footnoteReference w:id="1"/>
      </w:r>
      <w:r w:rsidRPr="004E5C00">
        <w:rPr>
          <w:rFonts w:ascii="Calibri" w:hAnsi="Calibri"/>
          <w:color w:val="000000"/>
          <w:szCs w:val="22"/>
          <w:lang w:val="en-US"/>
        </w:rPr>
        <w:t xml:space="preserve"> of the #Feminists4</w:t>
      </w:r>
      <w:r w:rsidR="00D15BE0">
        <w:rPr>
          <w:rFonts w:ascii="Calibri" w:hAnsi="Calibri"/>
          <w:color w:val="000000"/>
          <w:szCs w:val="22"/>
          <w:lang w:val="en-US"/>
        </w:rPr>
        <w:t>B</w:t>
      </w:r>
      <w:r w:rsidRPr="004E5C00">
        <w:rPr>
          <w:rFonts w:ascii="Calibri" w:hAnsi="Calibri"/>
          <w:color w:val="000000"/>
          <w:szCs w:val="22"/>
          <w:lang w:val="en-US"/>
        </w:rPr>
        <w:t>inding</w:t>
      </w:r>
      <w:r w:rsidR="00D15BE0">
        <w:rPr>
          <w:rFonts w:ascii="Calibri" w:hAnsi="Calibri"/>
          <w:color w:val="000000"/>
          <w:szCs w:val="22"/>
          <w:lang w:val="en-US"/>
        </w:rPr>
        <w:t>T</w:t>
      </w:r>
      <w:r w:rsidRPr="004E5C00">
        <w:rPr>
          <w:rFonts w:ascii="Calibri" w:hAnsi="Calibri"/>
          <w:color w:val="000000"/>
          <w:szCs w:val="22"/>
          <w:lang w:val="en-US"/>
        </w:rPr>
        <w:t xml:space="preserve">reaty. </w:t>
      </w:r>
      <w:r w:rsidR="00940158" w:rsidRPr="00940158">
        <w:rPr>
          <w:rFonts w:ascii="Calibri" w:hAnsi="Calibri"/>
          <w:color w:val="000000"/>
          <w:szCs w:val="22"/>
          <w:lang w:val="en-US"/>
        </w:rPr>
        <w:t xml:space="preserve">We welcome the recognition of mandatory human rights due diligence as a central component of the measures needed to prevent human rights violations and abuses in the context of business activities. The recognition of an obligation to exercise human rights due diligence </w:t>
      </w:r>
      <w:r w:rsidR="00940158" w:rsidRPr="001144A9">
        <w:rPr>
          <w:rFonts w:ascii="Calibri" w:hAnsi="Calibri"/>
          <w:i/>
          <w:iCs/>
          <w:color w:val="000000"/>
          <w:szCs w:val="22"/>
          <w:lang w:val="en-US"/>
        </w:rPr>
        <w:t>per se</w:t>
      </w:r>
      <w:r w:rsidR="00940158" w:rsidRPr="00940158">
        <w:rPr>
          <w:rFonts w:ascii="Calibri" w:hAnsi="Calibri"/>
          <w:color w:val="000000"/>
          <w:szCs w:val="22"/>
          <w:lang w:val="en-US"/>
        </w:rPr>
        <w:t xml:space="preserve"> implies that businesses </w:t>
      </w:r>
      <w:r w:rsidR="00D15BE0">
        <w:rPr>
          <w:rFonts w:ascii="Calibri" w:hAnsi="Calibri"/>
          <w:color w:val="000000"/>
          <w:szCs w:val="22"/>
          <w:lang w:val="en-US"/>
        </w:rPr>
        <w:t>that</w:t>
      </w:r>
      <w:r w:rsidR="00D15BE0" w:rsidRPr="00940158">
        <w:rPr>
          <w:rFonts w:ascii="Calibri" w:hAnsi="Calibri"/>
          <w:color w:val="000000"/>
          <w:szCs w:val="22"/>
          <w:lang w:val="en-US"/>
        </w:rPr>
        <w:t xml:space="preserve"> </w:t>
      </w:r>
      <w:r w:rsidR="00940158" w:rsidRPr="00940158">
        <w:rPr>
          <w:rFonts w:ascii="Calibri" w:hAnsi="Calibri"/>
          <w:color w:val="000000"/>
          <w:szCs w:val="22"/>
          <w:lang w:val="en-US"/>
        </w:rPr>
        <w:t xml:space="preserve">do not comply with this obligation shall be held accountable. </w:t>
      </w:r>
      <w:r w:rsidR="00D15BE0">
        <w:rPr>
          <w:rFonts w:ascii="Calibri" w:hAnsi="Calibri"/>
          <w:color w:val="000000"/>
          <w:szCs w:val="22"/>
          <w:lang w:val="en-US"/>
        </w:rPr>
        <w:t>N</w:t>
      </w:r>
      <w:r w:rsidR="00940158" w:rsidRPr="00940158">
        <w:rPr>
          <w:rFonts w:ascii="Calibri" w:hAnsi="Calibri"/>
          <w:color w:val="000000"/>
          <w:szCs w:val="22"/>
          <w:lang w:val="en-US"/>
        </w:rPr>
        <w:t xml:space="preserve">evertheless </w:t>
      </w:r>
      <w:r w:rsidR="00D15BE0">
        <w:rPr>
          <w:rFonts w:ascii="Calibri" w:hAnsi="Calibri"/>
          <w:color w:val="000000"/>
          <w:szCs w:val="22"/>
          <w:lang w:val="en-US"/>
        </w:rPr>
        <w:t xml:space="preserve">it </w:t>
      </w:r>
      <w:r w:rsidR="00D15BE0" w:rsidRPr="00940158">
        <w:rPr>
          <w:rFonts w:ascii="Calibri" w:hAnsi="Calibri"/>
          <w:color w:val="000000"/>
          <w:szCs w:val="22"/>
          <w:lang w:val="en-US"/>
        </w:rPr>
        <w:t xml:space="preserve">should </w:t>
      </w:r>
      <w:r w:rsidR="00940158" w:rsidRPr="00940158">
        <w:rPr>
          <w:rFonts w:ascii="Calibri" w:hAnsi="Calibri"/>
          <w:color w:val="000000"/>
          <w:szCs w:val="22"/>
          <w:lang w:val="en-US"/>
        </w:rPr>
        <w:t xml:space="preserve">also be made clear that compliance with this obligation does not automatically shield businesses from liability for human rights abuses. </w:t>
      </w:r>
    </w:p>
    <w:p w14:paraId="09F179A6" w14:textId="77777777" w:rsidR="006A35C7" w:rsidRDefault="006A35C7" w:rsidP="00CB3333">
      <w:pPr>
        <w:spacing w:line="276" w:lineRule="auto"/>
        <w:jc w:val="both"/>
        <w:rPr>
          <w:rFonts w:ascii="Calibri" w:hAnsi="Calibri"/>
          <w:color w:val="000000"/>
          <w:szCs w:val="22"/>
          <w:lang w:val="en-US"/>
        </w:rPr>
      </w:pPr>
    </w:p>
    <w:p w14:paraId="07B9838A" w14:textId="1C7C2C46" w:rsidR="00940158" w:rsidRPr="00940158" w:rsidRDefault="00940158" w:rsidP="00CB3333">
      <w:pPr>
        <w:spacing w:line="276" w:lineRule="auto"/>
        <w:jc w:val="both"/>
        <w:rPr>
          <w:rFonts w:ascii="Times New Roman" w:hAnsi="Times New Roman"/>
          <w:sz w:val="20"/>
          <w:szCs w:val="20"/>
          <w:lang w:val="en-US"/>
        </w:rPr>
      </w:pPr>
      <w:r w:rsidRPr="00940158">
        <w:rPr>
          <w:rFonts w:ascii="Calibri" w:hAnsi="Calibri"/>
          <w:b/>
          <w:bCs/>
          <w:color w:val="000000"/>
          <w:szCs w:val="22"/>
          <w:lang w:val="en-US"/>
        </w:rPr>
        <w:t xml:space="preserve">The scope of human rights due diligence obligations and of associated mechanisms for liability are crucially tied to the definitions of “contractual relationships” and of “business relationships”. </w:t>
      </w:r>
      <w:r w:rsidRPr="00940158">
        <w:rPr>
          <w:rFonts w:ascii="Calibri" w:hAnsi="Calibri"/>
          <w:bCs/>
          <w:color w:val="000000"/>
          <w:szCs w:val="22"/>
          <w:lang w:val="en-US"/>
        </w:rPr>
        <w:t>As mentioned in our statement on article 1, these definitions must be aligned with the definitions elaborated by Treaty Bodies, Special Procedures, and the UNGPs</w:t>
      </w:r>
      <w:r w:rsidR="00D15BE0">
        <w:rPr>
          <w:rFonts w:ascii="Calibri" w:hAnsi="Calibri"/>
          <w:bCs/>
          <w:color w:val="000000"/>
          <w:szCs w:val="22"/>
          <w:lang w:val="en-US"/>
        </w:rPr>
        <w:t xml:space="preserve">. Thus, they </w:t>
      </w:r>
      <w:r w:rsidRPr="00940158">
        <w:rPr>
          <w:rFonts w:ascii="Calibri" w:hAnsi="Calibri"/>
          <w:bCs/>
          <w:color w:val="000000"/>
          <w:szCs w:val="22"/>
          <w:lang w:val="en-US"/>
        </w:rPr>
        <w:t>must be updated accordingly in article 5</w:t>
      </w:r>
      <w:r w:rsidR="00D15BE0">
        <w:rPr>
          <w:rFonts w:ascii="Calibri" w:hAnsi="Calibri"/>
          <w:bCs/>
          <w:color w:val="000000"/>
          <w:szCs w:val="22"/>
          <w:lang w:val="en-US"/>
        </w:rPr>
        <w:t xml:space="preserve"> on Prevention</w:t>
      </w:r>
      <w:r w:rsidRPr="00940158">
        <w:rPr>
          <w:rFonts w:ascii="Calibri" w:hAnsi="Calibri"/>
          <w:bCs/>
          <w:color w:val="000000"/>
          <w:szCs w:val="22"/>
          <w:lang w:val="en-US"/>
        </w:rPr>
        <w:t>. </w:t>
      </w:r>
    </w:p>
    <w:p w14:paraId="72F7F53C" w14:textId="77777777" w:rsidR="00940158" w:rsidRPr="00940158" w:rsidRDefault="00940158" w:rsidP="00CB3333">
      <w:pPr>
        <w:spacing w:line="276" w:lineRule="auto"/>
        <w:rPr>
          <w:rFonts w:ascii="Times New Roman" w:eastAsia="Times New Roman" w:hAnsi="Times New Roman"/>
          <w:sz w:val="20"/>
          <w:szCs w:val="20"/>
          <w:lang w:val="en-US"/>
        </w:rPr>
      </w:pPr>
    </w:p>
    <w:p w14:paraId="2D87F02A" w14:textId="4A2EB1AB" w:rsidR="00940158" w:rsidRDefault="00D15BE0" w:rsidP="00CB3333">
      <w:pPr>
        <w:spacing w:line="276" w:lineRule="auto"/>
        <w:jc w:val="both"/>
        <w:rPr>
          <w:rFonts w:ascii="Calibri" w:hAnsi="Calibri"/>
          <w:color w:val="000000"/>
          <w:szCs w:val="22"/>
          <w:lang w:val="en-US"/>
        </w:rPr>
      </w:pPr>
      <w:r>
        <w:rPr>
          <w:rFonts w:ascii="Calibri" w:hAnsi="Calibri"/>
          <w:b/>
          <w:bCs/>
          <w:color w:val="000000"/>
          <w:szCs w:val="22"/>
          <w:lang w:val="en-US"/>
        </w:rPr>
        <w:t xml:space="preserve">Moreover, </w:t>
      </w:r>
      <w:r w:rsidR="00940158" w:rsidRPr="00940158">
        <w:rPr>
          <w:rFonts w:ascii="Calibri" w:hAnsi="Calibri"/>
          <w:b/>
          <w:bCs/>
          <w:color w:val="000000"/>
          <w:szCs w:val="22"/>
          <w:lang w:val="en-US"/>
        </w:rPr>
        <w:t xml:space="preserve">Article 5 should be strengthened through </w:t>
      </w:r>
      <w:r>
        <w:rPr>
          <w:rFonts w:ascii="Calibri" w:hAnsi="Calibri"/>
          <w:b/>
          <w:bCs/>
          <w:color w:val="000000"/>
          <w:szCs w:val="22"/>
          <w:lang w:val="en-US"/>
        </w:rPr>
        <w:t xml:space="preserve">an </w:t>
      </w:r>
      <w:r w:rsidR="00940158" w:rsidRPr="00940158">
        <w:rPr>
          <w:rFonts w:ascii="Calibri" w:hAnsi="Calibri"/>
          <w:b/>
          <w:bCs/>
          <w:color w:val="000000"/>
          <w:szCs w:val="22"/>
          <w:lang w:val="en-US"/>
        </w:rPr>
        <w:t>explicit reference to gender-</w:t>
      </w:r>
      <w:r w:rsidR="001144A9">
        <w:rPr>
          <w:rFonts w:ascii="Calibri" w:hAnsi="Calibri"/>
          <w:b/>
          <w:bCs/>
          <w:color w:val="000000"/>
          <w:szCs w:val="22"/>
          <w:lang w:val="en-US"/>
        </w:rPr>
        <w:t>respons</w:t>
      </w:r>
      <w:r w:rsidR="00940158" w:rsidRPr="00940158">
        <w:rPr>
          <w:rFonts w:ascii="Calibri" w:hAnsi="Calibri"/>
          <w:b/>
          <w:bCs/>
          <w:color w:val="000000"/>
          <w:szCs w:val="22"/>
          <w:lang w:val="en-US"/>
        </w:rPr>
        <w:t>ive assessment.</w:t>
      </w:r>
      <w:r w:rsidR="00940158" w:rsidRPr="00940158">
        <w:rPr>
          <w:rFonts w:ascii="Calibri" w:hAnsi="Calibri"/>
          <w:color w:val="000000"/>
          <w:szCs w:val="22"/>
          <w:lang w:val="en-US"/>
        </w:rPr>
        <w:t xml:space="preserve"> </w:t>
      </w:r>
      <w:r>
        <w:rPr>
          <w:rFonts w:ascii="Calibri" w:hAnsi="Calibri"/>
          <w:color w:val="000000"/>
          <w:szCs w:val="22"/>
          <w:lang w:val="en-US"/>
        </w:rPr>
        <w:t>We stress that g</w:t>
      </w:r>
      <w:r w:rsidR="00940158" w:rsidRPr="00940158">
        <w:rPr>
          <w:rFonts w:ascii="Calibri" w:hAnsi="Calibri"/>
          <w:color w:val="000000"/>
          <w:szCs w:val="22"/>
          <w:lang w:val="en-US"/>
        </w:rPr>
        <w:t>ender-</w:t>
      </w:r>
      <w:r w:rsidR="001144A9">
        <w:rPr>
          <w:rFonts w:ascii="Calibri" w:hAnsi="Calibri"/>
          <w:color w:val="000000"/>
          <w:szCs w:val="22"/>
          <w:lang w:val="en-US"/>
        </w:rPr>
        <w:t>responsi</w:t>
      </w:r>
      <w:r w:rsidR="001144A9" w:rsidRPr="00940158">
        <w:rPr>
          <w:rFonts w:ascii="Calibri" w:hAnsi="Calibri"/>
          <w:color w:val="000000"/>
          <w:szCs w:val="22"/>
          <w:lang w:val="en-US"/>
        </w:rPr>
        <w:t xml:space="preserve">ve </w:t>
      </w:r>
      <w:r w:rsidR="00940158" w:rsidRPr="00940158">
        <w:rPr>
          <w:rFonts w:ascii="Calibri" w:hAnsi="Calibri"/>
          <w:color w:val="000000"/>
          <w:szCs w:val="22"/>
          <w:lang w:val="en-US"/>
        </w:rPr>
        <w:t>assessment must be conducted with the meaningful participation of women from all affected communities</w:t>
      </w:r>
      <w:r>
        <w:rPr>
          <w:rFonts w:ascii="Calibri" w:hAnsi="Calibri"/>
          <w:color w:val="000000"/>
          <w:szCs w:val="22"/>
          <w:lang w:val="en-US"/>
        </w:rPr>
        <w:t xml:space="preserve"> </w:t>
      </w:r>
      <w:r w:rsidR="00940158" w:rsidRPr="00940158">
        <w:rPr>
          <w:rFonts w:ascii="Calibri" w:hAnsi="Calibri"/>
          <w:color w:val="000000"/>
          <w:szCs w:val="22"/>
          <w:lang w:val="en-US"/>
        </w:rPr>
        <w:t xml:space="preserve">as well as relevant women’s </w:t>
      </w:r>
      <w:proofErr w:type="spellStart"/>
      <w:r w:rsidR="00940158" w:rsidRPr="00940158">
        <w:rPr>
          <w:rFonts w:ascii="Calibri" w:hAnsi="Calibri"/>
          <w:color w:val="000000"/>
          <w:szCs w:val="22"/>
          <w:lang w:val="en-US"/>
        </w:rPr>
        <w:t>organisations</w:t>
      </w:r>
      <w:proofErr w:type="spellEnd"/>
      <w:r w:rsidR="00940158" w:rsidRPr="00940158">
        <w:rPr>
          <w:rFonts w:ascii="Calibri" w:hAnsi="Calibri"/>
          <w:color w:val="000000"/>
          <w:szCs w:val="22"/>
          <w:lang w:val="en-US"/>
        </w:rPr>
        <w:t xml:space="preserve"> and gender experts, and </w:t>
      </w:r>
      <w:r>
        <w:rPr>
          <w:rFonts w:ascii="Calibri" w:hAnsi="Calibri"/>
          <w:color w:val="000000"/>
          <w:szCs w:val="22"/>
          <w:lang w:val="en-US"/>
        </w:rPr>
        <w:t xml:space="preserve">must </w:t>
      </w:r>
      <w:r w:rsidR="00940158" w:rsidRPr="00940158">
        <w:rPr>
          <w:rFonts w:ascii="Calibri" w:hAnsi="Calibri"/>
          <w:color w:val="000000"/>
          <w:szCs w:val="22"/>
          <w:lang w:val="en-US"/>
        </w:rPr>
        <w:t xml:space="preserve">take into account, </w:t>
      </w:r>
      <w:r w:rsidR="00940158" w:rsidRPr="001144A9">
        <w:rPr>
          <w:rFonts w:ascii="Calibri" w:hAnsi="Calibri"/>
          <w:i/>
          <w:iCs/>
          <w:color w:val="000000"/>
          <w:szCs w:val="22"/>
          <w:lang w:val="en-US"/>
        </w:rPr>
        <w:t>inter alia</w:t>
      </w:r>
      <w:r w:rsidR="00940158" w:rsidRPr="00940158">
        <w:rPr>
          <w:rFonts w:ascii="Calibri" w:hAnsi="Calibri"/>
          <w:color w:val="000000"/>
          <w:szCs w:val="22"/>
          <w:lang w:val="en-US"/>
        </w:rPr>
        <w:t xml:space="preserve">, impact of </w:t>
      </w:r>
      <w:r>
        <w:rPr>
          <w:rFonts w:ascii="Calibri" w:hAnsi="Calibri"/>
          <w:color w:val="000000"/>
          <w:szCs w:val="22"/>
          <w:lang w:val="en-US"/>
        </w:rPr>
        <w:t xml:space="preserve">business </w:t>
      </w:r>
      <w:r w:rsidR="00940158" w:rsidRPr="00940158">
        <w:rPr>
          <w:rFonts w:ascii="Calibri" w:hAnsi="Calibri"/>
          <w:color w:val="000000"/>
          <w:szCs w:val="22"/>
          <w:lang w:val="en-US"/>
        </w:rPr>
        <w:t xml:space="preserve">operations on gender roles and gender-based discrimination. </w:t>
      </w:r>
      <w:r>
        <w:rPr>
          <w:rFonts w:ascii="Calibri" w:hAnsi="Calibri"/>
          <w:color w:val="000000"/>
          <w:szCs w:val="22"/>
          <w:lang w:val="en-US"/>
        </w:rPr>
        <w:t>M</w:t>
      </w:r>
      <w:r w:rsidR="00940158" w:rsidRPr="00940158">
        <w:rPr>
          <w:rFonts w:ascii="Calibri" w:hAnsi="Calibri"/>
          <w:color w:val="000000"/>
          <w:szCs w:val="22"/>
          <w:lang w:val="en-US"/>
        </w:rPr>
        <w:t>ultiple and/or intersecting forms of discrimination should be addressed</w:t>
      </w:r>
      <w:r>
        <w:rPr>
          <w:rFonts w:ascii="Calibri" w:hAnsi="Calibri"/>
          <w:color w:val="000000"/>
          <w:szCs w:val="22"/>
          <w:lang w:val="en-US"/>
        </w:rPr>
        <w:t xml:space="preserve"> i</w:t>
      </w:r>
      <w:r w:rsidRPr="00940158">
        <w:rPr>
          <w:rFonts w:ascii="Calibri" w:hAnsi="Calibri"/>
          <w:color w:val="000000"/>
          <w:szCs w:val="22"/>
          <w:lang w:val="en-US"/>
        </w:rPr>
        <w:t>n such assessment</w:t>
      </w:r>
      <w:r w:rsidR="00940158" w:rsidRPr="00940158">
        <w:rPr>
          <w:rFonts w:ascii="Calibri" w:hAnsi="Calibri"/>
          <w:color w:val="000000"/>
          <w:szCs w:val="22"/>
          <w:lang w:val="en-US"/>
        </w:rPr>
        <w:t xml:space="preserve">. In this regard, </w:t>
      </w:r>
      <w:r>
        <w:rPr>
          <w:rFonts w:ascii="Calibri" w:hAnsi="Calibri"/>
          <w:color w:val="000000"/>
          <w:szCs w:val="22"/>
          <w:lang w:val="en-US"/>
        </w:rPr>
        <w:t xml:space="preserve">we recall that </w:t>
      </w:r>
      <w:r w:rsidR="00940158" w:rsidRPr="00940158">
        <w:rPr>
          <w:rFonts w:ascii="Calibri" w:hAnsi="Calibri"/>
          <w:color w:val="000000"/>
          <w:szCs w:val="22"/>
          <w:lang w:val="en-US"/>
        </w:rPr>
        <w:t>the Working Group on the issue of human rights and transnational corporations and other business enterprises set out clear guidance, presented to the Human Rights Council in June 2019, for the integration of a gender perspective in implementing the UNGPs, including with regard to gender-responsive assessments.</w:t>
      </w:r>
      <w:r w:rsidR="00F37548">
        <w:rPr>
          <w:rStyle w:val="FootnoteReference"/>
          <w:rFonts w:ascii="Calibri" w:hAnsi="Calibri"/>
          <w:color w:val="000000"/>
          <w:szCs w:val="22"/>
        </w:rPr>
        <w:footnoteReference w:id="2"/>
      </w:r>
    </w:p>
    <w:p w14:paraId="7C62BD5E" w14:textId="77777777" w:rsidR="00257D22" w:rsidRPr="00940158" w:rsidRDefault="00257D22" w:rsidP="00CB3333">
      <w:pPr>
        <w:spacing w:line="276" w:lineRule="auto"/>
        <w:jc w:val="both"/>
        <w:rPr>
          <w:rFonts w:ascii="Times New Roman" w:hAnsi="Times New Roman"/>
          <w:sz w:val="20"/>
          <w:szCs w:val="20"/>
          <w:lang w:val="en-US"/>
        </w:rPr>
      </w:pPr>
    </w:p>
    <w:p w14:paraId="736BBD64" w14:textId="59737FF5" w:rsidR="00940158" w:rsidRPr="00940158" w:rsidRDefault="00940158" w:rsidP="00CB3333">
      <w:pPr>
        <w:spacing w:line="276" w:lineRule="auto"/>
        <w:jc w:val="both"/>
        <w:rPr>
          <w:rFonts w:ascii="Times New Roman" w:hAnsi="Times New Roman"/>
          <w:sz w:val="20"/>
          <w:szCs w:val="20"/>
          <w:lang w:val="en-US"/>
        </w:rPr>
      </w:pPr>
      <w:r w:rsidRPr="00940158">
        <w:rPr>
          <w:rFonts w:ascii="Calibri" w:hAnsi="Calibri"/>
          <w:color w:val="000000"/>
          <w:szCs w:val="22"/>
          <w:lang w:val="en-US"/>
        </w:rPr>
        <w:t xml:space="preserve">To support human rights due diligence practices, </w:t>
      </w:r>
      <w:r w:rsidRPr="00940158">
        <w:rPr>
          <w:rFonts w:ascii="Calibri" w:hAnsi="Calibri"/>
          <w:b/>
          <w:color w:val="000000"/>
          <w:szCs w:val="22"/>
          <w:lang w:val="en-US"/>
        </w:rPr>
        <w:t xml:space="preserve">we also recommend the inclusion of references to </w:t>
      </w:r>
      <w:r w:rsidR="006A35C7" w:rsidRPr="006A35C7">
        <w:rPr>
          <w:rFonts w:ascii="Calibri" w:hAnsi="Calibri"/>
          <w:b/>
          <w:color w:val="000000"/>
          <w:szCs w:val="22"/>
          <w:lang w:val="en-US"/>
        </w:rPr>
        <w:t>additional</w:t>
      </w:r>
      <w:r w:rsidRPr="00940158">
        <w:rPr>
          <w:rFonts w:ascii="Calibri" w:hAnsi="Calibri"/>
          <w:b/>
          <w:color w:val="000000"/>
          <w:szCs w:val="22"/>
          <w:lang w:val="en-US"/>
        </w:rPr>
        <w:t xml:space="preserve"> State measures </w:t>
      </w:r>
      <w:r w:rsidRPr="00940158">
        <w:rPr>
          <w:rFonts w:ascii="Calibri" w:hAnsi="Calibri"/>
          <w:color w:val="000000"/>
          <w:szCs w:val="22"/>
          <w:lang w:val="en-US"/>
        </w:rPr>
        <w:t>to ensure the meaningful engagement of all relevant stakeholders whose human rights have been</w:t>
      </w:r>
      <w:r w:rsidR="001144A9">
        <w:rPr>
          <w:rFonts w:ascii="Calibri" w:hAnsi="Calibri"/>
          <w:color w:val="000000"/>
          <w:szCs w:val="22"/>
          <w:lang w:val="en-US"/>
        </w:rPr>
        <w:t>/could be</w:t>
      </w:r>
      <w:r w:rsidRPr="00940158">
        <w:rPr>
          <w:rFonts w:ascii="Calibri" w:hAnsi="Calibri"/>
          <w:color w:val="000000"/>
          <w:szCs w:val="22"/>
          <w:lang w:val="en-US"/>
        </w:rPr>
        <w:t xml:space="preserve"> affected across all stages of human rights due diligence, including through access to information as well as to measures to support independent and credible impact assessments. Further, we recommend that </w:t>
      </w:r>
      <w:r w:rsidR="00257D22">
        <w:rPr>
          <w:rFonts w:ascii="Calibri" w:hAnsi="Calibri"/>
          <w:color w:val="000000"/>
          <w:szCs w:val="22"/>
          <w:lang w:val="en-US"/>
        </w:rPr>
        <w:t xml:space="preserve">the terminology in article 5 (3, a) </w:t>
      </w:r>
      <w:r w:rsidR="00257D22" w:rsidRPr="00940158">
        <w:rPr>
          <w:rFonts w:ascii="Calibri" w:hAnsi="Calibri"/>
          <w:b/>
          <w:color w:val="000000"/>
          <w:szCs w:val="22"/>
          <w:lang w:val="en-US"/>
        </w:rPr>
        <w:t xml:space="preserve">with regard to consultation </w:t>
      </w:r>
      <w:r w:rsidR="00257D22">
        <w:rPr>
          <w:rFonts w:ascii="Calibri" w:hAnsi="Calibri"/>
          <w:b/>
          <w:color w:val="000000"/>
          <w:szCs w:val="22"/>
          <w:lang w:val="en-US"/>
        </w:rPr>
        <w:t>with</w:t>
      </w:r>
      <w:r w:rsidR="00257D22" w:rsidRPr="00940158">
        <w:rPr>
          <w:rFonts w:ascii="Calibri" w:hAnsi="Calibri"/>
          <w:b/>
          <w:color w:val="000000"/>
          <w:szCs w:val="22"/>
          <w:lang w:val="en-US"/>
        </w:rPr>
        <w:t xml:space="preserve"> indigenous </w:t>
      </w:r>
      <w:proofErr w:type="gramStart"/>
      <w:r w:rsidR="00257D22" w:rsidRPr="00940158">
        <w:rPr>
          <w:rFonts w:ascii="Calibri" w:hAnsi="Calibri"/>
          <w:b/>
          <w:color w:val="000000"/>
          <w:szCs w:val="22"/>
          <w:lang w:val="en-US"/>
        </w:rPr>
        <w:t>peoples</w:t>
      </w:r>
      <w:r w:rsidR="00257D22">
        <w:rPr>
          <w:rFonts w:ascii="Calibri" w:hAnsi="Calibri"/>
          <w:b/>
          <w:color w:val="000000"/>
          <w:szCs w:val="22"/>
          <w:lang w:val="en-US"/>
        </w:rPr>
        <w:t>,</w:t>
      </w:r>
      <w:proofErr w:type="gramEnd"/>
      <w:r w:rsidR="00257D22">
        <w:rPr>
          <w:rFonts w:ascii="Calibri" w:hAnsi="Calibri"/>
          <w:b/>
          <w:color w:val="000000"/>
          <w:szCs w:val="22"/>
          <w:lang w:val="en-US"/>
        </w:rPr>
        <w:t xml:space="preserve"> is </w:t>
      </w:r>
      <w:r w:rsidR="00257D22">
        <w:rPr>
          <w:rFonts w:ascii="Calibri" w:hAnsi="Calibri"/>
          <w:b/>
          <w:color w:val="000000"/>
          <w:szCs w:val="22"/>
          <w:lang w:val="en-US"/>
        </w:rPr>
        <w:lastRenderedPageBreak/>
        <w:t xml:space="preserve">aligned to </w:t>
      </w:r>
      <w:r w:rsidRPr="00940158">
        <w:rPr>
          <w:rFonts w:ascii="Calibri" w:hAnsi="Calibri"/>
          <w:b/>
          <w:color w:val="000000"/>
          <w:szCs w:val="22"/>
          <w:lang w:val="en-US"/>
        </w:rPr>
        <w:t xml:space="preserve">the internationally </w:t>
      </w:r>
      <w:proofErr w:type="spellStart"/>
      <w:r w:rsidR="00257D22">
        <w:rPr>
          <w:rFonts w:ascii="Calibri" w:hAnsi="Calibri"/>
          <w:b/>
          <w:color w:val="000000"/>
          <w:szCs w:val="22"/>
          <w:lang w:val="en-US"/>
        </w:rPr>
        <w:t>recognised</w:t>
      </w:r>
      <w:proofErr w:type="spellEnd"/>
      <w:r w:rsidR="00257D22" w:rsidRPr="00940158">
        <w:rPr>
          <w:rFonts w:ascii="Calibri" w:hAnsi="Calibri"/>
          <w:b/>
          <w:color w:val="000000"/>
          <w:szCs w:val="22"/>
          <w:lang w:val="en-US"/>
        </w:rPr>
        <w:t xml:space="preserve"> </w:t>
      </w:r>
      <w:r w:rsidRPr="00940158">
        <w:rPr>
          <w:rFonts w:ascii="Calibri" w:hAnsi="Calibri"/>
          <w:b/>
          <w:color w:val="000000"/>
          <w:szCs w:val="22"/>
          <w:lang w:val="en-US"/>
        </w:rPr>
        <w:t xml:space="preserve">standards of free, prior and informed </w:t>
      </w:r>
      <w:r w:rsidRPr="00940158">
        <w:rPr>
          <w:rFonts w:ascii="Calibri" w:hAnsi="Calibri"/>
          <w:b/>
          <w:i/>
          <w:iCs/>
          <w:color w:val="000000"/>
          <w:szCs w:val="22"/>
          <w:lang w:val="en-US"/>
        </w:rPr>
        <w:t>consent</w:t>
      </w:r>
      <w:r w:rsidRPr="00940158">
        <w:rPr>
          <w:rFonts w:ascii="Calibri" w:hAnsi="Calibri"/>
          <w:b/>
          <w:color w:val="000000"/>
          <w:szCs w:val="22"/>
          <w:lang w:val="en-US"/>
        </w:rPr>
        <w:t xml:space="preserve"> </w:t>
      </w:r>
      <w:r w:rsidR="0024108B">
        <w:rPr>
          <w:rFonts w:ascii="Calibri" w:hAnsi="Calibri"/>
          <w:b/>
          <w:color w:val="000000"/>
          <w:szCs w:val="22"/>
          <w:lang w:val="en-US"/>
        </w:rPr>
        <w:t>(</w:t>
      </w:r>
      <w:r w:rsidR="0024108B" w:rsidRPr="0024108B">
        <w:rPr>
          <w:rFonts w:ascii="Calibri" w:hAnsi="Calibri"/>
          <w:b/>
          <w:color w:val="000000"/>
          <w:szCs w:val="22"/>
          <w:lang w:val="en-US"/>
        </w:rPr>
        <w:t>FPIC</w:t>
      </w:r>
      <w:r w:rsidR="0024108B">
        <w:rPr>
          <w:rFonts w:ascii="Calibri" w:hAnsi="Calibri"/>
          <w:b/>
          <w:color w:val="000000"/>
          <w:szCs w:val="22"/>
          <w:lang w:val="en-US"/>
        </w:rPr>
        <w:t>)</w:t>
      </w:r>
      <w:r w:rsidR="00257D22">
        <w:rPr>
          <w:rFonts w:ascii="Calibri" w:hAnsi="Calibri"/>
          <w:b/>
          <w:color w:val="000000"/>
          <w:szCs w:val="22"/>
          <w:lang w:val="en-US"/>
        </w:rPr>
        <w:t>. Thus, the reference in the draft to “</w:t>
      </w:r>
      <w:r w:rsidR="00257D22" w:rsidRPr="00940158">
        <w:rPr>
          <w:rFonts w:ascii="Calibri" w:hAnsi="Calibri"/>
          <w:b/>
          <w:color w:val="000000"/>
          <w:szCs w:val="22"/>
          <w:lang w:val="en-US"/>
        </w:rPr>
        <w:t xml:space="preserve">free, prior and informed </w:t>
      </w:r>
      <w:r w:rsidRPr="00940158">
        <w:rPr>
          <w:rFonts w:ascii="Calibri" w:hAnsi="Calibri"/>
          <w:b/>
          <w:color w:val="000000"/>
          <w:szCs w:val="22"/>
          <w:lang w:val="en-US"/>
        </w:rPr>
        <w:t>consultation</w:t>
      </w:r>
      <w:r w:rsidR="00257D22">
        <w:rPr>
          <w:rFonts w:ascii="Calibri" w:hAnsi="Calibri"/>
          <w:b/>
          <w:color w:val="000000"/>
          <w:szCs w:val="22"/>
          <w:lang w:val="en-US"/>
        </w:rPr>
        <w:t>” should be replaced with “</w:t>
      </w:r>
      <w:r w:rsidR="00257D22" w:rsidRPr="00940158">
        <w:rPr>
          <w:rFonts w:ascii="Calibri" w:hAnsi="Calibri"/>
          <w:b/>
          <w:color w:val="000000"/>
          <w:szCs w:val="22"/>
          <w:lang w:val="en-US"/>
        </w:rPr>
        <w:t xml:space="preserve">free, prior and informed </w:t>
      </w:r>
      <w:r w:rsidR="00257D22" w:rsidRPr="00257D22">
        <w:rPr>
          <w:rFonts w:ascii="Calibri" w:hAnsi="Calibri"/>
          <w:b/>
          <w:color w:val="000000"/>
          <w:szCs w:val="22"/>
          <w:lang w:val="en-US"/>
        </w:rPr>
        <w:t>consent</w:t>
      </w:r>
      <w:r w:rsidR="00257D22">
        <w:rPr>
          <w:rFonts w:ascii="Calibri" w:hAnsi="Calibri"/>
          <w:b/>
          <w:i/>
          <w:iCs/>
          <w:color w:val="000000"/>
          <w:szCs w:val="22"/>
          <w:lang w:val="en-US"/>
        </w:rPr>
        <w:t>”</w:t>
      </w:r>
      <w:r w:rsidRPr="00940158">
        <w:rPr>
          <w:rFonts w:ascii="Calibri" w:hAnsi="Calibri"/>
          <w:color w:val="000000"/>
          <w:szCs w:val="22"/>
          <w:lang w:val="en-US"/>
        </w:rPr>
        <w:t>.</w:t>
      </w:r>
      <w:r w:rsidR="00F37548">
        <w:rPr>
          <w:rStyle w:val="FootnoteReference"/>
          <w:rFonts w:ascii="Calibri" w:hAnsi="Calibri"/>
          <w:color w:val="000000"/>
          <w:szCs w:val="22"/>
        </w:rPr>
        <w:footnoteReference w:id="3"/>
      </w:r>
    </w:p>
    <w:p w14:paraId="074D9859" w14:textId="77777777" w:rsidR="00940158" w:rsidRPr="00940158" w:rsidRDefault="00940158" w:rsidP="00CB3333">
      <w:pPr>
        <w:spacing w:line="276" w:lineRule="auto"/>
        <w:rPr>
          <w:rFonts w:ascii="Times New Roman" w:hAnsi="Times New Roman"/>
          <w:sz w:val="20"/>
          <w:szCs w:val="20"/>
          <w:lang w:val="en-US"/>
        </w:rPr>
      </w:pPr>
      <w:r w:rsidRPr="00940158">
        <w:rPr>
          <w:rFonts w:ascii="Calibri" w:hAnsi="Calibri"/>
          <w:color w:val="000000"/>
          <w:szCs w:val="22"/>
          <w:lang w:val="en-US"/>
        </w:rPr>
        <w:t> </w:t>
      </w:r>
    </w:p>
    <w:p w14:paraId="46DA3AEA" w14:textId="5A913C3E" w:rsidR="00940158" w:rsidRPr="00940158" w:rsidRDefault="00940158" w:rsidP="00CB3333">
      <w:pPr>
        <w:spacing w:line="276" w:lineRule="auto"/>
        <w:jc w:val="both"/>
        <w:rPr>
          <w:rFonts w:ascii="Times New Roman" w:hAnsi="Times New Roman"/>
          <w:sz w:val="20"/>
          <w:szCs w:val="20"/>
          <w:lang w:val="en-US"/>
        </w:rPr>
      </w:pPr>
      <w:r w:rsidRPr="00940158">
        <w:rPr>
          <w:rFonts w:ascii="Calibri" w:hAnsi="Calibri"/>
          <w:b/>
          <w:bCs/>
          <w:color w:val="000000"/>
          <w:szCs w:val="22"/>
          <w:lang w:val="en-US"/>
        </w:rPr>
        <w:t>The Instrument should identify the various situations in which stricter rules for prevention should apply. This includes armed conflict-affected areas, including situations of occupation.</w:t>
      </w:r>
      <w:r w:rsidRPr="00940158">
        <w:rPr>
          <w:rFonts w:ascii="Calibri" w:hAnsi="Calibri"/>
          <w:color w:val="000000"/>
          <w:szCs w:val="22"/>
          <w:lang w:val="en-US"/>
        </w:rPr>
        <w:t xml:space="preserve"> In that regard, we </w:t>
      </w:r>
      <w:r w:rsidR="0024108B">
        <w:rPr>
          <w:rFonts w:ascii="Calibri" w:hAnsi="Calibri"/>
          <w:color w:val="000000"/>
          <w:szCs w:val="22"/>
          <w:lang w:val="en-US"/>
        </w:rPr>
        <w:t>recommend</w:t>
      </w:r>
      <w:r w:rsidRPr="00940158">
        <w:rPr>
          <w:rFonts w:ascii="Calibri" w:hAnsi="Calibri"/>
          <w:color w:val="000000"/>
          <w:szCs w:val="22"/>
          <w:lang w:val="en-US"/>
        </w:rPr>
        <w:t xml:space="preserve"> to add in article 5 that States should adopt measures to ensure that: businesses conduct enhanced human rights due diligence in armed conflict-affected areas; and that business activities must either not be undertaken, must be suspended or terminated in circumstances where it might not be possible to prevent or mitigate risks of violations or abuses of human rights and/or of violations of international humanitarian law.</w:t>
      </w:r>
      <w:r w:rsidR="003975CC">
        <w:rPr>
          <w:rStyle w:val="FootnoteReference"/>
          <w:rFonts w:ascii="Calibri" w:hAnsi="Calibri"/>
          <w:color w:val="000000"/>
          <w:szCs w:val="22"/>
        </w:rPr>
        <w:footnoteReference w:id="4"/>
      </w:r>
      <w:r w:rsidRPr="00940158">
        <w:rPr>
          <w:rFonts w:ascii="Calibri" w:hAnsi="Calibri"/>
          <w:color w:val="000000"/>
          <w:szCs w:val="22"/>
          <w:lang w:val="en-US"/>
        </w:rPr>
        <w:t xml:space="preserve"> Indeed, in certain situations, the immitigability of adverse human rights i</w:t>
      </w:r>
      <w:r w:rsidR="00B2124B">
        <w:rPr>
          <w:rFonts w:ascii="Calibri" w:hAnsi="Calibri"/>
          <w:color w:val="000000"/>
          <w:szCs w:val="22"/>
          <w:lang w:val="en-US"/>
        </w:rPr>
        <w:t>mpacts is</w:t>
      </w:r>
      <w:r w:rsidRPr="00940158">
        <w:rPr>
          <w:rFonts w:ascii="Calibri" w:hAnsi="Calibri"/>
          <w:color w:val="000000"/>
          <w:szCs w:val="22"/>
          <w:lang w:val="en-US"/>
        </w:rPr>
        <w:t xml:space="preserve"> such, that no due diligence exercise can ensure the effective respect of international human rights law and international humanitarian law.</w:t>
      </w:r>
      <w:r w:rsidR="003975CC">
        <w:rPr>
          <w:rStyle w:val="FootnoteReference"/>
          <w:rFonts w:ascii="Calibri" w:hAnsi="Calibri"/>
          <w:color w:val="000000"/>
          <w:szCs w:val="22"/>
        </w:rPr>
        <w:footnoteReference w:id="5"/>
      </w:r>
      <w:r w:rsidRPr="00940158">
        <w:rPr>
          <w:rFonts w:ascii="Calibri" w:hAnsi="Calibri"/>
          <w:color w:val="000000"/>
          <w:szCs w:val="22"/>
          <w:lang w:val="en-US"/>
        </w:rPr>
        <w:t xml:space="preserve"> Further, additional text should be added in article 5 to mirror Guiding Principle 7, which elaborates on State action that should be taken to deter business enterprises from engaging in conflict-affected areas, including withdrawal of economic diplomacy and financial support.</w:t>
      </w:r>
      <w:r w:rsidR="00841EB2">
        <w:rPr>
          <w:rStyle w:val="FootnoteReference"/>
          <w:rFonts w:ascii="Calibri" w:hAnsi="Calibri"/>
          <w:color w:val="000000"/>
          <w:szCs w:val="22"/>
        </w:rPr>
        <w:footnoteReference w:id="6"/>
      </w:r>
    </w:p>
    <w:p w14:paraId="3D12FFC5" w14:textId="77777777" w:rsidR="00940158" w:rsidRPr="00940158" w:rsidRDefault="00940158" w:rsidP="00CB3333">
      <w:pPr>
        <w:spacing w:line="276" w:lineRule="auto"/>
        <w:rPr>
          <w:rFonts w:ascii="Times New Roman" w:eastAsia="Times New Roman" w:hAnsi="Times New Roman"/>
          <w:sz w:val="20"/>
          <w:szCs w:val="20"/>
          <w:lang w:val="en-US"/>
        </w:rPr>
      </w:pPr>
    </w:p>
    <w:p w14:paraId="1CEAFD76" w14:textId="7C5CFC3F" w:rsidR="00940158" w:rsidRPr="00940158" w:rsidRDefault="00940158" w:rsidP="00CB3333">
      <w:pPr>
        <w:spacing w:before="120" w:after="120" w:line="276" w:lineRule="auto"/>
        <w:jc w:val="both"/>
        <w:rPr>
          <w:rFonts w:ascii="Times New Roman" w:hAnsi="Times New Roman"/>
          <w:sz w:val="20"/>
          <w:szCs w:val="20"/>
          <w:lang w:val="en-US"/>
        </w:rPr>
      </w:pPr>
      <w:r w:rsidRPr="00940158">
        <w:rPr>
          <w:rFonts w:ascii="Calibri" w:hAnsi="Calibri"/>
          <w:color w:val="000000"/>
          <w:szCs w:val="22"/>
          <w:lang w:val="en-US"/>
        </w:rPr>
        <w:t xml:space="preserve">The Instrument should use terminology that takes into consideration existing </w:t>
      </w:r>
      <w:r w:rsidR="0024108B">
        <w:rPr>
          <w:rFonts w:ascii="Calibri" w:hAnsi="Calibri"/>
          <w:color w:val="000000"/>
          <w:szCs w:val="22"/>
          <w:lang w:val="en-US"/>
        </w:rPr>
        <w:t xml:space="preserve">analysis </w:t>
      </w:r>
      <w:r w:rsidRPr="00940158">
        <w:rPr>
          <w:rFonts w:ascii="Calibri" w:hAnsi="Calibri"/>
          <w:color w:val="000000"/>
          <w:szCs w:val="22"/>
          <w:lang w:val="en-US"/>
        </w:rPr>
        <w:t>and positions by</w:t>
      </w:r>
      <w:r w:rsidR="00257D22">
        <w:rPr>
          <w:rFonts w:ascii="Calibri" w:hAnsi="Calibri"/>
          <w:color w:val="000000"/>
          <w:szCs w:val="22"/>
          <w:lang w:val="en-US"/>
        </w:rPr>
        <w:t>,</w:t>
      </w:r>
      <w:r w:rsidR="00E366DA">
        <w:rPr>
          <w:rFonts w:ascii="Calibri" w:hAnsi="Calibri"/>
          <w:color w:val="000000"/>
          <w:szCs w:val="22"/>
          <w:lang w:val="en-US"/>
        </w:rPr>
        <w:t xml:space="preserve"> </w:t>
      </w:r>
      <w:r w:rsidR="00E366DA" w:rsidRPr="00E366DA">
        <w:rPr>
          <w:rFonts w:ascii="Calibri" w:hAnsi="Calibri"/>
          <w:i/>
          <w:color w:val="000000"/>
          <w:szCs w:val="22"/>
          <w:lang w:val="en-US"/>
        </w:rPr>
        <w:t>inter alia</w:t>
      </w:r>
      <w:r w:rsidR="00257D22">
        <w:rPr>
          <w:rFonts w:ascii="Calibri" w:hAnsi="Calibri"/>
          <w:i/>
          <w:color w:val="000000"/>
          <w:szCs w:val="22"/>
          <w:lang w:val="en-US"/>
        </w:rPr>
        <w:t>,</w:t>
      </w:r>
      <w:r w:rsidRPr="00940158">
        <w:rPr>
          <w:rFonts w:ascii="Calibri" w:hAnsi="Calibri"/>
          <w:color w:val="000000"/>
          <w:szCs w:val="22"/>
          <w:lang w:val="en-US"/>
        </w:rPr>
        <w:t xml:space="preserve"> UN mechanisms. In particular, the Instrument should use “armed conflict-affected areas, including situations of occupation” instead of “occupied or conflict-affected areas”. The draft text currently only mentions</w:t>
      </w:r>
      <w:r w:rsidRPr="00940158">
        <w:rPr>
          <w:rFonts w:ascii="Calibri" w:hAnsi="Calibri"/>
          <w:i/>
          <w:iCs/>
          <w:color w:val="000000"/>
          <w:szCs w:val="22"/>
          <w:lang w:val="en-US"/>
        </w:rPr>
        <w:t xml:space="preserve"> “</w:t>
      </w:r>
      <w:r w:rsidRPr="00940158">
        <w:rPr>
          <w:rFonts w:ascii="Calibri" w:hAnsi="Calibri"/>
          <w:color w:val="000000"/>
          <w:szCs w:val="22"/>
          <w:lang w:val="en-US"/>
        </w:rPr>
        <w:t>conflict-affected and areas of occupation”. Several soft law and legally-binding instruments also refer to “high-risk areas” in relation to enhanced human rights due diligence by businesses, including OECD and UN Global Compact guidelines, as well as the EU conflict-minerals regulation.</w:t>
      </w:r>
      <w:r w:rsidR="00CB3333">
        <w:rPr>
          <w:rStyle w:val="FootnoteReference"/>
          <w:rFonts w:ascii="Calibri" w:hAnsi="Calibri"/>
          <w:color w:val="000000"/>
          <w:szCs w:val="22"/>
        </w:rPr>
        <w:footnoteReference w:id="7"/>
      </w:r>
      <w:r w:rsidRPr="00940158">
        <w:rPr>
          <w:rFonts w:ascii="Calibri" w:hAnsi="Calibri"/>
          <w:color w:val="000000"/>
          <w:szCs w:val="22"/>
          <w:lang w:val="en-US"/>
        </w:rPr>
        <w:t xml:space="preserve"> While there is no unified </w:t>
      </w:r>
      <w:r w:rsidRPr="00940158">
        <w:rPr>
          <w:rFonts w:ascii="Calibri" w:hAnsi="Calibri"/>
          <w:color w:val="000000"/>
          <w:szCs w:val="22"/>
          <w:lang w:val="en-US"/>
        </w:rPr>
        <w:lastRenderedPageBreak/>
        <w:t xml:space="preserve">legal definition of “high-risk areas,'' they </w:t>
      </w:r>
      <w:r w:rsidR="00C56ABA">
        <w:rPr>
          <w:rFonts w:ascii="Calibri" w:hAnsi="Calibri"/>
          <w:color w:val="000000"/>
          <w:szCs w:val="22"/>
          <w:lang w:val="en-US"/>
        </w:rPr>
        <w:t xml:space="preserve">are often understood as </w:t>
      </w:r>
      <w:r w:rsidRPr="00940158">
        <w:rPr>
          <w:rFonts w:ascii="Calibri" w:hAnsi="Calibri"/>
          <w:color w:val="000000"/>
          <w:szCs w:val="22"/>
          <w:lang w:val="en-US"/>
        </w:rPr>
        <w:t>situations of political instability and repression that may lead to violent conflict. High-risk areas could also cover internal disturbances and tensions (which would include riots, isolated and sporadic acts of violence), not reaching the threshold of an non-international armed conflict under international humanitarian law, as well as certain post-conflict situations where there has been a general close of military operations but there is still violence/ high risk of violence breaking out.</w:t>
      </w:r>
    </w:p>
    <w:p w14:paraId="7E0A69FC" w14:textId="65799A27" w:rsidR="00940158" w:rsidRPr="00940158" w:rsidRDefault="00940158" w:rsidP="00CB3333">
      <w:pPr>
        <w:spacing w:before="120" w:after="120" w:line="276" w:lineRule="auto"/>
        <w:jc w:val="both"/>
        <w:rPr>
          <w:rFonts w:ascii="Times New Roman" w:hAnsi="Times New Roman"/>
          <w:sz w:val="20"/>
          <w:szCs w:val="20"/>
          <w:lang w:val="en-US"/>
        </w:rPr>
      </w:pPr>
      <w:r w:rsidRPr="00940158">
        <w:rPr>
          <w:rFonts w:ascii="Calibri" w:hAnsi="Calibri"/>
          <w:color w:val="000000"/>
          <w:szCs w:val="22"/>
          <w:lang w:val="en-US"/>
        </w:rPr>
        <w:t>It is important to make clear that the legal framework governing such high-risk situations is different from that governing armed conflicts (mainly in that international humanitarian law is not applicable).</w:t>
      </w:r>
      <w:r w:rsidR="00C56ABA">
        <w:rPr>
          <w:rFonts w:ascii="Calibri" w:hAnsi="Calibri"/>
          <w:color w:val="000000"/>
          <w:szCs w:val="22"/>
          <w:lang w:val="en-US"/>
        </w:rPr>
        <w:t xml:space="preserve"> At the same time</w:t>
      </w:r>
      <w:r w:rsidRPr="00940158">
        <w:rPr>
          <w:rFonts w:ascii="Calibri" w:hAnsi="Calibri"/>
          <w:color w:val="000000"/>
          <w:szCs w:val="22"/>
          <w:lang w:val="en-US"/>
        </w:rPr>
        <w:t>, the Instrument should define “high-risk areas” and extend enhanced human rights due diligence to these situations in order to ensure a more effective and comprehensive prevention of business-related human rights abuses.</w:t>
      </w:r>
    </w:p>
    <w:p w14:paraId="7090EBBE" w14:textId="77777777" w:rsidR="00940158" w:rsidRPr="00940158" w:rsidRDefault="00940158" w:rsidP="00CB3333">
      <w:pPr>
        <w:spacing w:before="120" w:after="120" w:line="276" w:lineRule="auto"/>
        <w:jc w:val="both"/>
        <w:rPr>
          <w:rFonts w:ascii="Times New Roman" w:hAnsi="Times New Roman"/>
          <w:sz w:val="20"/>
          <w:szCs w:val="20"/>
          <w:lang w:val="en-US"/>
        </w:rPr>
      </w:pPr>
      <w:r w:rsidRPr="00940158">
        <w:rPr>
          <w:rFonts w:ascii="Calibri" w:hAnsi="Calibri"/>
          <w:b/>
          <w:bCs/>
          <w:color w:val="000000"/>
          <w:szCs w:val="22"/>
          <w:lang w:val="en-US"/>
        </w:rPr>
        <w:t>The Instrument should also clarify under article 5 Prevention the obligation of the State to respect, protect, and fulfil human rights when it itself acts as an economic actor - directly or in conjunction with State or non-State actors - in the context of business activities.</w:t>
      </w:r>
    </w:p>
    <w:p w14:paraId="2FE46125" w14:textId="77777777" w:rsidR="00666645" w:rsidRDefault="00940158" w:rsidP="00CB3333">
      <w:pPr>
        <w:spacing w:line="276" w:lineRule="auto"/>
        <w:jc w:val="both"/>
        <w:rPr>
          <w:rFonts w:ascii="Calibri" w:hAnsi="Calibri"/>
          <w:color w:val="000000"/>
          <w:szCs w:val="22"/>
        </w:rPr>
      </w:pPr>
      <w:r w:rsidRPr="00940158">
        <w:rPr>
          <w:rFonts w:ascii="Calibri" w:hAnsi="Calibri"/>
          <w:color w:val="000000"/>
          <w:szCs w:val="22"/>
          <w:lang w:val="en-US"/>
        </w:rPr>
        <w:t xml:space="preserve">States may violate their obligation to respect or to protect in connection with activities of State-owned enterprises and when they engage in contracts or commercial activities with companies and with other States. </w:t>
      </w:r>
      <w:r w:rsidR="003171B1" w:rsidRPr="003171B1">
        <w:rPr>
          <w:rFonts w:ascii="Calibri" w:hAnsi="Calibri"/>
          <w:color w:val="000000"/>
          <w:szCs w:val="22"/>
        </w:rPr>
        <w:t>Business-related human rights violations and abuses linked to actions by States as economic actors have been documented in a variety of sectors and countries, including in the extractive sector,</w:t>
      </w:r>
      <w:r w:rsidR="003171B1" w:rsidRPr="003171B1">
        <w:rPr>
          <w:rFonts w:ascii="Calibri" w:hAnsi="Calibri"/>
          <w:color w:val="000000"/>
          <w:szCs w:val="22"/>
          <w:vertAlign w:val="superscript"/>
        </w:rPr>
        <w:footnoteReference w:id="8"/>
      </w:r>
      <w:r w:rsidR="003171B1" w:rsidRPr="003171B1">
        <w:rPr>
          <w:rFonts w:ascii="Calibri" w:hAnsi="Calibri"/>
          <w:color w:val="000000"/>
          <w:szCs w:val="22"/>
        </w:rPr>
        <w:t xml:space="preserve"> agribusiness,</w:t>
      </w:r>
      <w:r w:rsidR="003171B1" w:rsidRPr="003171B1">
        <w:rPr>
          <w:rFonts w:ascii="Calibri" w:hAnsi="Calibri"/>
          <w:color w:val="000000"/>
          <w:szCs w:val="22"/>
          <w:vertAlign w:val="superscript"/>
        </w:rPr>
        <w:footnoteReference w:id="9"/>
      </w:r>
      <w:r w:rsidR="003171B1" w:rsidRPr="003171B1">
        <w:rPr>
          <w:rFonts w:ascii="Calibri" w:hAnsi="Calibri"/>
          <w:color w:val="000000"/>
          <w:szCs w:val="22"/>
        </w:rPr>
        <w:t xml:space="preserve"> in the arms industry,</w:t>
      </w:r>
      <w:r w:rsidR="003171B1" w:rsidRPr="003171B1">
        <w:rPr>
          <w:rFonts w:ascii="Calibri" w:hAnsi="Calibri"/>
          <w:color w:val="000000"/>
          <w:szCs w:val="22"/>
          <w:vertAlign w:val="superscript"/>
        </w:rPr>
        <w:footnoteReference w:id="10"/>
      </w:r>
      <w:r w:rsidR="003171B1" w:rsidRPr="003171B1">
        <w:rPr>
          <w:rFonts w:ascii="Calibri" w:hAnsi="Calibri"/>
          <w:color w:val="000000"/>
          <w:szCs w:val="22"/>
        </w:rPr>
        <w:t xml:space="preserve"> and in the infrastructure sector.</w:t>
      </w:r>
      <w:r w:rsidR="003171B1" w:rsidRPr="003171B1">
        <w:rPr>
          <w:rFonts w:ascii="Calibri" w:hAnsi="Calibri"/>
          <w:color w:val="000000"/>
          <w:szCs w:val="22"/>
          <w:vertAlign w:val="superscript"/>
        </w:rPr>
        <w:footnoteReference w:id="11"/>
      </w:r>
      <w:r w:rsidR="003171B1" w:rsidRPr="003171B1">
        <w:rPr>
          <w:rFonts w:ascii="Calibri" w:hAnsi="Calibri"/>
          <w:color w:val="000000"/>
          <w:szCs w:val="22"/>
        </w:rPr>
        <w:t xml:space="preserve"> </w:t>
      </w:r>
    </w:p>
    <w:p w14:paraId="3CE8C169" w14:textId="77777777" w:rsidR="00666645" w:rsidRDefault="00666645" w:rsidP="00CB3333">
      <w:pPr>
        <w:spacing w:line="276" w:lineRule="auto"/>
        <w:jc w:val="both"/>
        <w:rPr>
          <w:rFonts w:ascii="Calibri" w:hAnsi="Calibri"/>
          <w:color w:val="000000"/>
          <w:szCs w:val="22"/>
        </w:rPr>
      </w:pPr>
    </w:p>
    <w:p w14:paraId="02B0DA54" w14:textId="676F8907" w:rsidR="00940158" w:rsidRPr="00940158" w:rsidRDefault="00940158" w:rsidP="00CB3333">
      <w:pPr>
        <w:spacing w:line="276" w:lineRule="auto"/>
        <w:jc w:val="both"/>
        <w:rPr>
          <w:rFonts w:ascii="Times New Roman" w:hAnsi="Times New Roman"/>
          <w:sz w:val="20"/>
          <w:szCs w:val="20"/>
          <w:lang w:val="en-US"/>
        </w:rPr>
      </w:pPr>
      <w:r w:rsidRPr="00940158">
        <w:rPr>
          <w:rFonts w:ascii="Calibri" w:hAnsi="Calibri"/>
          <w:color w:val="000000"/>
          <w:szCs w:val="22"/>
          <w:lang w:val="en-US"/>
        </w:rPr>
        <w:t xml:space="preserve">According to the UNGPs, States must take additional steps and exercise a higher standard of care to prevent and protect from abuses and violations in the State-business nexus, for instance in relation to activities of State-owned enterprises or in areas where the State is an economic actor (e.g. public-private partnerships, public procurement, </w:t>
      </w:r>
      <w:proofErr w:type="spellStart"/>
      <w:r w:rsidRPr="00940158">
        <w:rPr>
          <w:rFonts w:ascii="Calibri" w:hAnsi="Calibri"/>
          <w:color w:val="000000"/>
          <w:szCs w:val="22"/>
          <w:lang w:val="en-US"/>
        </w:rPr>
        <w:t>privatisation</w:t>
      </w:r>
      <w:proofErr w:type="spellEnd"/>
      <w:r w:rsidRPr="00940158">
        <w:rPr>
          <w:rFonts w:ascii="Calibri" w:hAnsi="Calibri"/>
          <w:color w:val="000000"/>
          <w:szCs w:val="22"/>
          <w:lang w:val="en-US"/>
        </w:rPr>
        <w:t xml:space="preserve"> of services, investment through sovereign wealth funds), and with other States (as a member of multilateral institutions that deal with business-related issues, as well as when entering into trade and investment agreements).</w:t>
      </w:r>
      <w:r w:rsidR="003B2DC2">
        <w:rPr>
          <w:rStyle w:val="FootnoteReference"/>
          <w:rFonts w:ascii="Calibri" w:hAnsi="Calibri"/>
          <w:color w:val="000000"/>
          <w:szCs w:val="22"/>
        </w:rPr>
        <w:footnoteReference w:id="12"/>
      </w:r>
      <w:r w:rsidRPr="00940158">
        <w:rPr>
          <w:rFonts w:ascii="Calibri" w:hAnsi="Calibri"/>
          <w:color w:val="000000"/>
          <w:szCs w:val="22"/>
          <w:lang w:val="en-US"/>
        </w:rPr>
        <w:t xml:space="preserve"> In addition, domestic laws and policies can support and shape business activities, such as through granting of </w:t>
      </w:r>
      <w:proofErr w:type="spellStart"/>
      <w:r w:rsidRPr="00940158">
        <w:rPr>
          <w:rFonts w:ascii="Calibri" w:hAnsi="Calibri"/>
          <w:color w:val="000000"/>
          <w:szCs w:val="22"/>
          <w:lang w:val="en-US"/>
        </w:rPr>
        <w:t>authorisations</w:t>
      </w:r>
      <w:proofErr w:type="spellEnd"/>
      <w:r w:rsidRPr="00940158">
        <w:rPr>
          <w:rFonts w:ascii="Calibri" w:hAnsi="Calibri"/>
          <w:color w:val="000000"/>
          <w:szCs w:val="22"/>
          <w:lang w:val="en-US"/>
        </w:rPr>
        <w:t xml:space="preserve"> for business activities and financial or trade support. States must also uphold their human obligations and ensure policy coherence with such </w:t>
      </w:r>
      <w:r w:rsidRPr="00940158">
        <w:rPr>
          <w:rFonts w:ascii="Calibri" w:hAnsi="Calibri"/>
          <w:color w:val="000000"/>
          <w:szCs w:val="22"/>
          <w:lang w:val="en-US"/>
        </w:rPr>
        <w:lastRenderedPageBreak/>
        <w:t>obligations in all areas where State-based institutions come into contact with, support, or shape business activity.</w:t>
      </w:r>
      <w:r w:rsidR="00DD5C25">
        <w:rPr>
          <w:rStyle w:val="FootnoteReference"/>
          <w:rFonts w:ascii="Calibri" w:hAnsi="Calibri"/>
          <w:color w:val="000000"/>
          <w:szCs w:val="22"/>
        </w:rPr>
        <w:footnoteReference w:id="13"/>
      </w:r>
    </w:p>
    <w:p w14:paraId="55B47732" w14:textId="77777777" w:rsidR="00940158" w:rsidRPr="00940158" w:rsidRDefault="00940158" w:rsidP="00CB3333">
      <w:pPr>
        <w:spacing w:line="276" w:lineRule="auto"/>
        <w:rPr>
          <w:rFonts w:ascii="Times New Roman" w:eastAsia="Times New Roman" w:hAnsi="Times New Roman"/>
          <w:sz w:val="20"/>
          <w:szCs w:val="20"/>
          <w:lang w:val="en-US"/>
        </w:rPr>
      </w:pPr>
    </w:p>
    <w:p w14:paraId="074D993A" w14:textId="6624715C" w:rsidR="00940158" w:rsidRPr="00940158" w:rsidRDefault="00940158" w:rsidP="00CB3333">
      <w:pPr>
        <w:spacing w:line="276" w:lineRule="auto"/>
        <w:jc w:val="both"/>
        <w:rPr>
          <w:rFonts w:ascii="Times New Roman" w:hAnsi="Times New Roman"/>
          <w:sz w:val="20"/>
          <w:szCs w:val="20"/>
          <w:lang w:val="en-US"/>
        </w:rPr>
      </w:pPr>
      <w:r w:rsidRPr="00940158">
        <w:rPr>
          <w:rFonts w:ascii="Calibri" w:hAnsi="Calibri"/>
          <w:b/>
          <w:bCs/>
          <w:color w:val="000000"/>
          <w:szCs w:val="22"/>
          <w:lang w:val="en-US"/>
        </w:rPr>
        <w:t>Finally, with regard to human rights defenders,</w:t>
      </w:r>
      <w:r w:rsidRPr="00940158">
        <w:rPr>
          <w:rFonts w:ascii="Calibri" w:hAnsi="Calibri"/>
          <w:color w:val="000000"/>
          <w:szCs w:val="22"/>
          <w:lang w:val="en-US"/>
        </w:rPr>
        <w:t xml:space="preserve"> we </w:t>
      </w:r>
      <w:r w:rsidR="00C56ABA">
        <w:rPr>
          <w:rFonts w:ascii="Calibri" w:hAnsi="Calibri"/>
          <w:color w:val="000000"/>
          <w:szCs w:val="22"/>
          <w:lang w:val="en-US"/>
        </w:rPr>
        <w:t xml:space="preserve">recommend </w:t>
      </w:r>
      <w:r w:rsidRPr="00940158">
        <w:rPr>
          <w:rFonts w:ascii="Calibri" w:hAnsi="Calibri"/>
          <w:color w:val="000000"/>
          <w:szCs w:val="22"/>
          <w:lang w:val="en-US"/>
        </w:rPr>
        <w:t xml:space="preserve">that </w:t>
      </w:r>
      <w:r w:rsidR="00C56ABA">
        <w:rPr>
          <w:rFonts w:ascii="Calibri" w:hAnsi="Calibri"/>
          <w:color w:val="000000"/>
          <w:szCs w:val="22"/>
          <w:lang w:val="en-US"/>
        </w:rPr>
        <w:t xml:space="preserve">the text of </w:t>
      </w:r>
      <w:r w:rsidRPr="00940158">
        <w:rPr>
          <w:rFonts w:ascii="Calibri" w:hAnsi="Calibri"/>
          <w:color w:val="000000"/>
          <w:szCs w:val="22"/>
          <w:lang w:val="en-US"/>
        </w:rPr>
        <w:t>Article 4.15</w:t>
      </w:r>
      <w:r>
        <w:rPr>
          <w:rFonts w:ascii="Calibri" w:hAnsi="Calibri"/>
          <w:color w:val="000000"/>
          <w:szCs w:val="22"/>
          <w:lang w:val="en-US"/>
        </w:rPr>
        <w:t>,</w:t>
      </w:r>
      <w:r w:rsidRPr="00940158">
        <w:rPr>
          <w:rFonts w:ascii="Calibri" w:hAnsi="Calibri"/>
          <w:color w:val="000000"/>
          <w:szCs w:val="22"/>
          <w:lang w:val="en-US"/>
        </w:rPr>
        <w:t xml:space="preserve"> which </w:t>
      </w:r>
      <w:proofErr w:type="spellStart"/>
      <w:r w:rsidRPr="00940158">
        <w:rPr>
          <w:rFonts w:ascii="Calibri" w:hAnsi="Calibri"/>
          <w:color w:val="000000"/>
          <w:szCs w:val="22"/>
          <w:lang w:val="en-US"/>
        </w:rPr>
        <w:t>recognises</w:t>
      </w:r>
      <w:proofErr w:type="spellEnd"/>
      <w:r w:rsidRPr="00940158">
        <w:rPr>
          <w:rFonts w:ascii="Calibri" w:hAnsi="Calibri"/>
          <w:color w:val="000000"/>
          <w:szCs w:val="22"/>
          <w:lang w:val="en-US"/>
        </w:rPr>
        <w:t xml:space="preserve"> that States should take measures to respect, protect and fulfil the rights of human rights defenders</w:t>
      </w:r>
      <w:r w:rsidR="00C56ABA">
        <w:rPr>
          <w:rFonts w:ascii="Calibri" w:hAnsi="Calibri"/>
          <w:color w:val="000000"/>
          <w:szCs w:val="22"/>
          <w:lang w:val="en-US"/>
        </w:rPr>
        <w:t>,</w:t>
      </w:r>
      <w:r w:rsidRPr="00940158">
        <w:rPr>
          <w:rFonts w:ascii="Calibri" w:hAnsi="Calibri"/>
          <w:color w:val="000000"/>
          <w:szCs w:val="22"/>
          <w:lang w:val="en-US"/>
        </w:rPr>
        <w:t xml:space="preserve"> be moved </w:t>
      </w:r>
      <w:r w:rsidR="00C56ABA">
        <w:rPr>
          <w:rFonts w:ascii="Calibri" w:hAnsi="Calibri"/>
          <w:color w:val="000000"/>
          <w:szCs w:val="22"/>
          <w:lang w:val="en-US"/>
        </w:rPr>
        <w:t>under</w:t>
      </w:r>
      <w:r w:rsidRPr="00940158">
        <w:rPr>
          <w:rFonts w:ascii="Calibri" w:hAnsi="Calibri"/>
          <w:color w:val="000000"/>
          <w:szCs w:val="22"/>
          <w:lang w:val="en-US"/>
        </w:rPr>
        <w:t xml:space="preserve"> Article 5, </w:t>
      </w:r>
      <w:r w:rsidR="00C56ABA">
        <w:rPr>
          <w:rFonts w:ascii="Calibri" w:hAnsi="Calibri"/>
          <w:color w:val="000000"/>
          <w:szCs w:val="22"/>
          <w:lang w:val="en-US"/>
        </w:rPr>
        <w:t>since</w:t>
      </w:r>
      <w:r w:rsidRPr="00940158">
        <w:rPr>
          <w:rFonts w:ascii="Calibri" w:hAnsi="Calibri"/>
          <w:color w:val="000000"/>
          <w:szCs w:val="22"/>
          <w:lang w:val="en-US"/>
        </w:rPr>
        <w:t xml:space="preserve"> the work of human rights defenders is key in preventing business-related human rights abuses. In addition</w:t>
      </w:r>
      <w:r w:rsidR="00C56ABA">
        <w:rPr>
          <w:rFonts w:ascii="Calibri" w:hAnsi="Calibri"/>
          <w:color w:val="000000"/>
          <w:szCs w:val="22"/>
          <w:lang w:val="en-US"/>
        </w:rPr>
        <w:t>,</w:t>
      </w:r>
      <w:r w:rsidRPr="00940158">
        <w:rPr>
          <w:rFonts w:ascii="Calibri" w:hAnsi="Calibri"/>
          <w:color w:val="000000"/>
          <w:szCs w:val="22"/>
          <w:lang w:val="en-US"/>
        </w:rPr>
        <w:t xml:space="preserve"> </w:t>
      </w:r>
      <w:r w:rsidR="00C56ABA">
        <w:rPr>
          <w:rFonts w:ascii="Calibri" w:hAnsi="Calibri"/>
          <w:color w:val="000000"/>
          <w:szCs w:val="22"/>
          <w:lang w:val="en-US"/>
        </w:rPr>
        <w:t xml:space="preserve">we recommend the deletion of </w:t>
      </w:r>
      <w:r w:rsidRPr="00940158">
        <w:rPr>
          <w:rFonts w:ascii="Calibri" w:hAnsi="Calibri"/>
          <w:color w:val="000000"/>
          <w:szCs w:val="22"/>
          <w:lang w:val="en-US"/>
        </w:rPr>
        <w:t xml:space="preserve">the limitation in article 4.15 “to recognize, protect and promote all the rights </w:t>
      </w:r>
      <w:proofErr w:type="spellStart"/>
      <w:r w:rsidRPr="00940158">
        <w:rPr>
          <w:rFonts w:ascii="Calibri" w:hAnsi="Calibri"/>
          <w:color w:val="000000"/>
          <w:szCs w:val="22"/>
          <w:lang w:val="en-US"/>
        </w:rPr>
        <w:t>recognised</w:t>
      </w:r>
      <w:proofErr w:type="spellEnd"/>
      <w:r w:rsidRPr="00940158">
        <w:rPr>
          <w:rFonts w:ascii="Calibri" w:hAnsi="Calibri"/>
          <w:color w:val="000000"/>
          <w:szCs w:val="22"/>
          <w:lang w:val="en-US"/>
        </w:rPr>
        <w:t xml:space="preserve"> in this (Legally Binding Instrument)” </w:t>
      </w:r>
      <w:r w:rsidR="00C56ABA">
        <w:rPr>
          <w:rFonts w:ascii="Calibri" w:hAnsi="Calibri"/>
          <w:color w:val="000000"/>
          <w:szCs w:val="22"/>
          <w:lang w:val="en-US"/>
        </w:rPr>
        <w:t>since</w:t>
      </w:r>
      <w:r w:rsidRPr="00940158">
        <w:rPr>
          <w:rFonts w:ascii="Calibri" w:hAnsi="Calibri"/>
          <w:color w:val="000000"/>
          <w:szCs w:val="22"/>
          <w:lang w:val="en-US"/>
        </w:rPr>
        <w:t xml:space="preserve"> the Instrument does not create new rights and</w:t>
      </w:r>
      <w:r w:rsidR="00D34148">
        <w:rPr>
          <w:rFonts w:ascii="Calibri" w:hAnsi="Calibri"/>
          <w:color w:val="000000"/>
          <w:szCs w:val="22"/>
          <w:lang w:val="en-US"/>
        </w:rPr>
        <w:t xml:space="preserve">, it should go without saying, that </w:t>
      </w:r>
      <w:r w:rsidRPr="00940158">
        <w:rPr>
          <w:rFonts w:ascii="Calibri" w:hAnsi="Calibri"/>
          <w:color w:val="000000"/>
          <w:szCs w:val="22"/>
          <w:lang w:val="en-US"/>
        </w:rPr>
        <w:t>all rights of human rights defenders under international human rights law should be respected, protected and fulfilled. </w:t>
      </w:r>
    </w:p>
    <w:p w14:paraId="46FC0B4E" w14:textId="77777777" w:rsidR="00940158" w:rsidRPr="00940158" w:rsidRDefault="00940158" w:rsidP="00CB3333">
      <w:pPr>
        <w:spacing w:line="276" w:lineRule="auto"/>
        <w:rPr>
          <w:rFonts w:ascii="Times New Roman" w:eastAsia="Times New Roman" w:hAnsi="Times New Roman"/>
          <w:sz w:val="20"/>
          <w:szCs w:val="20"/>
          <w:lang w:val="en-US"/>
        </w:rPr>
      </w:pPr>
    </w:p>
    <w:p w14:paraId="4E4A82E1" w14:textId="77777777" w:rsidR="00442E10" w:rsidRPr="00AD64F4" w:rsidRDefault="00442E10" w:rsidP="00CB3333">
      <w:pPr>
        <w:spacing w:line="276" w:lineRule="auto"/>
        <w:rPr>
          <w:lang w:val="en-US"/>
        </w:rPr>
      </w:pPr>
    </w:p>
    <w:sectPr w:rsidR="00442E10" w:rsidRPr="00AD64F4" w:rsidSect="006150B0">
      <w:headerReference w:type="default" r:id="rId8"/>
      <w:footerReference w:type="even" r:id="rId9"/>
      <w:footerReference w:type="defaul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BC6AF" w14:textId="77777777" w:rsidR="002B2E77" w:rsidRDefault="002B2E77" w:rsidP="00940158">
      <w:r>
        <w:separator/>
      </w:r>
    </w:p>
  </w:endnote>
  <w:endnote w:type="continuationSeparator" w:id="0">
    <w:p w14:paraId="2746168B" w14:textId="77777777" w:rsidR="002B2E77" w:rsidRDefault="002B2E77" w:rsidP="0094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35694" w14:textId="77777777" w:rsidR="00940158" w:rsidRDefault="00940158" w:rsidP="00AE5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D13B4" w14:textId="77777777" w:rsidR="00940158" w:rsidRDefault="00940158" w:rsidP="009401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92765" w14:textId="77777777" w:rsidR="00940158" w:rsidRPr="00940158" w:rsidRDefault="00940158" w:rsidP="00AE56DF">
    <w:pPr>
      <w:pStyle w:val="Footer"/>
      <w:framePr w:wrap="around" w:vAnchor="text" w:hAnchor="margin" w:xAlign="right" w:y="1"/>
      <w:rPr>
        <w:rStyle w:val="PageNumber"/>
        <w:rFonts w:asciiTheme="majorHAnsi" w:hAnsiTheme="majorHAnsi"/>
      </w:rPr>
    </w:pPr>
    <w:r w:rsidRPr="00940158">
      <w:rPr>
        <w:rStyle w:val="PageNumber"/>
        <w:rFonts w:asciiTheme="majorHAnsi" w:hAnsiTheme="majorHAnsi"/>
      </w:rPr>
      <w:fldChar w:fldCharType="begin"/>
    </w:r>
    <w:r w:rsidRPr="00940158">
      <w:rPr>
        <w:rStyle w:val="PageNumber"/>
        <w:rFonts w:asciiTheme="majorHAnsi" w:hAnsiTheme="majorHAnsi"/>
      </w:rPr>
      <w:instrText xml:space="preserve">PAGE  </w:instrText>
    </w:r>
    <w:r w:rsidRPr="00940158">
      <w:rPr>
        <w:rStyle w:val="PageNumber"/>
        <w:rFonts w:asciiTheme="majorHAnsi" w:hAnsiTheme="majorHAnsi"/>
      </w:rPr>
      <w:fldChar w:fldCharType="separate"/>
    </w:r>
    <w:r w:rsidR="00C76176">
      <w:rPr>
        <w:rStyle w:val="PageNumber"/>
        <w:rFonts w:asciiTheme="majorHAnsi" w:hAnsiTheme="majorHAnsi"/>
        <w:noProof/>
      </w:rPr>
      <w:t>1</w:t>
    </w:r>
    <w:r w:rsidRPr="00940158">
      <w:rPr>
        <w:rStyle w:val="PageNumber"/>
        <w:rFonts w:asciiTheme="majorHAnsi" w:hAnsiTheme="majorHAnsi"/>
      </w:rPr>
      <w:fldChar w:fldCharType="end"/>
    </w:r>
    <w:r w:rsidRPr="00940158">
      <w:rPr>
        <w:rStyle w:val="PageNumber"/>
        <w:rFonts w:asciiTheme="majorHAnsi" w:hAnsiTheme="majorHAnsi"/>
      </w:rPr>
      <w:t>/2</w:t>
    </w:r>
  </w:p>
  <w:p w14:paraId="64690895" w14:textId="77777777" w:rsidR="00940158" w:rsidRDefault="00940158" w:rsidP="009401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C5710" w14:textId="77777777" w:rsidR="002B2E77" w:rsidRDefault="002B2E77" w:rsidP="00940158">
      <w:r>
        <w:separator/>
      </w:r>
    </w:p>
  </w:footnote>
  <w:footnote w:type="continuationSeparator" w:id="0">
    <w:p w14:paraId="50DEAD1D" w14:textId="77777777" w:rsidR="002B2E77" w:rsidRDefault="002B2E77" w:rsidP="00940158">
      <w:r>
        <w:continuationSeparator/>
      </w:r>
    </w:p>
  </w:footnote>
  <w:footnote w:id="1">
    <w:p w14:paraId="66D520A0" w14:textId="760C2B8B" w:rsidR="00C17F44" w:rsidRPr="00956FC5" w:rsidRDefault="00C17F44" w:rsidP="00C17F44">
      <w:pPr>
        <w:rPr>
          <w:rFonts w:asciiTheme="majorHAnsi" w:eastAsia="Times New Roman" w:hAnsiTheme="majorHAnsi"/>
          <w:sz w:val="18"/>
          <w:szCs w:val="18"/>
          <w:lang w:val="en-US"/>
        </w:rPr>
      </w:pPr>
      <w:r w:rsidRPr="00956FC5">
        <w:rPr>
          <w:rStyle w:val="FootnoteReference"/>
          <w:szCs w:val="18"/>
        </w:rPr>
        <w:footnoteRef/>
      </w:r>
      <w:r w:rsidRPr="00956FC5">
        <w:rPr>
          <w:sz w:val="18"/>
          <w:szCs w:val="18"/>
        </w:rPr>
        <w:t xml:space="preserve"> </w:t>
      </w:r>
      <w:r w:rsidRPr="00956FC5">
        <w:rPr>
          <w:rFonts w:ascii="Calibri" w:eastAsia="Times New Roman" w:hAnsi="Calibri"/>
          <w:color w:val="000000"/>
          <w:sz w:val="18"/>
          <w:szCs w:val="18"/>
          <w:shd w:val="clear" w:color="auto" w:fill="FFFFFF"/>
          <w:lang w:val="en-US"/>
        </w:rPr>
        <w:t xml:space="preserve">ActionAid International, Anima Mundi Law Initiative, AWID (Association for Women’s Rights in Development), </w:t>
      </w:r>
      <w:proofErr w:type="spellStart"/>
      <w:r w:rsidRPr="00956FC5">
        <w:rPr>
          <w:rFonts w:ascii="Calibri" w:eastAsia="Times New Roman" w:hAnsi="Calibri"/>
          <w:color w:val="000000"/>
          <w:sz w:val="18"/>
          <w:szCs w:val="18"/>
          <w:shd w:val="clear" w:color="auto" w:fill="FFFFFF"/>
          <w:lang w:val="en-US"/>
        </w:rPr>
        <w:t>CaL</w:t>
      </w:r>
      <w:proofErr w:type="spellEnd"/>
      <w:r w:rsidRPr="00956FC5">
        <w:rPr>
          <w:rFonts w:ascii="Calibri" w:eastAsia="Times New Roman" w:hAnsi="Calibri"/>
          <w:color w:val="000000"/>
          <w:sz w:val="18"/>
          <w:szCs w:val="18"/>
          <w:shd w:val="clear" w:color="auto" w:fill="FFFFFF"/>
          <w:lang w:val="en-US"/>
        </w:rPr>
        <w:t xml:space="preserve"> (Coalition of African Lesbians), CAWEE (Center for Accelerated Women’s Empowerment), CELS (Centro de </w:t>
      </w:r>
      <w:proofErr w:type="spellStart"/>
      <w:r w:rsidRPr="00956FC5">
        <w:rPr>
          <w:rFonts w:ascii="Calibri" w:eastAsia="Times New Roman" w:hAnsi="Calibri"/>
          <w:color w:val="000000"/>
          <w:sz w:val="18"/>
          <w:szCs w:val="18"/>
          <w:shd w:val="clear" w:color="auto" w:fill="FFFFFF"/>
          <w:lang w:val="en-US"/>
        </w:rPr>
        <w:t>Estudios</w:t>
      </w:r>
      <w:proofErr w:type="spellEnd"/>
      <w:r w:rsidRPr="00956FC5">
        <w:rPr>
          <w:rFonts w:ascii="Calibri" w:eastAsia="Times New Roman" w:hAnsi="Calibri"/>
          <w:color w:val="000000"/>
          <w:sz w:val="18"/>
          <w:szCs w:val="18"/>
          <w:shd w:val="clear" w:color="auto" w:fill="FFFFFF"/>
          <w:lang w:val="en-US"/>
        </w:rPr>
        <w:t xml:space="preserve"> </w:t>
      </w:r>
      <w:proofErr w:type="spellStart"/>
      <w:r w:rsidRPr="00956FC5">
        <w:rPr>
          <w:rFonts w:ascii="Calibri" w:eastAsia="Times New Roman" w:hAnsi="Calibri"/>
          <w:color w:val="000000"/>
          <w:sz w:val="18"/>
          <w:szCs w:val="18"/>
          <w:shd w:val="clear" w:color="auto" w:fill="FFFFFF"/>
          <w:lang w:val="en-US"/>
        </w:rPr>
        <w:t>Legales</w:t>
      </w:r>
      <w:proofErr w:type="spellEnd"/>
      <w:r w:rsidRPr="00956FC5">
        <w:rPr>
          <w:rFonts w:ascii="Calibri" w:eastAsia="Times New Roman" w:hAnsi="Calibri"/>
          <w:color w:val="000000"/>
          <w:sz w:val="18"/>
          <w:szCs w:val="18"/>
          <w:shd w:val="clear" w:color="auto" w:fill="FFFFFF"/>
          <w:lang w:val="en-US"/>
        </w:rPr>
        <w:t xml:space="preserve"> y </w:t>
      </w:r>
      <w:proofErr w:type="spellStart"/>
      <w:r w:rsidRPr="00956FC5">
        <w:rPr>
          <w:rFonts w:ascii="Calibri" w:eastAsia="Times New Roman" w:hAnsi="Calibri"/>
          <w:color w:val="000000"/>
          <w:sz w:val="18"/>
          <w:szCs w:val="18"/>
          <w:shd w:val="clear" w:color="auto" w:fill="FFFFFF"/>
          <w:lang w:val="en-US"/>
        </w:rPr>
        <w:t>Sociales</w:t>
      </w:r>
      <w:proofErr w:type="spellEnd"/>
      <w:r w:rsidRPr="00956FC5">
        <w:rPr>
          <w:rFonts w:ascii="Calibri" w:eastAsia="Times New Roman" w:hAnsi="Calibri"/>
          <w:color w:val="000000"/>
          <w:sz w:val="18"/>
          <w:szCs w:val="18"/>
          <w:shd w:val="clear" w:color="auto" w:fill="FFFFFF"/>
          <w:lang w:val="en-US"/>
        </w:rPr>
        <w:t>, Argentina), DAWN (Development Alternatives with Women for a New era), Federation of Women Lawyers (FIDA Kenya), FIAN International, FIDH, Franciscans International, Gender and Development Network,</w:t>
      </w:r>
      <w:r w:rsidR="00C76176">
        <w:rPr>
          <w:rFonts w:ascii="Calibri" w:eastAsia="Times New Roman" w:hAnsi="Calibri"/>
          <w:color w:val="000000"/>
          <w:sz w:val="18"/>
          <w:szCs w:val="18"/>
          <w:shd w:val="clear" w:color="auto" w:fill="FFFFFF"/>
          <w:lang w:val="en-US"/>
        </w:rPr>
        <w:t xml:space="preserve"> </w:t>
      </w:r>
      <w:proofErr w:type="spellStart"/>
      <w:r w:rsidR="00C76176">
        <w:rPr>
          <w:rFonts w:ascii="Calibri" w:eastAsia="Times New Roman" w:hAnsi="Calibri"/>
          <w:color w:val="000000"/>
          <w:sz w:val="18"/>
          <w:szCs w:val="18"/>
          <w:shd w:val="clear" w:color="auto" w:fill="FFFFFF"/>
          <w:lang w:val="en-US"/>
        </w:rPr>
        <w:t>Manushya</w:t>
      </w:r>
      <w:proofErr w:type="spellEnd"/>
      <w:r w:rsidR="00C76176">
        <w:rPr>
          <w:rFonts w:ascii="Calibri" w:eastAsia="Times New Roman" w:hAnsi="Calibri"/>
          <w:color w:val="000000"/>
          <w:sz w:val="18"/>
          <w:szCs w:val="18"/>
          <w:shd w:val="clear" w:color="auto" w:fill="FFFFFF"/>
          <w:lang w:val="en-US"/>
        </w:rPr>
        <w:t xml:space="preserve"> Foundation,</w:t>
      </w:r>
      <w:bookmarkStart w:id="0" w:name="_GoBack"/>
      <w:bookmarkEnd w:id="0"/>
      <w:r w:rsidRPr="00956FC5">
        <w:rPr>
          <w:rFonts w:ascii="Calibri" w:eastAsia="Times New Roman" w:hAnsi="Calibri"/>
          <w:color w:val="000000"/>
          <w:sz w:val="18"/>
          <w:szCs w:val="18"/>
          <w:shd w:val="clear" w:color="auto" w:fill="FFFFFF"/>
          <w:lang w:val="en-US"/>
        </w:rPr>
        <w:t xml:space="preserve"> NAPE (National Association of Professional Environmentalists), NAWAD (National </w:t>
      </w:r>
      <w:r w:rsidRPr="00956FC5">
        <w:rPr>
          <w:rFonts w:asciiTheme="majorHAnsi" w:eastAsia="Times New Roman" w:hAnsiTheme="majorHAnsi"/>
          <w:color w:val="000000"/>
          <w:sz w:val="18"/>
          <w:szCs w:val="18"/>
          <w:shd w:val="clear" w:color="auto" w:fill="FFFFFF"/>
          <w:lang w:val="en-US"/>
        </w:rPr>
        <w:t>Association for Women's Action in Development), PODER (Project on Organizing, Development, Education, and Research), SIHA Network - Strategic Initiative for Women in the Horn of Africa, Womankind Worldwide, WILPF - Women’s International League for Peace and Freedom</w:t>
      </w:r>
    </w:p>
  </w:footnote>
  <w:footnote w:id="2">
    <w:p w14:paraId="1617DD84" w14:textId="77777777" w:rsidR="00F37548" w:rsidRPr="00D15BE0" w:rsidRDefault="00F37548">
      <w:pPr>
        <w:pStyle w:val="FootnoteText"/>
        <w:rPr>
          <w:lang w:val="en-US"/>
        </w:rPr>
      </w:pPr>
      <w:r>
        <w:rPr>
          <w:rStyle w:val="FootnoteReference"/>
        </w:rPr>
        <w:footnoteRef/>
      </w:r>
      <w:r>
        <w:t xml:space="preserve"> </w:t>
      </w:r>
      <w:r w:rsidRPr="009D7099">
        <w:rPr>
          <w:rFonts w:ascii="Calibri" w:eastAsia="Calibri" w:hAnsi="Calibri" w:cs="Calibri"/>
          <w:szCs w:val="18"/>
        </w:rPr>
        <w:t xml:space="preserve">Gender dimensions of the Guiding Principles on Business and Human Rights, Report of the Working Group on the issue of human rights and transnational corporations and other business enterprises, A/HRC/41/43, 23 May 2019, available at: </w:t>
      </w:r>
      <w:hyperlink r:id="rId1">
        <w:r w:rsidRPr="009D7099">
          <w:rPr>
            <w:rFonts w:ascii="Calibri" w:eastAsia="Calibri" w:hAnsi="Calibri" w:cs="Calibri"/>
            <w:color w:val="1155CC"/>
            <w:szCs w:val="18"/>
            <w:u w:val="single"/>
          </w:rPr>
          <w:t>https://www.ohchr.org/EN/Issues/Business/Pages/GenderLens.aspx</w:t>
        </w:r>
      </w:hyperlink>
    </w:p>
  </w:footnote>
  <w:footnote w:id="3">
    <w:p w14:paraId="2C99D956" w14:textId="77777777" w:rsidR="00F37548" w:rsidRPr="00D15BE0" w:rsidRDefault="00F37548">
      <w:pPr>
        <w:pStyle w:val="FootnoteText"/>
        <w:rPr>
          <w:lang w:val="en-US"/>
        </w:rPr>
      </w:pPr>
      <w:r>
        <w:rPr>
          <w:rStyle w:val="FootnoteReference"/>
        </w:rPr>
        <w:footnoteRef/>
      </w:r>
      <w:r>
        <w:t xml:space="preserve"> </w:t>
      </w:r>
      <w:r w:rsidRPr="009D7099">
        <w:rPr>
          <w:rFonts w:ascii="Calibri" w:eastAsia="Calibri" w:hAnsi="Calibri" w:cs="Calibri"/>
          <w:szCs w:val="18"/>
        </w:rPr>
        <w:t xml:space="preserve">In line with article 10 of the UN Declaration on the rights of Indigenous Peoples, available at: </w:t>
      </w:r>
      <w:hyperlink r:id="rId2">
        <w:r w:rsidRPr="009D7099">
          <w:rPr>
            <w:rFonts w:ascii="Calibri" w:eastAsia="Calibri" w:hAnsi="Calibri" w:cs="Calibri"/>
            <w:szCs w:val="18"/>
          </w:rPr>
          <w:t>https://www.un.org/development/desa/indigenouspeoples/wp-content/uploads/sites/19/2018/11/UNDRIP_E_web.pdf</w:t>
        </w:r>
      </w:hyperlink>
      <w:r w:rsidRPr="009D7099">
        <w:rPr>
          <w:rFonts w:ascii="Calibri" w:eastAsia="Calibri" w:hAnsi="Calibri" w:cs="Calibri"/>
          <w:szCs w:val="18"/>
        </w:rPr>
        <w:t xml:space="preserve">; General Comment No. 24 (2017) on State obligations under the International Covenant on Economic, Social and Cultural Rights in the context of business activities, E/C.12/GC/24, 10 August 2017, para. 12, available at: </w:t>
      </w:r>
      <w:hyperlink r:id="rId3">
        <w:r w:rsidRPr="009D7099">
          <w:rPr>
            <w:rFonts w:ascii="Calibri" w:eastAsia="Calibri" w:hAnsi="Calibri" w:cs="Calibri"/>
            <w:szCs w:val="18"/>
          </w:rPr>
          <w:t>http://docstore.ohchr.org/SelfServices/FilesHandler.ashx?enc=4slQ6QSmlBEDzFEovLCuW1a0Szab0oXTdImnsJZZVQcIMOuuG4TpS9jwIhCJcXiuZ1yrkMD%2FSj8YF%2BSXo4mYx7Y%2F3L3zvM2zSUbw6ujlnCawQrJx3hlK8Odka6DUwG3Y</w:t>
        </w:r>
      </w:hyperlink>
    </w:p>
  </w:footnote>
  <w:footnote w:id="4">
    <w:p w14:paraId="180F5A1F" w14:textId="00E9D950" w:rsidR="003975CC" w:rsidRPr="003975CC" w:rsidRDefault="003975CC" w:rsidP="003975CC">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 xml:space="preserve">Recommendations to this effect have been made by the Independent Fact-finding mission on Myanmar in its report “The economic interests of the Myanmar military”, see para.189 a) to e), A/HRC/42/CRP.3, 5 August 2019, available at: </w:t>
      </w:r>
      <w:hyperlink r:id="rId4">
        <w:r w:rsidRPr="009D7099">
          <w:rPr>
            <w:rFonts w:ascii="Calibri" w:eastAsia="Calibri" w:hAnsi="Calibri" w:cs="Calibri"/>
            <w:color w:val="1155CC"/>
            <w:sz w:val="18"/>
            <w:szCs w:val="18"/>
            <w:u w:val="single"/>
          </w:rPr>
          <w:t>https://www.ohchr.org/EN/HRBodies/HRC/MyanmarFFM/Pages/EconomicInterestsMyanmarMilitary.aspx</w:t>
        </w:r>
      </w:hyperlink>
    </w:p>
  </w:footnote>
  <w:footnote w:id="5">
    <w:p w14:paraId="64AE6249" w14:textId="77777777" w:rsidR="003975CC" w:rsidRPr="009D7099" w:rsidRDefault="003975CC" w:rsidP="003975CC">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 xml:space="preserve">See, in particular, the Report of the UN High Commissioner for Human Rights, Database of all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A/HRC/37/39, 1 February 2018, available at: </w:t>
      </w:r>
      <w:hyperlink r:id="rId5" w:history="1">
        <w:r w:rsidRPr="009D7099">
          <w:rPr>
            <w:rStyle w:val="Hyperlink"/>
            <w:rFonts w:ascii="Calibri" w:eastAsia="Calibri" w:hAnsi="Calibri" w:cs="Calibri"/>
            <w:sz w:val="18"/>
            <w:szCs w:val="18"/>
          </w:rPr>
          <w:t>https://documents-dds-ny.un.org/doc/UNDOC/GEN/G18/021/93/PDF/G1802193.pdf?OpenElement</w:t>
        </w:r>
      </w:hyperlink>
    </w:p>
    <w:p w14:paraId="153666D5" w14:textId="10FD85C8" w:rsidR="003975CC" w:rsidRPr="00D15BE0" w:rsidRDefault="003975CC" w:rsidP="003975CC">
      <w:pPr>
        <w:pStyle w:val="FootnoteText"/>
        <w:rPr>
          <w:lang w:val="en-US"/>
        </w:rPr>
      </w:pPr>
      <w:r w:rsidRPr="009D7099">
        <w:rPr>
          <w:rFonts w:ascii="Calibri" w:eastAsia="Calibri" w:hAnsi="Calibri" w:cs="Calibri"/>
          <w:szCs w:val="18"/>
        </w:rPr>
        <w:t>Para. 40 “The scale, scope and immitigability of the human rights impacts caused by settlements must be taken into consideration as part of businesses’ enhanced due diligence exercises.”; Para. 41“OHCHR notes that, considering the weight of the international legal consensus concerning the illegal nature of the settlements themselves, and the systemic and pervasive nature of the negative human rights impact caused by them, it is difficult to imagine a scenario in which a company could engage in listed activities in a way that is consistent with the Guiding Principles and international law. This view was reinforced in Human Rights Council resolution 34/31 on the Israeli settlements, in which the Council referred to the immitigable nature of the adverse impact of businesses’ activities on human rights.”</w:t>
      </w:r>
    </w:p>
  </w:footnote>
  <w:footnote w:id="6">
    <w:p w14:paraId="59CB79C0" w14:textId="599059D0" w:rsidR="00841EB2" w:rsidRPr="00CB3333" w:rsidRDefault="00841EB2" w:rsidP="00CB3333">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Business and human rights in conflict-affected regions: challenges and options towards State responses,A/HRC/17/32, 27 May 2011, see paras. 17 and 18, available at: http://www.ohchr.org/Documents/Issues/TransCorporations/A.HRC.17.32.pdf</w:t>
      </w:r>
    </w:p>
  </w:footnote>
  <w:footnote w:id="7">
    <w:p w14:paraId="5DFD4D6E" w14:textId="459129E6" w:rsidR="00CB3333" w:rsidRPr="009D7099" w:rsidRDefault="00CB3333" w:rsidP="00CB3333">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 xml:space="preserve">REGULATION (EU) 2017/821 OF THE EUROPEAN PARLIAMENT AND OF THE COUNCIL of 17 May 2017 laying down supply chain due diligence obligations for Union importers of tin, tantalum and tungsten, their ores, and gold originating from conflict-affected and high-risk areas, available at: </w:t>
      </w:r>
      <w:hyperlink r:id="rId6" w:history="1">
        <w:r w:rsidRPr="009D7099">
          <w:rPr>
            <w:rStyle w:val="Hyperlink"/>
            <w:rFonts w:ascii="Calibri" w:eastAsia="Calibri" w:hAnsi="Calibri" w:cs="Calibri"/>
            <w:sz w:val="18"/>
            <w:szCs w:val="18"/>
          </w:rPr>
          <w:t>http://eur-lex.europa.eu/legal-content/EN/TXT/PDF/?uri=OJ:L:2017:130:FULL&amp;from=EN</w:t>
        </w:r>
      </w:hyperlink>
      <w:r>
        <w:rPr>
          <w:rFonts w:ascii="Calibri" w:eastAsia="Calibri" w:hAnsi="Calibri" w:cs="Calibri"/>
          <w:sz w:val="18"/>
          <w:szCs w:val="18"/>
        </w:rPr>
        <w:t xml:space="preserve">; </w:t>
      </w:r>
      <w:r w:rsidRPr="009D7099">
        <w:rPr>
          <w:rFonts w:ascii="Calibri" w:eastAsia="Calibri" w:hAnsi="Calibri" w:cs="Calibri"/>
          <w:sz w:val="18"/>
          <w:szCs w:val="18"/>
        </w:rPr>
        <w:t xml:space="preserve">OECD (2016), OECD Due Diligence Guidance for Responsible Supply Chains of Minerals from Conflict-Affected and High-Risk Areas: Third Edition, OECD Publishing, Paris, available at: </w:t>
      </w:r>
      <w:hyperlink r:id="rId7">
        <w:r w:rsidRPr="009D7099">
          <w:rPr>
            <w:rFonts w:ascii="Calibri" w:eastAsia="Calibri" w:hAnsi="Calibri" w:cs="Calibri"/>
            <w:color w:val="1155CC"/>
            <w:sz w:val="18"/>
            <w:szCs w:val="18"/>
            <w:u w:val="single"/>
          </w:rPr>
          <w:t>http://dx.doi.org/10.1787/9789264252479-en</w:t>
        </w:r>
      </w:hyperlink>
      <w:r w:rsidR="005603C9">
        <w:rPr>
          <w:rFonts w:ascii="Calibri" w:eastAsia="Calibri" w:hAnsi="Calibri" w:cs="Calibri"/>
          <w:color w:val="1155CC"/>
          <w:sz w:val="18"/>
          <w:szCs w:val="18"/>
          <w:u w:val="single"/>
        </w:rPr>
        <w:t xml:space="preserve">; </w:t>
      </w:r>
      <w:r w:rsidR="005603C9" w:rsidRPr="009D7099">
        <w:rPr>
          <w:rFonts w:ascii="Calibri" w:eastAsia="Calibri" w:hAnsi="Calibri" w:cs="Calibri"/>
          <w:sz w:val="18"/>
          <w:szCs w:val="18"/>
        </w:rPr>
        <w:t>Guidance on Responsible Business in Conflict-Affected and High-Risk Areas: A Resource for Companies and Investors A joint UN Global Compact – PRI publication, United Nations Global Compact, 2010, p. 10, available at:</w:t>
      </w:r>
    </w:p>
    <w:p w14:paraId="78521191" w14:textId="5A8FE97D" w:rsidR="00CB3333" w:rsidRPr="00D15BE0" w:rsidRDefault="00CB3333">
      <w:pPr>
        <w:pStyle w:val="FootnoteText"/>
        <w:rPr>
          <w:lang w:val="en-US"/>
        </w:rPr>
      </w:pPr>
    </w:p>
  </w:footnote>
  <w:footnote w:id="8">
    <w:p w14:paraId="05CF9669" w14:textId="77777777" w:rsidR="003171B1" w:rsidRPr="009D7099" w:rsidRDefault="003171B1" w:rsidP="003171B1">
      <w:r w:rsidRPr="009D7099">
        <w:rPr>
          <w:vertAlign w:val="superscript"/>
        </w:rPr>
        <w:footnoteRef/>
      </w:r>
      <w:r w:rsidRPr="009D7099">
        <w:rPr>
          <w:sz w:val="18"/>
          <w:szCs w:val="18"/>
        </w:rPr>
        <w:t xml:space="preserve"> </w:t>
      </w:r>
      <w:hyperlink r:id="rId8">
        <w:r w:rsidRPr="009D7099">
          <w:rPr>
            <w:rFonts w:ascii="Calibri" w:eastAsia="Calibri" w:hAnsi="Calibri" w:cs="Calibri"/>
            <w:color w:val="1155CC"/>
            <w:sz w:val="18"/>
            <w:szCs w:val="18"/>
            <w:u w:val="single"/>
          </w:rPr>
          <w:t>https://www.globalwitness.org/en/press-releases/south-sudans-leadership-uses-state-owned-oil-company-nilepet-funnel</w:t>
        </w:r>
      </w:hyperlink>
    </w:p>
    <w:p w14:paraId="07C9F604" w14:textId="77777777" w:rsidR="003171B1" w:rsidRPr="009D7099" w:rsidRDefault="00C76176" w:rsidP="003171B1">
      <w:pPr>
        <w:rPr>
          <w:rFonts w:ascii="Calibri" w:eastAsia="Calibri" w:hAnsi="Calibri" w:cs="Calibri"/>
          <w:sz w:val="18"/>
          <w:szCs w:val="18"/>
        </w:rPr>
      </w:pPr>
      <w:hyperlink r:id="rId9">
        <w:r w:rsidR="003171B1" w:rsidRPr="009D7099">
          <w:rPr>
            <w:rFonts w:ascii="Calibri" w:eastAsia="Calibri" w:hAnsi="Calibri" w:cs="Calibri"/>
            <w:color w:val="1155CC"/>
            <w:sz w:val="18"/>
            <w:szCs w:val="18"/>
            <w:u w:val="single"/>
          </w:rPr>
          <w:t>-millions-brutal-security-services-and-ethnic-militias/</w:t>
        </w:r>
      </w:hyperlink>
      <w:r w:rsidR="003171B1" w:rsidRPr="009D7099">
        <w:rPr>
          <w:rFonts w:ascii="Calibri" w:eastAsia="Calibri" w:hAnsi="Calibri" w:cs="Calibri"/>
          <w:sz w:val="18"/>
          <w:szCs w:val="18"/>
        </w:rPr>
        <w:t xml:space="preserve">; Recommendations to this effect have been made by the Independent Fact-finding Mission on Myanmar in its report “The economic interests of the Myanmar military”, see paragraph 189 a) to e), A/HRC/42/CRP.3, 5 August 2019, available at: </w:t>
      </w:r>
      <w:hyperlink r:id="rId10">
        <w:r w:rsidR="003171B1" w:rsidRPr="009D7099">
          <w:rPr>
            <w:rFonts w:ascii="Calibri" w:eastAsia="Calibri" w:hAnsi="Calibri" w:cs="Calibri"/>
            <w:color w:val="1155CC"/>
            <w:sz w:val="18"/>
            <w:szCs w:val="18"/>
            <w:u w:val="single"/>
          </w:rPr>
          <w:t>https://www.ohchr.org/EN/HRBodies/HRC/MyanmarFFM/Pages/EconomicInterestsMyanmarMilitary.aspx</w:t>
        </w:r>
      </w:hyperlink>
    </w:p>
  </w:footnote>
  <w:footnote w:id="9">
    <w:p w14:paraId="69EFAFF2" w14:textId="77777777" w:rsidR="003171B1" w:rsidRPr="009D7099" w:rsidRDefault="003171B1" w:rsidP="003171B1">
      <w:pPr>
        <w:rPr>
          <w:rFonts w:ascii="Calibri" w:eastAsia="Calibri" w:hAnsi="Calibri" w:cs="Calibri"/>
          <w:sz w:val="18"/>
          <w:szCs w:val="18"/>
        </w:rPr>
      </w:pPr>
      <w:r w:rsidRPr="009D7099">
        <w:rPr>
          <w:vertAlign w:val="superscript"/>
        </w:rPr>
        <w:footnoteRef/>
      </w:r>
      <w:r w:rsidRPr="009D7099">
        <w:rPr>
          <w:rFonts w:ascii="Calibri" w:eastAsia="Calibri" w:hAnsi="Calibri" w:cs="Calibri"/>
          <w:sz w:val="18"/>
          <w:szCs w:val="18"/>
        </w:rPr>
        <w:t xml:space="preserve"> See, e.g. </w:t>
      </w:r>
      <w:hyperlink r:id="rId11">
        <w:r w:rsidRPr="009D7099">
          <w:rPr>
            <w:rFonts w:ascii="Calibri" w:eastAsia="Calibri" w:hAnsi="Calibri" w:cs="Calibri"/>
            <w:color w:val="1155CC"/>
            <w:sz w:val="18"/>
            <w:szCs w:val="18"/>
            <w:u w:val="single"/>
          </w:rPr>
          <w:t>https://www.fian.org/en/struggle/the-business-of-land-in-matopiba-brazil</w:t>
        </w:r>
      </w:hyperlink>
      <w:r w:rsidRPr="009D7099">
        <w:rPr>
          <w:rFonts w:ascii="Calibri" w:eastAsia="Calibri" w:hAnsi="Calibri" w:cs="Calibri"/>
          <w:sz w:val="18"/>
          <w:szCs w:val="18"/>
        </w:rPr>
        <w:t xml:space="preserve"> </w:t>
      </w:r>
    </w:p>
  </w:footnote>
  <w:footnote w:id="10">
    <w:p w14:paraId="2B3DD578" w14:textId="77777777" w:rsidR="003171B1" w:rsidRPr="009D7099" w:rsidRDefault="003171B1" w:rsidP="003171B1">
      <w:pPr>
        <w:rPr>
          <w:rFonts w:ascii="Calibri" w:eastAsia="Calibri" w:hAnsi="Calibri" w:cs="Calibri"/>
          <w:sz w:val="18"/>
          <w:szCs w:val="18"/>
        </w:rPr>
      </w:pPr>
      <w:r w:rsidRPr="009D7099">
        <w:rPr>
          <w:vertAlign w:val="superscript"/>
        </w:rPr>
        <w:footnoteRef/>
      </w:r>
      <w:r w:rsidRPr="009D7099">
        <w:rPr>
          <w:rFonts w:ascii="Calibri" w:eastAsia="Calibri" w:hAnsi="Calibri" w:cs="Calibri"/>
          <w:sz w:val="18"/>
          <w:szCs w:val="18"/>
        </w:rPr>
        <w:t xml:space="preserve"> </w:t>
      </w:r>
      <w:hyperlink r:id="rId12">
        <w:r w:rsidRPr="009D7099">
          <w:rPr>
            <w:rFonts w:ascii="Calibri" w:eastAsia="Calibri" w:hAnsi="Calibri" w:cs="Calibri"/>
            <w:color w:val="1155CC"/>
            <w:sz w:val="18"/>
            <w:szCs w:val="18"/>
            <w:u w:val="single"/>
          </w:rPr>
          <w:t>https://www.amnesty.org/download/Documents/ACT3008932019ENGLISH.PDF</w:t>
        </w:r>
      </w:hyperlink>
    </w:p>
  </w:footnote>
  <w:footnote w:id="11">
    <w:p w14:paraId="7E332E69" w14:textId="77777777" w:rsidR="003171B1" w:rsidRPr="009D7099" w:rsidRDefault="003171B1" w:rsidP="003171B1">
      <w:pPr>
        <w:rPr>
          <w:rFonts w:ascii="Calibri" w:eastAsia="Calibri" w:hAnsi="Calibri" w:cs="Calibri"/>
          <w:sz w:val="18"/>
          <w:szCs w:val="18"/>
        </w:rPr>
      </w:pPr>
      <w:r w:rsidRPr="009D7099">
        <w:rPr>
          <w:vertAlign w:val="superscript"/>
        </w:rPr>
        <w:footnoteRef/>
      </w:r>
      <w:r w:rsidRPr="009D7099">
        <w:rPr>
          <w:rFonts w:ascii="Calibri" w:eastAsia="Calibri" w:hAnsi="Calibri" w:cs="Calibri"/>
          <w:sz w:val="18"/>
          <w:szCs w:val="18"/>
        </w:rPr>
        <w:t xml:space="preserve"> See, e.g., </w:t>
      </w:r>
      <w:hyperlink r:id="rId13">
        <w:r w:rsidRPr="009D7099">
          <w:rPr>
            <w:rFonts w:ascii="Calibri" w:eastAsia="Calibri" w:hAnsi="Calibri" w:cs="Calibri"/>
            <w:color w:val="1155CC"/>
            <w:sz w:val="18"/>
            <w:szCs w:val="18"/>
            <w:u w:val="single"/>
          </w:rPr>
          <w:t>https://www.ciel.org/project-update/panama-transmission-line-iv/</w:t>
        </w:r>
      </w:hyperlink>
      <w:r w:rsidRPr="009D7099">
        <w:rPr>
          <w:rFonts w:ascii="Calibri" w:eastAsia="Calibri" w:hAnsi="Calibri" w:cs="Calibri"/>
          <w:sz w:val="18"/>
          <w:szCs w:val="18"/>
        </w:rPr>
        <w:t xml:space="preserve"> </w:t>
      </w:r>
    </w:p>
  </w:footnote>
  <w:footnote w:id="12">
    <w:p w14:paraId="45E54E66" w14:textId="3B5F2DF3" w:rsidR="003B2DC2" w:rsidRPr="00DD5C25" w:rsidRDefault="003B2DC2" w:rsidP="00DD5C25">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 xml:space="preserve">Guiding Principles on Business and Human Rights, see Principle 4, available at: </w:t>
      </w:r>
      <w:hyperlink r:id="rId14">
        <w:r w:rsidRPr="009D7099">
          <w:rPr>
            <w:rFonts w:ascii="Calibri" w:eastAsia="Calibri" w:hAnsi="Calibri" w:cs="Calibri"/>
            <w:sz w:val="18"/>
            <w:szCs w:val="18"/>
          </w:rPr>
          <w:t>https://www.ohchr.org/documents/publications/GuidingprinciplesBusinesshr_eN.pdf</w:t>
        </w:r>
      </w:hyperlink>
      <w:r w:rsidRPr="009D7099">
        <w:rPr>
          <w:rFonts w:ascii="Calibri" w:eastAsia="Calibri" w:hAnsi="Calibri" w:cs="Calibri"/>
          <w:sz w:val="18"/>
          <w:szCs w:val="18"/>
        </w:rPr>
        <w:t>; Report of the Working Group on the issue of human rights and transnational corporations and other business enterprises, A/HRC/32/45, 4 May 2016, paras. 22-34</w:t>
      </w:r>
      <w:r>
        <w:rPr>
          <w:rFonts w:ascii="Calibri" w:eastAsia="Calibri" w:hAnsi="Calibri" w:cs="Calibri"/>
          <w:sz w:val="18"/>
          <w:szCs w:val="18"/>
        </w:rPr>
        <w:t xml:space="preserve">; </w:t>
      </w:r>
      <w:r w:rsidRPr="009D7099">
        <w:rPr>
          <w:rFonts w:ascii="Calibri" w:eastAsia="Calibri" w:hAnsi="Calibri" w:cs="Calibri"/>
          <w:sz w:val="18"/>
          <w:szCs w:val="18"/>
        </w:rPr>
        <w:t xml:space="preserve">Guiding Principles on Business and Human Rights, see Principles 4, 5, 6, 8, 9, 10, available at: </w:t>
      </w:r>
      <w:hyperlink r:id="rId15">
        <w:r w:rsidRPr="009D7099">
          <w:rPr>
            <w:rFonts w:ascii="Calibri" w:eastAsia="Calibri" w:hAnsi="Calibri" w:cs="Calibri"/>
            <w:color w:val="1155CC"/>
            <w:sz w:val="18"/>
            <w:szCs w:val="18"/>
            <w:u w:val="single"/>
          </w:rPr>
          <w:t>https://www.ohchr.org/documents/publications/GuidingprinciplesBusinesshr_eN.pdf</w:t>
        </w:r>
      </w:hyperlink>
      <w:r w:rsidRPr="009D7099">
        <w:rPr>
          <w:rFonts w:ascii="Calibri" w:eastAsia="Calibri" w:hAnsi="Calibri" w:cs="Calibri"/>
          <w:color w:val="1155CC"/>
          <w:sz w:val="18"/>
          <w:szCs w:val="18"/>
          <w:u w:val="single"/>
        </w:rPr>
        <w:t>;</w:t>
      </w:r>
      <w:r w:rsidRPr="009D7099">
        <w:rPr>
          <w:rFonts w:ascii="Calibri" w:eastAsia="Calibri" w:hAnsi="Calibri" w:cs="Calibri"/>
          <w:color w:val="1155CC"/>
          <w:sz w:val="18"/>
          <w:szCs w:val="18"/>
        </w:rPr>
        <w:t xml:space="preserve"> </w:t>
      </w:r>
      <w:r w:rsidRPr="009D7099">
        <w:rPr>
          <w:rFonts w:ascii="Calibri" w:eastAsia="Calibri" w:hAnsi="Calibri" w:cs="Calibri"/>
          <w:sz w:val="18"/>
          <w:szCs w:val="18"/>
        </w:rPr>
        <w:t xml:space="preserve">when they negotiate and enforce trade and investment agreements and through privatisation, see General comment No. 24 (2017) on State obligations under the International Covenant on Economic, Social and Cultural Rights in the context of business activities, E/C.12/GC/24, 10 August 2017, para. 13, 21,22 29, available at: </w:t>
      </w:r>
      <w:hyperlink r:id="rId16">
        <w:r w:rsidRPr="009D7099">
          <w:rPr>
            <w:rFonts w:ascii="Calibri" w:eastAsia="Calibri" w:hAnsi="Calibri" w:cs="Calibri"/>
            <w:color w:val="1155CC"/>
            <w:sz w:val="18"/>
            <w:szCs w:val="18"/>
            <w:u w:val="single"/>
          </w:rPr>
          <w:t>http://docstore.ohchr.org/SelfServices/FilesHandler.ashx?enc=4slQ6QSmlBEDzFEovLCuW1a0Szab0oXTdImnsJZZVQcIMOuuG4TpS9jwIhCJcXiuZ1yrkMD%2FSj8YF%2BSXo4mYx7Y%2F3L3zvM2zSUbw6ujlnCawQrJx3hlK8Odka6DUwG3Y</w:t>
        </w:r>
      </w:hyperlink>
    </w:p>
  </w:footnote>
  <w:footnote w:id="13">
    <w:p w14:paraId="5AF12ACD" w14:textId="77777777" w:rsidR="00DD5C25" w:rsidRPr="009D7099" w:rsidRDefault="00DD5C25" w:rsidP="00DD5C25">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 xml:space="preserve">Guiding Principles on Business and Human Rights, see Principle 8, available at: </w:t>
      </w:r>
      <w:hyperlink r:id="rId17">
        <w:r w:rsidRPr="009D7099">
          <w:rPr>
            <w:rFonts w:ascii="Calibri" w:eastAsia="Calibri" w:hAnsi="Calibri" w:cs="Calibri"/>
            <w:sz w:val="18"/>
            <w:szCs w:val="18"/>
          </w:rPr>
          <w:t>https://www.ohchr.org/documents/publications/GuidingprinciplesBusinesshr_eN.pdf</w:t>
        </w:r>
      </w:hyperlink>
      <w:r w:rsidRPr="009D7099">
        <w:rPr>
          <w:rFonts w:ascii="Calibri" w:eastAsia="Calibri" w:hAnsi="Calibri" w:cs="Calibri"/>
          <w:sz w:val="18"/>
          <w:szCs w:val="18"/>
        </w:rPr>
        <w:t xml:space="preserve">; The CEDAW Committee has for instance repeatedly made recommendations to States to ensure rigorous, transparent and gender-sensitive human rights impact assessments of arms transfers, in which State authorities play a central role in the authorisation processes of transfers. See: CEDAW/C/SWE/CO/8-9, paras. 27 (h) and 35; CEDAW/C/DEU/CO/7-8, para. </w:t>
      </w:r>
      <w:r w:rsidRPr="009D7099">
        <w:rPr>
          <w:rFonts w:ascii="Calibri" w:eastAsia="Calibri" w:hAnsi="Calibri" w:cs="Calibri"/>
          <w:sz w:val="18"/>
          <w:szCs w:val="18"/>
          <w:lang w:val="uz-Cyrl-UZ"/>
        </w:rPr>
        <w:t xml:space="preserve">28; CEDAW/C/ITA/CO/7, para. 20; CEDAW/C/NLD/CO/6, para. </w:t>
      </w:r>
      <w:r w:rsidRPr="009D7099">
        <w:rPr>
          <w:rFonts w:ascii="Calibri" w:eastAsia="Calibri" w:hAnsi="Calibri" w:cs="Calibri"/>
          <w:sz w:val="18"/>
          <w:szCs w:val="18"/>
        </w:rPr>
        <w:t>46 (a); CEDAW/C/CHE/CO/4-5, para. 17 (c) and CEDAW/C/FRA/CO/7-8, para. 23</w:t>
      </w:r>
    </w:p>
    <w:p w14:paraId="12477ED4" w14:textId="378741B9" w:rsidR="00DD5C25" w:rsidRPr="00DD5C25" w:rsidRDefault="00DD5C25">
      <w:pPr>
        <w:pStyle w:val="FootnoteText"/>
        <w:rPr>
          <w:lang w:val="fr-F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599B" w14:textId="77777777" w:rsidR="00940158" w:rsidRPr="00940158" w:rsidRDefault="00940158" w:rsidP="00940158">
    <w:pPr>
      <w:pStyle w:val="Header"/>
      <w:jc w:val="right"/>
      <w:rPr>
        <w:rFonts w:asciiTheme="majorHAnsi" w:hAnsiTheme="majorHAnsi"/>
      </w:rPr>
    </w:pPr>
    <w:r w:rsidRPr="00940158">
      <w:rPr>
        <w:rFonts w:asciiTheme="majorHAnsi" w:hAnsiTheme="majorHAnsi"/>
      </w:rPr>
      <w:t>15 October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D1A"/>
    <w:multiLevelType w:val="hybridMultilevel"/>
    <w:tmpl w:val="82A4454C"/>
    <w:lvl w:ilvl="0" w:tplc="A67E9A2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D36"/>
    <w:multiLevelType w:val="hybridMultilevel"/>
    <w:tmpl w:val="1F4C0178"/>
    <w:lvl w:ilvl="0" w:tplc="7994BE5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C3101"/>
    <w:multiLevelType w:val="hybridMultilevel"/>
    <w:tmpl w:val="6F544D16"/>
    <w:lvl w:ilvl="0" w:tplc="2F820AB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35146"/>
    <w:multiLevelType w:val="hybridMultilevel"/>
    <w:tmpl w:val="BCC0855A"/>
    <w:lvl w:ilvl="0" w:tplc="779882F2">
      <w:start w:val="1"/>
      <w:numFmt w:val="decimal"/>
      <w:pStyle w:val="ListParagraph"/>
      <w:lvlText w:val="%1."/>
      <w:lvlJc w:val="left"/>
      <w:pPr>
        <w:ind w:left="1495" w:hanging="360"/>
      </w:pPr>
      <w:rPr>
        <w:rFonts w:ascii="Georgia" w:eastAsia="Georgia" w:hAnsi="Georgia" w:cs="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4414E"/>
    <w:multiLevelType w:val="hybridMultilevel"/>
    <w:tmpl w:val="1F9AB43A"/>
    <w:lvl w:ilvl="0" w:tplc="2E5499E6">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47739"/>
    <w:multiLevelType w:val="hybridMultilevel"/>
    <w:tmpl w:val="0F743E28"/>
    <w:lvl w:ilvl="0" w:tplc="E6EA3ED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zia Scannella">
    <w15:presenceInfo w15:providerId="AD" w15:userId="S::patrizia.scannella@wilpf.org::20e2ad34-c37b-4c2d-863d-ab3e15cf5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58"/>
    <w:rsid w:val="001144A9"/>
    <w:rsid w:val="0024108B"/>
    <w:rsid w:val="00257D22"/>
    <w:rsid w:val="002B2E77"/>
    <w:rsid w:val="003171B1"/>
    <w:rsid w:val="003975CC"/>
    <w:rsid w:val="003B2DC2"/>
    <w:rsid w:val="00440A08"/>
    <w:rsid w:val="00442E10"/>
    <w:rsid w:val="005603C9"/>
    <w:rsid w:val="005754F3"/>
    <w:rsid w:val="006150B0"/>
    <w:rsid w:val="00645D87"/>
    <w:rsid w:val="00666645"/>
    <w:rsid w:val="006A35C7"/>
    <w:rsid w:val="00761713"/>
    <w:rsid w:val="00841EB2"/>
    <w:rsid w:val="009103C0"/>
    <w:rsid w:val="00940158"/>
    <w:rsid w:val="00AD0AAA"/>
    <w:rsid w:val="00AD64F4"/>
    <w:rsid w:val="00B2124B"/>
    <w:rsid w:val="00BA185F"/>
    <w:rsid w:val="00C17F44"/>
    <w:rsid w:val="00C47AE4"/>
    <w:rsid w:val="00C56ABA"/>
    <w:rsid w:val="00C76176"/>
    <w:rsid w:val="00CB3333"/>
    <w:rsid w:val="00D15BE0"/>
    <w:rsid w:val="00D34148"/>
    <w:rsid w:val="00D77764"/>
    <w:rsid w:val="00DB0E94"/>
    <w:rsid w:val="00DD5C25"/>
    <w:rsid w:val="00E366DA"/>
    <w:rsid w:val="00E95C7B"/>
    <w:rsid w:val="00EA4C5B"/>
    <w:rsid w:val="00EC47A2"/>
    <w:rsid w:val="00F37548"/>
    <w:rsid w:val="00F54E11"/>
    <w:rsid w:val="00F655B3"/>
    <w:rsid w:val="00FD7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D796A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94"/>
    <w:rPr>
      <w:rFonts w:ascii="Cambria" w:hAnsi="Cambria" w:cs="Times New Roman"/>
      <w:sz w:val="22"/>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eastAsia="Arial" w:hAnsiTheme="minorHAnsi" w:cs="Arial"/>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paragraph" w:styleId="NormalWeb">
    <w:name w:val="Normal (Web)"/>
    <w:basedOn w:val="Normal"/>
    <w:uiPriority w:val="99"/>
    <w:semiHidden/>
    <w:unhideWhenUsed/>
    <w:rsid w:val="00940158"/>
    <w:pPr>
      <w:spacing w:before="100" w:beforeAutospacing="1" w:after="100" w:afterAutospacing="1"/>
    </w:pPr>
    <w:rPr>
      <w:rFonts w:ascii="Times New Roman" w:hAnsi="Times New Roman"/>
      <w:sz w:val="20"/>
      <w:szCs w:val="20"/>
      <w:lang w:val="en-US"/>
    </w:rPr>
  </w:style>
  <w:style w:type="paragraph" w:styleId="Footer">
    <w:name w:val="footer"/>
    <w:basedOn w:val="Normal"/>
    <w:link w:val="FooterChar"/>
    <w:uiPriority w:val="99"/>
    <w:unhideWhenUsed/>
    <w:rsid w:val="00940158"/>
    <w:pPr>
      <w:tabs>
        <w:tab w:val="center" w:pos="4320"/>
        <w:tab w:val="right" w:pos="8640"/>
      </w:tabs>
    </w:pPr>
  </w:style>
  <w:style w:type="character" w:customStyle="1" w:styleId="FooterChar">
    <w:name w:val="Footer Char"/>
    <w:basedOn w:val="DefaultParagraphFont"/>
    <w:link w:val="Footer"/>
    <w:uiPriority w:val="99"/>
    <w:rsid w:val="00940158"/>
    <w:rPr>
      <w:rFonts w:ascii="Cambria" w:hAnsi="Cambria" w:cs="Times New Roman"/>
      <w:sz w:val="22"/>
    </w:rPr>
  </w:style>
  <w:style w:type="character" w:styleId="PageNumber">
    <w:name w:val="page number"/>
    <w:basedOn w:val="DefaultParagraphFont"/>
    <w:uiPriority w:val="99"/>
    <w:semiHidden/>
    <w:unhideWhenUsed/>
    <w:rsid w:val="00940158"/>
  </w:style>
  <w:style w:type="paragraph" w:styleId="Header">
    <w:name w:val="header"/>
    <w:basedOn w:val="Normal"/>
    <w:link w:val="HeaderChar"/>
    <w:uiPriority w:val="99"/>
    <w:unhideWhenUsed/>
    <w:rsid w:val="00940158"/>
    <w:pPr>
      <w:tabs>
        <w:tab w:val="center" w:pos="4320"/>
        <w:tab w:val="right" w:pos="8640"/>
      </w:tabs>
    </w:pPr>
  </w:style>
  <w:style w:type="character" w:customStyle="1" w:styleId="HeaderChar">
    <w:name w:val="Header Char"/>
    <w:basedOn w:val="DefaultParagraphFont"/>
    <w:link w:val="Header"/>
    <w:uiPriority w:val="99"/>
    <w:rsid w:val="00940158"/>
    <w:rPr>
      <w:rFonts w:ascii="Cambria" w:hAnsi="Cambria" w:cs="Times New Roman"/>
      <w:sz w:val="22"/>
    </w:rPr>
  </w:style>
  <w:style w:type="paragraph" w:styleId="CommentText">
    <w:name w:val="annotation text"/>
    <w:basedOn w:val="Normal"/>
    <w:link w:val="CommentTextChar"/>
    <w:uiPriority w:val="99"/>
    <w:semiHidden/>
    <w:unhideWhenUsed/>
    <w:rsid w:val="003975CC"/>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3975CC"/>
    <w:rPr>
      <w:rFonts w:ascii="Arial" w:eastAsia="Arial" w:hAnsi="Arial" w:cs="Arial"/>
      <w:sz w:val="20"/>
      <w:szCs w:val="20"/>
      <w:lang w:eastAsia="en-GB"/>
    </w:rPr>
  </w:style>
  <w:style w:type="character" w:styleId="Hyperlink">
    <w:name w:val="Hyperlink"/>
    <w:basedOn w:val="DefaultParagraphFont"/>
    <w:uiPriority w:val="99"/>
    <w:unhideWhenUsed/>
    <w:rsid w:val="003975CC"/>
    <w:rPr>
      <w:color w:val="0000FF"/>
      <w:u w:val="single"/>
    </w:rPr>
  </w:style>
  <w:style w:type="character" w:styleId="CommentReference">
    <w:name w:val="annotation reference"/>
    <w:basedOn w:val="DefaultParagraphFont"/>
    <w:uiPriority w:val="99"/>
    <w:semiHidden/>
    <w:unhideWhenUsed/>
    <w:rsid w:val="00D15BE0"/>
    <w:rPr>
      <w:sz w:val="16"/>
      <w:szCs w:val="16"/>
    </w:rPr>
  </w:style>
  <w:style w:type="paragraph" w:styleId="CommentSubject">
    <w:name w:val="annotation subject"/>
    <w:basedOn w:val="CommentText"/>
    <w:next w:val="CommentText"/>
    <w:link w:val="CommentSubjectChar"/>
    <w:uiPriority w:val="99"/>
    <w:semiHidden/>
    <w:unhideWhenUsed/>
    <w:rsid w:val="00D15BE0"/>
    <w:rPr>
      <w:rFonts w:ascii="Cambria" w:eastAsia="MS Mincho" w:hAnsi="Cambria" w:cs="Times New Roman"/>
      <w:b/>
      <w:bCs/>
      <w:lang w:eastAsia="en-US"/>
    </w:rPr>
  </w:style>
  <w:style w:type="character" w:customStyle="1" w:styleId="CommentSubjectChar">
    <w:name w:val="Comment Subject Char"/>
    <w:basedOn w:val="CommentTextChar"/>
    <w:link w:val="CommentSubject"/>
    <w:uiPriority w:val="99"/>
    <w:semiHidden/>
    <w:rsid w:val="00D15BE0"/>
    <w:rPr>
      <w:rFonts w:ascii="Cambria" w:eastAsia="Arial" w:hAnsi="Cambria" w:cs="Times New Roman"/>
      <w:b/>
      <w:bC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94"/>
    <w:rPr>
      <w:rFonts w:ascii="Cambria" w:hAnsi="Cambria" w:cs="Times New Roman"/>
      <w:sz w:val="22"/>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eastAsia="Arial" w:hAnsiTheme="minorHAnsi" w:cs="Arial"/>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paragraph" w:styleId="NormalWeb">
    <w:name w:val="Normal (Web)"/>
    <w:basedOn w:val="Normal"/>
    <w:uiPriority w:val="99"/>
    <w:semiHidden/>
    <w:unhideWhenUsed/>
    <w:rsid w:val="00940158"/>
    <w:pPr>
      <w:spacing w:before="100" w:beforeAutospacing="1" w:after="100" w:afterAutospacing="1"/>
    </w:pPr>
    <w:rPr>
      <w:rFonts w:ascii="Times New Roman" w:hAnsi="Times New Roman"/>
      <w:sz w:val="20"/>
      <w:szCs w:val="20"/>
      <w:lang w:val="en-US"/>
    </w:rPr>
  </w:style>
  <w:style w:type="paragraph" w:styleId="Footer">
    <w:name w:val="footer"/>
    <w:basedOn w:val="Normal"/>
    <w:link w:val="FooterChar"/>
    <w:uiPriority w:val="99"/>
    <w:unhideWhenUsed/>
    <w:rsid w:val="00940158"/>
    <w:pPr>
      <w:tabs>
        <w:tab w:val="center" w:pos="4320"/>
        <w:tab w:val="right" w:pos="8640"/>
      </w:tabs>
    </w:pPr>
  </w:style>
  <w:style w:type="character" w:customStyle="1" w:styleId="FooterChar">
    <w:name w:val="Footer Char"/>
    <w:basedOn w:val="DefaultParagraphFont"/>
    <w:link w:val="Footer"/>
    <w:uiPriority w:val="99"/>
    <w:rsid w:val="00940158"/>
    <w:rPr>
      <w:rFonts w:ascii="Cambria" w:hAnsi="Cambria" w:cs="Times New Roman"/>
      <w:sz w:val="22"/>
    </w:rPr>
  </w:style>
  <w:style w:type="character" w:styleId="PageNumber">
    <w:name w:val="page number"/>
    <w:basedOn w:val="DefaultParagraphFont"/>
    <w:uiPriority w:val="99"/>
    <w:semiHidden/>
    <w:unhideWhenUsed/>
    <w:rsid w:val="00940158"/>
  </w:style>
  <w:style w:type="paragraph" w:styleId="Header">
    <w:name w:val="header"/>
    <w:basedOn w:val="Normal"/>
    <w:link w:val="HeaderChar"/>
    <w:uiPriority w:val="99"/>
    <w:unhideWhenUsed/>
    <w:rsid w:val="00940158"/>
    <w:pPr>
      <w:tabs>
        <w:tab w:val="center" w:pos="4320"/>
        <w:tab w:val="right" w:pos="8640"/>
      </w:tabs>
    </w:pPr>
  </w:style>
  <w:style w:type="character" w:customStyle="1" w:styleId="HeaderChar">
    <w:name w:val="Header Char"/>
    <w:basedOn w:val="DefaultParagraphFont"/>
    <w:link w:val="Header"/>
    <w:uiPriority w:val="99"/>
    <w:rsid w:val="00940158"/>
    <w:rPr>
      <w:rFonts w:ascii="Cambria" w:hAnsi="Cambria" w:cs="Times New Roman"/>
      <w:sz w:val="22"/>
    </w:rPr>
  </w:style>
  <w:style w:type="paragraph" w:styleId="CommentText">
    <w:name w:val="annotation text"/>
    <w:basedOn w:val="Normal"/>
    <w:link w:val="CommentTextChar"/>
    <w:uiPriority w:val="99"/>
    <w:semiHidden/>
    <w:unhideWhenUsed/>
    <w:rsid w:val="003975CC"/>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3975CC"/>
    <w:rPr>
      <w:rFonts w:ascii="Arial" w:eastAsia="Arial" w:hAnsi="Arial" w:cs="Arial"/>
      <w:sz w:val="20"/>
      <w:szCs w:val="20"/>
      <w:lang w:eastAsia="en-GB"/>
    </w:rPr>
  </w:style>
  <w:style w:type="character" w:styleId="Hyperlink">
    <w:name w:val="Hyperlink"/>
    <w:basedOn w:val="DefaultParagraphFont"/>
    <w:uiPriority w:val="99"/>
    <w:unhideWhenUsed/>
    <w:rsid w:val="003975CC"/>
    <w:rPr>
      <w:color w:val="0000FF"/>
      <w:u w:val="single"/>
    </w:rPr>
  </w:style>
  <w:style w:type="character" w:styleId="CommentReference">
    <w:name w:val="annotation reference"/>
    <w:basedOn w:val="DefaultParagraphFont"/>
    <w:uiPriority w:val="99"/>
    <w:semiHidden/>
    <w:unhideWhenUsed/>
    <w:rsid w:val="00D15BE0"/>
    <w:rPr>
      <w:sz w:val="16"/>
      <w:szCs w:val="16"/>
    </w:rPr>
  </w:style>
  <w:style w:type="paragraph" w:styleId="CommentSubject">
    <w:name w:val="annotation subject"/>
    <w:basedOn w:val="CommentText"/>
    <w:next w:val="CommentText"/>
    <w:link w:val="CommentSubjectChar"/>
    <w:uiPriority w:val="99"/>
    <w:semiHidden/>
    <w:unhideWhenUsed/>
    <w:rsid w:val="00D15BE0"/>
    <w:rPr>
      <w:rFonts w:ascii="Cambria" w:eastAsia="MS Mincho" w:hAnsi="Cambria" w:cs="Times New Roman"/>
      <w:b/>
      <w:bCs/>
      <w:lang w:eastAsia="en-US"/>
    </w:rPr>
  </w:style>
  <w:style w:type="character" w:customStyle="1" w:styleId="CommentSubjectChar">
    <w:name w:val="Comment Subject Char"/>
    <w:basedOn w:val="CommentTextChar"/>
    <w:link w:val="CommentSubject"/>
    <w:uiPriority w:val="99"/>
    <w:semiHidden/>
    <w:rsid w:val="00D15BE0"/>
    <w:rPr>
      <w:rFonts w:ascii="Cambria" w:eastAsia="Arial" w:hAnsi="Cambri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00835">
      <w:bodyDiv w:val="1"/>
      <w:marLeft w:val="0"/>
      <w:marRight w:val="0"/>
      <w:marTop w:val="0"/>
      <w:marBottom w:val="0"/>
      <w:divBdr>
        <w:top w:val="none" w:sz="0" w:space="0" w:color="auto"/>
        <w:left w:val="none" w:sz="0" w:space="0" w:color="auto"/>
        <w:bottom w:val="none" w:sz="0" w:space="0" w:color="auto"/>
        <w:right w:val="none" w:sz="0" w:space="0" w:color="auto"/>
      </w:divBdr>
    </w:div>
    <w:div w:id="1778257843">
      <w:bodyDiv w:val="1"/>
      <w:marLeft w:val="0"/>
      <w:marRight w:val="0"/>
      <w:marTop w:val="0"/>
      <w:marBottom w:val="0"/>
      <w:divBdr>
        <w:top w:val="none" w:sz="0" w:space="0" w:color="auto"/>
        <w:left w:val="none" w:sz="0" w:space="0" w:color="auto"/>
        <w:bottom w:val="none" w:sz="0" w:space="0" w:color="auto"/>
        <w:right w:val="none" w:sz="0" w:space="0" w:color="auto"/>
      </w:divBdr>
      <w:divsChild>
        <w:div w:id="668827379">
          <w:marLeft w:val="0"/>
          <w:marRight w:val="0"/>
          <w:marTop w:val="0"/>
          <w:marBottom w:val="0"/>
          <w:divBdr>
            <w:top w:val="none" w:sz="0" w:space="0" w:color="auto"/>
            <w:left w:val="none" w:sz="0" w:space="0" w:color="auto"/>
            <w:bottom w:val="none" w:sz="0" w:space="0" w:color="auto"/>
            <w:right w:val="none" w:sz="0" w:space="0" w:color="auto"/>
          </w:divBdr>
          <w:divsChild>
            <w:div w:id="1182552668">
              <w:marLeft w:val="0"/>
              <w:marRight w:val="0"/>
              <w:marTop w:val="0"/>
              <w:marBottom w:val="0"/>
              <w:divBdr>
                <w:top w:val="none" w:sz="0" w:space="0" w:color="auto"/>
                <w:left w:val="none" w:sz="0" w:space="0" w:color="auto"/>
                <w:bottom w:val="none" w:sz="0" w:space="0" w:color="auto"/>
                <w:right w:val="none" w:sz="0" w:space="0" w:color="auto"/>
              </w:divBdr>
              <w:divsChild>
                <w:div w:id="19519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1" Type="http://schemas.openxmlformats.org/officeDocument/2006/relationships/hyperlink" Target="https://www.fian.org/en/struggle/the-business-of-land-in-matopiba-brazil" TargetMode="External"/><Relationship Id="rId12" Type="http://schemas.openxmlformats.org/officeDocument/2006/relationships/hyperlink" Target="https://www.amnesty.org/download/Documents/ACT3008932019ENGLISH.PDF" TargetMode="External"/><Relationship Id="rId13" Type="http://schemas.openxmlformats.org/officeDocument/2006/relationships/hyperlink" Target="https://www.ciel.org/project-update/panama-transmission-line-iv/" TargetMode="External"/><Relationship Id="rId14" Type="http://schemas.openxmlformats.org/officeDocument/2006/relationships/hyperlink" Target="https://www.ohchr.org/documents/publications/GuidingprinciplesBusinesshr_eN.pdf" TargetMode="External"/><Relationship Id="rId15" Type="http://schemas.openxmlformats.org/officeDocument/2006/relationships/hyperlink" Target="https://www.ohchr.org/documents/publications/GuidingprinciplesBusinesshr_eN.pdf" TargetMode="External"/><Relationship Id="rId16" Type="http://schemas.openxmlformats.org/officeDocument/2006/relationships/hyperlink" Target="http://docstore.ohchr.org/SelfServices/FilesHandler.ashx?enc=4slQ6QSmlBEDzFEovLCuW1a0Szab0oXTdImnsJZZVQcIMOuuG4TpS9jwIhCJcXiuZ1yrkMD%2FSj8YF%2BSXo4mYx7Y%2F3L3zvM2zSUbw6ujlnCawQrJx3hlK8Odka6DUwG3Y" TargetMode="External"/><Relationship Id="rId17" Type="http://schemas.openxmlformats.org/officeDocument/2006/relationships/hyperlink" Target="https://www.ohchr.org/documents/publications/GuidingprinciplesBusinesshr_eN.pdf" TargetMode="External"/><Relationship Id="rId1" Type="http://schemas.openxmlformats.org/officeDocument/2006/relationships/hyperlink" Target="https://www.ohchr.org/EN/Issues/Business/Pages/GenderLens.aspx" TargetMode="External"/><Relationship Id="rId2" Type="http://schemas.openxmlformats.org/officeDocument/2006/relationships/hyperlink" Target="https://www.un.org/development/desa/indigenouspeoples/wp-content/uploads/sites/19/2018/11/UNDRIP_E_web.pdf" TargetMode="External"/><Relationship Id="rId3" Type="http://schemas.openxmlformats.org/officeDocument/2006/relationships/hyperlink" Target="http://docstore.ohchr.org/SelfServices/FilesHandler.ashx?enc=4slQ6QSmlBEDzFEovLCuW1a0Szab0oXTdImnsJZZVQcIMOuuG4TpS9jwIhCJcXiuZ1yrkMD%2FSj8YF%2BSXo4mYx7Y%2F3L3zvM2zSUbw6ujlnCawQrJx3hlK8Odka6DUwG3Y" TargetMode="External"/><Relationship Id="rId4" Type="http://schemas.openxmlformats.org/officeDocument/2006/relationships/hyperlink" Target="https://www.ohchr.org/EN/HRBodies/HRC/MyanmarFFM/Pages/EconomicInterestsMyanmarMilitary.aspx" TargetMode="External"/><Relationship Id="rId5" Type="http://schemas.openxmlformats.org/officeDocument/2006/relationships/hyperlink" Target="https://documents-dds-ny.un.org/doc/UNDOC/GEN/G18/021/93/PDF/G1802193.pdf?OpenElement" TargetMode="External"/><Relationship Id="rId6" Type="http://schemas.openxmlformats.org/officeDocument/2006/relationships/hyperlink" Target="http://eur-lex.europa.eu/legal-content/EN/TXT/PDF/?uri=OJ:L:2017:130:FULL&amp;from=EN" TargetMode="External"/><Relationship Id="rId7" Type="http://schemas.openxmlformats.org/officeDocument/2006/relationships/hyperlink" Target="http://dx.doi.org/10.1787/9789264252479-en" TargetMode="External"/><Relationship Id="rId8" Type="http://schemas.openxmlformats.org/officeDocument/2006/relationships/hyperlink" Target="https://www.globalwitness.org/en/press-releases/south-sudans-leadership-uses-state-owned-oil-company-nilepet-funnel-millions-brutal-security-services-and-ethnic-militias/" TargetMode="External"/><Relationship Id="rId9" Type="http://schemas.openxmlformats.org/officeDocument/2006/relationships/hyperlink" Target="https://www.globalwitness.org/en/press-releases/south-sudans-leadership-uses-state-owned-oil-company-nilepet-funnel-millions-brutal-security-services-and-ethnic-militias/" TargetMode="External"/><Relationship Id="rId10" Type="http://schemas.openxmlformats.org/officeDocument/2006/relationships/hyperlink" Target="https://www.ohchr.org/EN/HRBodies/HRC/MyanmarFFM/Pages/EconomicInterestsMyanmarMilita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47C764-7B60-4ED3-A7F9-863855224F22}"/>
</file>

<file path=customXml/itemProps2.xml><?xml version="1.0" encoding="utf-8"?>
<ds:datastoreItem xmlns:ds="http://schemas.openxmlformats.org/officeDocument/2006/customXml" ds:itemID="{666BB57F-C2D9-4683-99CE-4FDC54200967}"/>
</file>

<file path=customXml/itemProps3.xml><?xml version="1.0" encoding="utf-8"?>
<ds:datastoreItem xmlns:ds="http://schemas.openxmlformats.org/officeDocument/2006/customXml" ds:itemID="{FB22AC19-00AC-4EEF-B621-A990FBA6D8C8}"/>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6938</Characters>
  <Application>Microsoft Macintosh Word</Application>
  <DocSecurity>0</DocSecurity>
  <Lines>157</Lines>
  <Paragraphs>33</Paragraphs>
  <ScaleCrop>false</ScaleCrop>
  <HeadingPairs>
    <vt:vector size="2" baseType="variant">
      <vt:variant>
        <vt:lpstr>Title</vt:lpstr>
      </vt:variant>
      <vt:variant>
        <vt:i4>1</vt:i4>
      </vt:variant>
    </vt:vector>
  </HeadingPairs>
  <TitlesOfParts>
    <vt:vector size="1" baseType="lpstr">
      <vt:lpstr/>
    </vt:vector>
  </TitlesOfParts>
  <Company>WILPF</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WILPF WILPF</dc:creator>
  <cp:keywords/>
  <dc:description/>
  <cp:lastModifiedBy>WILPF WILPF</cp:lastModifiedBy>
  <cp:revision>3</cp:revision>
  <dcterms:created xsi:type="dcterms:W3CDTF">2019-10-15T10:11:00Z</dcterms:created>
  <dcterms:modified xsi:type="dcterms:W3CDTF">2019-10-22T09:30:00Z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