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900FF" w14:textId="4058C699" w:rsidR="00BA28E7" w:rsidRDefault="00423345" w:rsidP="00390D68">
      <w:pPr>
        <w:pStyle w:val="BodyText"/>
        <w:spacing w:line="276" w:lineRule="auto"/>
        <w:rPr>
          <w:b/>
          <w:color w:val="FF0000"/>
          <w:w w:val="105"/>
        </w:rPr>
      </w:pPr>
      <w:r>
        <w:rPr>
          <w:noProof/>
        </w:rPr>
        <w:drawing>
          <wp:anchor distT="0" distB="0" distL="114300" distR="114300" simplePos="0" relativeHeight="251658240" behindDoc="0" locked="0" layoutInCell="1" allowOverlap="1" wp14:anchorId="5955FFD0" wp14:editId="1B094DB2">
            <wp:simplePos x="0" y="0"/>
            <wp:positionH relativeFrom="column">
              <wp:posOffset>-635</wp:posOffset>
            </wp:positionH>
            <wp:positionV relativeFrom="paragraph">
              <wp:posOffset>0</wp:posOffset>
            </wp:positionV>
            <wp:extent cx="1803400" cy="7620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4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D9EF2A" w14:textId="75DD0271" w:rsidR="00BA28E7" w:rsidRPr="00F32961" w:rsidRDefault="006A2726" w:rsidP="00390D68">
      <w:pPr>
        <w:pStyle w:val="BodyText"/>
        <w:spacing w:line="276" w:lineRule="auto"/>
        <w:rPr>
          <w:sz w:val="20"/>
        </w:rPr>
      </w:pPr>
      <w:r w:rsidRPr="006A2726">
        <w:rPr>
          <w:b/>
          <w:color w:val="FF0000"/>
          <w:w w:val="105"/>
        </w:rPr>
        <w:t xml:space="preserve"> </w:t>
      </w:r>
    </w:p>
    <w:p w14:paraId="51B90309" w14:textId="77777777" w:rsidR="006A2726" w:rsidRDefault="00BA28E7" w:rsidP="00BE39E9">
      <w:pPr>
        <w:spacing w:line="276" w:lineRule="auto"/>
        <w:ind w:right="179"/>
        <w:jc w:val="right"/>
        <w:rPr>
          <w:b/>
          <w:w w:val="105"/>
          <w:sz w:val="21"/>
        </w:rPr>
      </w:pPr>
      <w:r>
        <w:rPr>
          <w:b/>
          <w:color w:val="FF0000"/>
          <w:w w:val="105"/>
          <w:sz w:val="21"/>
        </w:rPr>
        <w:t>C</w:t>
      </w:r>
      <w:r w:rsidRPr="006A2726">
        <w:rPr>
          <w:b/>
          <w:color w:val="FF0000"/>
          <w:w w:val="105"/>
          <w:sz w:val="21"/>
        </w:rPr>
        <w:t>heck against delivery!</w:t>
      </w:r>
    </w:p>
    <w:p w14:paraId="41B655DF" w14:textId="77777777" w:rsidR="00BA28E7" w:rsidRDefault="00BA28E7" w:rsidP="00390D68">
      <w:pPr>
        <w:spacing w:line="276" w:lineRule="auto"/>
        <w:ind w:right="179"/>
        <w:jc w:val="center"/>
        <w:rPr>
          <w:b/>
          <w:w w:val="105"/>
          <w:sz w:val="21"/>
        </w:rPr>
      </w:pPr>
    </w:p>
    <w:p w14:paraId="0B09318B" w14:textId="77777777" w:rsidR="00BA28E7" w:rsidRDefault="00BA28E7" w:rsidP="00390D68">
      <w:pPr>
        <w:spacing w:line="276" w:lineRule="auto"/>
        <w:ind w:right="179"/>
        <w:rPr>
          <w:b/>
          <w:w w:val="105"/>
          <w:sz w:val="21"/>
        </w:rPr>
      </w:pPr>
    </w:p>
    <w:p w14:paraId="7ABE59B0" w14:textId="77777777" w:rsidR="00BA28E7" w:rsidRPr="002D55A8" w:rsidRDefault="00BA28E7" w:rsidP="00390D68">
      <w:pPr>
        <w:spacing w:line="276" w:lineRule="auto"/>
        <w:ind w:right="179"/>
        <w:rPr>
          <w:b/>
          <w:w w:val="105"/>
        </w:rPr>
      </w:pPr>
    </w:p>
    <w:p w14:paraId="1EFE44CE" w14:textId="660BDD62" w:rsidR="002D55A8" w:rsidRPr="00892D5E" w:rsidRDefault="00423345" w:rsidP="00390D68">
      <w:pPr>
        <w:spacing w:line="276" w:lineRule="auto"/>
        <w:ind w:right="179"/>
        <w:jc w:val="center"/>
        <w:rPr>
          <w:b/>
          <w:w w:val="105"/>
          <w:sz w:val="24"/>
          <w:szCs w:val="24"/>
        </w:rPr>
      </w:pPr>
      <w:r>
        <w:rPr>
          <w:b/>
          <w:w w:val="105"/>
          <w:sz w:val="24"/>
          <w:szCs w:val="24"/>
        </w:rPr>
        <w:t>5</w:t>
      </w:r>
      <w:r w:rsidR="00892D5E" w:rsidRPr="00892D5E">
        <w:rPr>
          <w:b/>
          <w:w w:val="105"/>
          <w:sz w:val="24"/>
          <w:szCs w:val="24"/>
          <w:vertAlign w:val="superscript"/>
        </w:rPr>
        <w:t>th</w:t>
      </w:r>
      <w:r w:rsidR="00892D5E">
        <w:rPr>
          <w:b/>
          <w:w w:val="105"/>
          <w:sz w:val="24"/>
          <w:szCs w:val="24"/>
        </w:rPr>
        <w:t xml:space="preserve"> </w:t>
      </w:r>
      <w:r w:rsidR="006A2726" w:rsidRPr="00892D5E">
        <w:rPr>
          <w:b/>
          <w:w w:val="105"/>
          <w:sz w:val="24"/>
          <w:szCs w:val="24"/>
        </w:rPr>
        <w:t>session of the Inter</w:t>
      </w:r>
      <w:r>
        <w:rPr>
          <w:b/>
          <w:w w:val="105"/>
          <w:sz w:val="24"/>
          <w:szCs w:val="24"/>
        </w:rPr>
        <w:t>-G</w:t>
      </w:r>
      <w:r w:rsidR="006A2726" w:rsidRPr="00892D5E">
        <w:rPr>
          <w:b/>
          <w:w w:val="105"/>
          <w:sz w:val="24"/>
          <w:szCs w:val="24"/>
        </w:rPr>
        <w:t>overnmental Working Group on transnational corporations and other business enterprises with respect to human rights</w:t>
      </w:r>
      <w:r w:rsidR="009D52CC" w:rsidRPr="00892D5E">
        <w:rPr>
          <w:b/>
          <w:w w:val="105"/>
          <w:sz w:val="24"/>
          <w:szCs w:val="24"/>
        </w:rPr>
        <w:t xml:space="preserve"> </w:t>
      </w:r>
    </w:p>
    <w:p w14:paraId="3AEEE28E" w14:textId="77777777" w:rsidR="002D55A8" w:rsidRDefault="002D55A8" w:rsidP="00390D68">
      <w:pPr>
        <w:spacing w:line="276" w:lineRule="auto"/>
        <w:ind w:right="179"/>
        <w:jc w:val="center"/>
        <w:rPr>
          <w:b/>
          <w:w w:val="105"/>
        </w:rPr>
      </w:pPr>
    </w:p>
    <w:p w14:paraId="7383BDFB" w14:textId="13013F87" w:rsidR="006A2726" w:rsidRPr="002D55A8" w:rsidRDefault="009D52CC" w:rsidP="00390D68">
      <w:pPr>
        <w:spacing w:line="276" w:lineRule="auto"/>
        <w:ind w:right="179"/>
        <w:jc w:val="center"/>
        <w:rPr>
          <w:b/>
          <w:w w:val="105"/>
        </w:rPr>
      </w:pPr>
      <w:r w:rsidRPr="002D55A8">
        <w:rPr>
          <w:b/>
          <w:w w:val="105"/>
        </w:rPr>
        <w:t>(1</w:t>
      </w:r>
      <w:r w:rsidR="00423345">
        <w:rPr>
          <w:b/>
          <w:w w:val="105"/>
        </w:rPr>
        <w:t>4</w:t>
      </w:r>
      <w:r w:rsidRPr="002D55A8">
        <w:rPr>
          <w:b/>
          <w:w w:val="105"/>
        </w:rPr>
        <w:t>-1</w:t>
      </w:r>
      <w:r w:rsidR="00423345">
        <w:rPr>
          <w:b/>
          <w:w w:val="105"/>
        </w:rPr>
        <w:t>8</w:t>
      </w:r>
      <w:r w:rsidRPr="002D55A8">
        <w:rPr>
          <w:b/>
          <w:w w:val="105"/>
        </w:rPr>
        <w:t xml:space="preserve"> October 201</w:t>
      </w:r>
      <w:r w:rsidR="00423345">
        <w:rPr>
          <w:b/>
          <w:w w:val="105"/>
        </w:rPr>
        <w:t>9</w:t>
      </w:r>
      <w:r w:rsidRPr="002D55A8">
        <w:rPr>
          <w:b/>
          <w:w w:val="105"/>
        </w:rPr>
        <w:t>)</w:t>
      </w:r>
    </w:p>
    <w:p w14:paraId="201C2891" w14:textId="77777777" w:rsidR="006A2726" w:rsidRDefault="006A2726" w:rsidP="00390D68">
      <w:pPr>
        <w:spacing w:line="276" w:lineRule="auto"/>
        <w:ind w:right="179"/>
        <w:jc w:val="center"/>
        <w:rPr>
          <w:b/>
          <w:w w:val="105"/>
          <w:sz w:val="21"/>
        </w:rPr>
      </w:pPr>
    </w:p>
    <w:p w14:paraId="734D092E" w14:textId="4B548798" w:rsidR="006A2726" w:rsidRPr="00334580" w:rsidRDefault="00A8349C" w:rsidP="00390D68">
      <w:pPr>
        <w:spacing w:line="276" w:lineRule="auto"/>
        <w:ind w:right="179"/>
        <w:jc w:val="center"/>
        <w:rPr>
          <w:b/>
          <w:color w:val="FF0000"/>
          <w:w w:val="105"/>
          <w:sz w:val="28"/>
          <w:szCs w:val="28"/>
          <w:lang w:val="en-GB"/>
        </w:rPr>
      </w:pPr>
      <w:r>
        <w:rPr>
          <w:b/>
          <w:color w:val="FF0000"/>
          <w:w w:val="105"/>
          <w:sz w:val="28"/>
          <w:szCs w:val="28"/>
        </w:rPr>
        <w:t xml:space="preserve">Preamble, Definitions and </w:t>
      </w:r>
      <w:r w:rsidR="00FA2D49" w:rsidRPr="00334580">
        <w:rPr>
          <w:b/>
          <w:color w:val="FF0000"/>
          <w:w w:val="105"/>
          <w:sz w:val="28"/>
          <w:szCs w:val="28"/>
        </w:rPr>
        <w:t>Statement</w:t>
      </w:r>
      <w:r>
        <w:rPr>
          <w:b/>
          <w:color w:val="FF0000"/>
          <w:w w:val="105"/>
          <w:sz w:val="28"/>
          <w:szCs w:val="28"/>
        </w:rPr>
        <w:t xml:space="preserve"> of Purpose</w:t>
      </w:r>
    </w:p>
    <w:p w14:paraId="6D6626FD" w14:textId="77777777" w:rsidR="00EB09D0" w:rsidRPr="006A2726" w:rsidRDefault="00EB09D0" w:rsidP="00390D68">
      <w:pPr>
        <w:pStyle w:val="BodyText"/>
        <w:spacing w:before="8" w:line="276" w:lineRule="auto"/>
        <w:rPr>
          <w:b/>
          <w:sz w:val="25"/>
        </w:rPr>
      </w:pPr>
    </w:p>
    <w:p w14:paraId="02F2ACBA" w14:textId="73E60EEA" w:rsidR="00786A03" w:rsidRPr="00D91126" w:rsidRDefault="003B2ABA" w:rsidP="00390D68">
      <w:pPr>
        <w:pStyle w:val="BodyText"/>
        <w:spacing w:line="276" w:lineRule="auto"/>
        <w:jc w:val="both"/>
        <w:rPr>
          <w:b/>
          <w:w w:val="105"/>
          <w:sz w:val="22"/>
          <w:szCs w:val="22"/>
        </w:rPr>
      </w:pPr>
      <w:r w:rsidRPr="00D91126">
        <w:rPr>
          <w:b/>
          <w:w w:val="105"/>
          <w:sz w:val="22"/>
          <w:szCs w:val="22"/>
        </w:rPr>
        <w:t xml:space="preserve">Thank </w:t>
      </w:r>
      <w:r w:rsidR="00012FA3" w:rsidRPr="00D91126">
        <w:rPr>
          <w:b/>
          <w:w w:val="105"/>
          <w:sz w:val="22"/>
          <w:szCs w:val="22"/>
        </w:rPr>
        <w:t>you</w:t>
      </w:r>
      <w:r w:rsidR="007C3A8E" w:rsidRPr="00D91126">
        <w:rPr>
          <w:b/>
          <w:w w:val="105"/>
          <w:sz w:val="22"/>
          <w:szCs w:val="22"/>
        </w:rPr>
        <w:t xml:space="preserve"> Chair</w:t>
      </w:r>
      <w:r w:rsidR="00012FA3" w:rsidRPr="00D91126">
        <w:rPr>
          <w:b/>
          <w:w w:val="105"/>
          <w:sz w:val="22"/>
          <w:szCs w:val="22"/>
        </w:rPr>
        <w:t xml:space="preserve">, </w:t>
      </w:r>
    </w:p>
    <w:p w14:paraId="1E63D577" w14:textId="77010294" w:rsidR="009D52CC" w:rsidRPr="00D91126" w:rsidRDefault="009D52CC" w:rsidP="00390D68">
      <w:pPr>
        <w:pStyle w:val="BodyText"/>
        <w:spacing w:before="1" w:line="276" w:lineRule="auto"/>
        <w:ind w:right="109"/>
        <w:jc w:val="both"/>
        <w:rPr>
          <w:w w:val="105"/>
          <w:sz w:val="22"/>
          <w:szCs w:val="22"/>
        </w:rPr>
      </w:pPr>
    </w:p>
    <w:p w14:paraId="549C5E42" w14:textId="68B8A897" w:rsidR="00FB649B" w:rsidRPr="00FB649B" w:rsidRDefault="009D52CC" w:rsidP="00FB649B">
      <w:pPr>
        <w:adjustRightInd w:val="0"/>
        <w:spacing w:line="276" w:lineRule="auto"/>
        <w:jc w:val="both"/>
      </w:pPr>
      <w:r w:rsidRPr="00D91126">
        <w:t xml:space="preserve">I </w:t>
      </w:r>
      <w:r w:rsidR="00FB649B">
        <w:t xml:space="preserve">deliver this statement </w:t>
      </w:r>
      <w:r w:rsidRPr="00D91126">
        <w:t xml:space="preserve">on behalf of the International </w:t>
      </w:r>
      <w:proofErr w:type="spellStart"/>
      <w:r w:rsidRPr="00D91126">
        <w:t>Organisation</w:t>
      </w:r>
      <w:proofErr w:type="spellEnd"/>
      <w:r w:rsidRPr="00D91126">
        <w:t xml:space="preserve"> of Employers (</w:t>
      </w:r>
      <w:hyperlink r:id="rId9" w:history="1">
        <w:r w:rsidRPr="00D91126">
          <w:rPr>
            <w:rStyle w:val="Hyperlink"/>
          </w:rPr>
          <w:t>IOE</w:t>
        </w:r>
      </w:hyperlink>
      <w:r w:rsidRPr="00D91126">
        <w:t>)</w:t>
      </w:r>
      <w:r w:rsidR="00FB649B">
        <w:t xml:space="preserve">. </w:t>
      </w:r>
      <w:r w:rsidR="0081193A">
        <w:t xml:space="preserve">Due to limited speaking time, </w:t>
      </w:r>
      <w:r w:rsidR="00FB649B">
        <w:t xml:space="preserve">I would like to refer participants to the </w:t>
      </w:r>
      <w:hyperlink r:id="rId10" w:history="1">
        <w:r w:rsidR="00FB649B" w:rsidRPr="00D91126">
          <w:rPr>
            <w:rStyle w:val="Hyperlink"/>
          </w:rPr>
          <w:t>Joint Business Response</w:t>
        </w:r>
      </w:hyperlink>
      <w:r w:rsidR="00FB649B" w:rsidRPr="00D91126">
        <w:t xml:space="preserve"> to the Revised </w:t>
      </w:r>
      <w:r w:rsidR="00FB649B" w:rsidRPr="00D91126">
        <w:rPr>
          <w:w w:val="105"/>
        </w:rPr>
        <w:t>Draft Treaty</w:t>
      </w:r>
      <w:r w:rsidR="0081193A">
        <w:rPr>
          <w:w w:val="105"/>
        </w:rPr>
        <w:t xml:space="preserve">. It </w:t>
      </w:r>
      <w:r w:rsidR="00FB649B">
        <w:rPr>
          <w:w w:val="105"/>
        </w:rPr>
        <w:t>is available on the IOE's website.</w:t>
      </w:r>
    </w:p>
    <w:p w14:paraId="6FE40CC9" w14:textId="1ACB74DB" w:rsidR="00FB649B" w:rsidRDefault="00FB649B" w:rsidP="00390D68">
      <w:pPr>
        <w:adjustRightInd w:val="0"/>
        <w:spacing w:line="276" w:lineRule="auto"/>
        <w:jc w:val="both"/>
      </w:pPr>
    </w:p>
    <w:p w14:paraId="4F33C5A7" w14:textId="26216A77" w:rsidR="00FC4204" w:rsidRDefault="00FC4204" w:rsidP="00FC4204">
      <w:pPr>
        <w:adjustRightInd w:val="0"/>
        <w:spacing w:line="276" w:lineRule="auto"/>
        <w:jc w:val="both"/>
      </w:pPr>
    </w:p>
    <w:p w14:paraId="6AFE16EB" w14:textId="4B8F651A" w:rsidR="00FC4204" w:rsidRDefault="00FC4204" w:rsidP="00FC4204">
      <w:pPr>
        <w:adjustRightInd w:val="0"/>
        <w:spacing w:line="276" w:lineRule="auto"/>
        <w:jc w:val="both"/>
        <w:rPr>
          <w:b/>
          <w:bCs/>
        </w:rPr>
      </w:pPr>
      <w:r w:rsidRPr="00B23805">
        <w:rPr>
          <w:b/>
          <w:bCs/>
        </w:rPr>
        <w:t xml:space="preserve">Firstly, regarding the </w:t>
      </w:r>
      <w:r w:rsidR="00696215" w:rsidRPr="00B23805">
        <w:rPr>
          <w:b/>
          <w:bCs/>
        </w:rPr>
        <w:t>"</w:t>
      </w:r>
      <w:r w:rsidRPr="00B23805">
        <w:rPr>
          <w:b/>
          <w:bCs/>
        </w:rPr>
        <w:t>preamble</w:t>
      </w:r>
      <w:r w:rsidR="00696215" w:rsidRPr="00B23805">
        <w:rPr>
          <w:b/>
          <w:bCs/>
        </w:rPr>
        <w:t>"</w:t>
      </w:r>
    </w:p>
    <w:p w14:paraId="61B30B52" w14:textId="77777777" w:rsidR="00B23805" w:rsidRPr="00B23805" w:rsidRDefault="00B23805" w:rsidP="00FC4204">
      <w:pPr>
        <w:adjustRightInd w:val="0"/>
        <w:spacing w:line="276" w:lineRule="auto"/>
        <w:jc w:val="both"/>
        <w:rPr>
          <w:b/>
          <w:bCs/>
        </w:rPr>
      </w:pPr>
    </w:p>
    <w:p w14:paraId="0B8B653C" w14:textId="19B5E920" w:rsidR="00FC4204" w:rsidRDefault="00FC4204" w:rsidP="00FC4204">
      <w:pPr>
        <w:pStyle w:val="ListParagraph"/>
        <w:numPr>
          <w:ilvl w:val="0"/>
          <w:numId w:val="6"/>
        </w:numPr>
        <w:adjustRightInd w:val="0"/>
        <w:spacing w:line="276" w:lineRule="auto"/>
        <w:jc w:val="both"/>
      </w:pPr>
      <w:r>
        <w:t xml:space="preserve">While </w:t>
      </w:r>
      <w:r w:rsidR="002B71B8">
        <w:t xml:space="preserve">the preamble </w:t>
      </w:r>
      <w:r>
        <w:t xml:space="preserve">explicitly </w:t>
      </w:r>
      <w:proofErr w:type="spellStart"/>
      <w:r>
        <w:t>recognises</w:t>
      </w:r>
      <w:proofErr w:type="spellEnd"/>
      <w:r>
        <w:t xml:space="preserve"> the UN Guiding Principles on Business &amp; Human Rights and notes the positive role that business can play - problems remain. </w:t>
      </w:r>
    </w:p>
    <w:p w14:paraId="0AC50E41" w14:textId="77777777" w:rsidR="007953E2" w:rsidRDefault="007953E2" w:rsidP="007953E2">
      <w:pPr>
        <w:pStyle w:val="ListParagraph"/>
        <w:adjustRightInd w:val="0"/>
        <w:spacing w:line="276" w:lineRule="auto"/>
        <w:ind w:left="720"/>
        <w:jc w:val="both"/>
      </w:pPr>
    </w:p>
    <w:p w14:paraId="4DD19C07" w14:textId="44C084B1" w:rsidR="00FC4204" w:rsidRDefault="00FC4204" w:rsidP="00FC4204">
      <w:pPr>
        <w:pStyle w:val="ListParagraph"/>
        <w:numPr>
          <w:ilvl w:val="0"/>
          <w:numId w:val="6"/>
        </w:numPr>
        <w:adjustRightInd w:val="0"/>
        <w:spacing w:line="276" w:lineRule="auto"/>
        <w:jc w:val="both"/>
      </w:pPr>
      <w:r>
        <w:t xml:space="preserve">For example, the phrasing on the corporate "responsibility to respect" human rights </w:t>
      </w:r>
      <w:proofErr w:type="gramStart"/>
      <w:r>
        <w:t>is</w:t>
      </w:r>
      <w:proofErr w:type="gramEnd"/>
      <w:r>
        <w:t xml:space="preserve"> not in line with the UNGPs in two important areas. First, saying that all businesses have "the responsibility to respect all human rights…" raises significant questions about the range of human rights that would fall under this Treaty as the term "all human rights" has no legal basis. Second, the word "including" implies that the responsibility to respect involves doing more than what is described in the preamble text, which is not the case.</w:t>
      </w:r>
    </w:p>
    <w:p w14:paraId="28AF532B" w14:textId="77777777" w:rsidR="007953E2" w:rsidRDefault="007953E2" w:rsidP="007953E2">
      <w:pPr>
        <w:adjustRightInd w:val="0"/>
        <w:spacing w:line="276" w:lineRule="auto"/>
        <w:jc w:val="both"/>
      </w:pPr>
    </w:p>
    <w:p w14:paraId="0AD83C01" w14:textId="77777777" w:rsidR="00FC4204" w:rsidRDefault="00FC4204" w:rsidP="00FC4204">
      <w:pPr>
        <w:adjustRightInd w:val="0"/>
        <w:spacing w:line="276" w:lineRule="auto"/>
        <w:jc w:val="both"/>
      </w:pPr>
    </w:p>
    <w:p w14:paraId="7CE6ACD8" w14:textId="17CFB629" w:rsidR="00FC4204" w:rsidRDefault="00FC4204" w:rsidP="00FC4204">
      <w:pPr>
        <w:adjustRightInd w:val="0"/>
        <w:spacing w:line="276" w:lineRule="auto"/>
        <w:jc w:val="both"/>
        <w:rPr>
          <w:b/>
          <w:bCs/>
        </w:rPr>
      </w:pPr>
      <w:r w:rsidRPr="00B23805">
        <w:rPr>
          <w:b/>
          <w:bCs/>
        </w:rPr>
        <w:t>Second, regarding the article on "definitions"</w:t>
      </w:r>
    </w:p>
    <w:p w14:paraId="168C0BA7" w14:textId="77777777" w:rsidR="007953E2" w:rsidRPr="00B23805" w:rsidRDefault="007953E2" w:rsidP="00FC4204">
      <w:pPr>
        <w:adjustRightInd w:val="0"/>
        <w:spacing w:line="276" w:lineRule="auto"/>
        <w:jc w:val="both"/>
        <w:rPr>
          <w:b/>
          <w:bCs/>
        </w:rPr>
      </w:pPr>
    </w:p>
    <w:p w14:paraId="530DFE02" w14:textId="5739B7F0" w:rsidR="0081193A" w:rsidRDefault="00FC4204" w:rsidP="00945ABA">
      <w:pPr>
        <w:pStyle w:val="ListParagraph"/>
        <w:numPr>
          <w:ilvl w:val="0"/>
          <w:numId w:val="7"/>
        </w:numPr>
        <w:adjustRightInd w:val="0"/>
        <w:spacing w:line="276" w:lineRule="auto"/>
        <w:jc w:val="both"/>
      </w:pPr>
      <w:r>
        <w:t>A</w:t>
      </w:r>
      <w:r w:rsidR="007953E2">
        <w:t xml:space="preserve">n </w:t>
      </w:r>
      <w:r>
        <w:t>illustration of the overly broad and legally imprecise nature of the Revised Draft Treaty is the repeated use of the word "any" in many articles</w:t>
      </w:r>
      <w:r w:rsidR="0081193A">
        <w:t xml:space="preserve">, including the definitions. </w:t>
      </w:r>
      <w:r>
        <w:t>For example, the definition of a human rights violation or abuse ("any harm"), as well as what constitutes business activities ("any economic activity…") and a contractual relationship (any relationship between natural or legal persons to conduct business activities...") is unclear and unlimited.</w:t>
      </w:r>
    </w:p>
    <w:p w14:paraId="62C2C89D" w14:textId="77777777" w:rsidR="007953E2" w:rsidRDefault="007953E2" w:rsidP="007953E2">
      <w:pPr>
        <w:pStyle w:val="ListParagraph"/>
        <w:adjustRightInd w:val="0"/>
        <w:spacing w:line="276" w:lineRule="auto"/>
        <w:ind w:left="720"/>
        <w:jc w:val="both"/>
      </w:pPr>
    </w:p>
    <w:p w14:paraId="352E3A42" w14:textId="3E79C444" w:rsidR="00FC4204" w:rsidRDefault="00D6701C" w:rsidP="00945ABA">
      <w:pPr>
        <w:pStyle w:val="ListParagraph"/>
        <w:numPr>
          <w:ilvl w:val="0"/>
          <w:numId w:val="7"/>
        </w:numPr>
        <w:adjustRightInd w:val="0"/>
        <w:spacing w:line="276" w:lineRule="auto"/>
        <w:jc w:val="both"/>
      </w:pPr>
      <w:r>
        <w:t>We note o</w:t>
      </w:r>
      <w:r w:rsidR="0014131D">
        <w:t xml:space="preserve">ther problems with the </w:t>
      </w:r>
      <w:r w:rsidR="0081193A">
        <w:t>article on definitions:</w:t>
      </w:r>
    </w:p>
    <w:p w14:paraId="6741C545" w14:textId="77777777" w:rsidR="00D361A5" w:rsidRDefault="00D361A5" w:rsidP="00D361A5">
      <w:pPr>
        <w:adjustRightInd w:val="0"/>
        <w:spacing w:line="276" w:lineRule="auto"/>
        <w:jc w:val="both"/>
      </w:pPr>
    </w:p>
    <w:p w14:paraId="09C0C54B" w14:textId="0187EF33" w:rsidR="007953E2" w:rsidRDefault="007953E2" w:rsidP="007953E2">
      <w:pPr>
        <w:pStyle w:val="ListParagraph"/>
        <w:numPr>
          <w:ilvl w:val="0"/>
          <w:numId w:val="8"/>
        </w:numPr>
        <w:adjustRightInd w:val="0"/>
        <w:spacing w:line="276" w:lineRule="auto"/>
        <w:jc w:val="both"/>
      </w:pPr>
      <w:r>
        <w:t xml:space="preserve">No distinction is made between presumed victims (those that have "alleged to have suffered") and actual victims, which creates tremendous legal uncertainty. </w:t>
      </w:r>
    </w:p>
    <w:p w14:paraId="7AF78634" w14:textId="77777777" w:rsidR="00D361A5" w:rsidRDefault="00D361A5" w:rsidP="00D361A5">
      <w:pPr>
        <w:pStyle w:val="ListParagraph"/>
        <w:adjustRightInd w:val="0"/>
        <w:spacing w:line="276" w:lineRule="auto"/>
        <w:ind w:left="720"/>
        <w:jc w:val="both"/>
      </w:pPr>
    </w:p>
    <w:p w14:paraId="03BE76FC" w14:textId="298F5689" w:rsidR="009D0B4B" w:rsidRDefault="0068712C" w:rsidP="009D0B4B">
      <w:pPr>
        <w:pStyle w:val="ListParagraph"/>
        <w:numPr>
          <w:ilvl w:val="0"/>
          <w:numId w:val="8"/>
        </w:numPr>
        <w:adjustRightInd w:val="0"/>
        <w:spacing w:line="276" w:lineRule="auto"/>
        <w:jc w:val="both"/>
      </w:pPr>
      <w:r>
        <w:t xml:space="preserve">Similarly, the language concerning the "immediate family or dependents" does not reflect many civil law traditions which cover such victims and damages only under certain </w:t>
      </w:r>
      <w:r>
        <w:lastRenderedPageBreak/>
        <w:t xml:space="preserve">conditions. </w:t>
      </w:r>
      <w:r w:rsidR="002B71B8">
        <w:t>I</w:t>
      </w:r>
      <w:r>
        <w:t xml:space="preserve">t is </w:t>
      </w:r>
      <w:r w:rsidR="002B71B8">
        <w:t xml:space="preserve">also </w:t>
      </w:r>
      <w:r>
        <w:t xml:space="preserve">unclear if the protections offered to the "immediate family or dependents of the direct victim" would apply if none of their human rights are abused. </w:t>
      </w:r>
    </w:p>
    <w:p w14:paraId="4D3CD17F" w14:textId="77777777" w:rsidR="00D361A5" w:rsidRDefault="00D361A5" w:rsidP="00D361A5">
      <w:pPr>
        <w:pStyle w:val="ListParagraph"/>
        <w:adjustRightInd w:val="0"/>
        <w:spacing w:line="276" w:lineRule="auto"/>
        <w:ind w:left="720"/>
        <w:jc w:val="both"/>
      </w:pPr>
    </w:p>
    <w:p w14:paraId="27F72650" w14:textId="04E48130" w:rsidR="009D0B4B" w:rsidRDefault="009D0B4B" w:rsidP="009D0B4B">
      <w:pPr>
        <w:pStyle w:val="ListParagraph"/>
        <w:numPr>
          <w:ilvl w:val="0"/>
          <w:numId w:val="8"/>
        </w:numPr>
        <w:adjustRightInd w:val="0"/>
        <w:spacing w:line="276" w:lineRule="auto"/>
        <w:jc w:val="both"/>
      </w:pPr>
      <w:r w:rsidRPr="009D0B4B">
        <w:t>Defining a violation or abuse as "any harm" committed through "omissions" (as well as "acts") is too vague and would unduly broaden the scope of companies' liability while creating legal uncertainty. It is unclear what "omissions" means. It is also unclear what is meant by "emotional suffering" and "substantial impairment of their human rights" and how they would be interpreted, especially given the Treaty's use of the ill-defined term "all human rights." Lastly, the inclusion of "environmental rights" demonstrates the IGWG exceeding its mandate.</w:t>
      </w:r>
    </w:p>
    <w:p w14:paraId="2E7E98DC" w14:textId="77777777" w:rsidR="00D361A5" w:rsidRDefault="00D361A5" w:rsidP="00D361A5">
      <w:pPr>
        <w:pStyle w:val="ListParagraph"/>
        <w:adjustRightInd w:val="0"/>
        <w:spacing w:line="276" w:lineRule="auto"/>
        <w:ind w:left="720"/>
        <w:jc w:val="both"/>
      </w:pPr>
    </w:p>
    <w:p w14:paraId="25E2C17D" w14:textId="77777777" w:rsidR="00D361A5" w:rsidRDefault="005139BF" w:rsidP="002B71B8">
      <w:pPr>
        <w:pStyle w:val="ListParagraph"/>
        <w:numPr>
          <w:ilvl w:val="0"/>
          <w:numId w:val="8"/>
        </w:numPr>
        <w:adjustRightInd w:val="0"/>
        <w:spacing w:line="276" w:lineRule="auto"/>
        <w:jc w:val="both"/>
      </w:pPr>
      <w:r>
        <w:t xml:space="preserve">Furthermore, the definition of business activities as "any" means of economic activity “undertaken by natural or legal persons" including by "electronic means” is extremely vague and far-reaching. It is understood to have no precedent in other </w:t>
      </w:r>
      <w:proofErr w:type="gramStart"/>
      <w:r w:rsidR="002B71B8">
        <w:t>T</w:t>
      </w:r>
      <w:r>
        <w:t>reaties</w:t>
      </w:r>
      <w:proofErr w:type="gramEnd"/>
      <w:r>
        <w:t xml:space="preserve"> and it creates huge legal uncertainty.</w:t>
      </w:r>
      <w:r w:rsidR="002B71B8">
        <w:t xml:space="preserve"> </w:t>
      </w:r>
    </w:p>
    <w:p w14:paraId="0725AF2E" w14:textId="77777777" w:rsidR="00D361A5" w:rsidRDefault="00D361A5" w:rsidP="00D361A5">
      <w:pPr>
        <w:pStyle w:val="ListParagraph"/>
      </w:pPr>
    </w:p>
    <w:p w14:paraId="3E655F00" w14:textId="606B2F7B" w:rsidR="00222C21" w:rsidRDefault="002B71B8" w:rsidP="002B71B8">
      <w:pPr>
        <w:pStyle w:val="ListParagraph"/>
        <w:numPr>
          <w:ilvl w:val="0"/>
          <w:numId w:val="8"/>
        </w:numPr>
        <w:adjustRightInd w:val="0"/>
        <w:spacing w:line="276" w:lineRule="auto"/>
        <w:jc w:val="both"/>
      </w:pPr>
      <w:r>
        <w:t>Overall, t</w:t>
      </w:r>
      <w:r w:rsidR="00222C21" w:rsidRPr="00222C21">
        <w:t xml:space="preserve">he </w:t>
      </w:r>
      <w:r>
        <w:t>Revised D</w:t>
      </w:r>
      <w:r w:rsidR="00222C21" w:rsidRPr="00222C21">
        <w:t xml:space="preserve">raft </w:t>
      </w:r>
      <w:r>
        <w:t xml:space="preserve">Treaty </w:t>
      </w:r>
      <w:r w:rsidR="00222C21" w:rsidRPr="00222C21">
        <w:t xml:space="preserve">does not answer fundamental questions such as: Under what circumstances would a violation/abuse be judged to be the responsibility of either a natural or legal person (or both), and on what legal grounds? If the former category, which natural persons specifically would be held liable and for what alleged violations/abuses? How would such a </w:t>
      </w:r>
      <w:r>
        <w:t xml:space="preserve">broad </w:t>
      </w:r>
      <w:r w:rsidR="00222C21" w:rsidRPr="00222C21">
        <w:t>approach manage the likelihood of multiple parallel lawsuits on the same case, perhaps in different jurisdictions, with the possibility of competing and contradictory judgements?</w:t>
      </w:r>
    </w:p>
    <w:p w14:paraId="02A122FE" w14:textId="77777777" w:rsidR="00D6701C" w:rsidRDefault="00D6701C" w:rsidP="00D6701C">
      <w:pPr>
        <w:pStyle w:val="ListParagraph"/>
      </w:pPr>
    </w:p>
    <w:p w14:paraId="0B09662A" w14:textId="40890C3E" w:rsidR="00D6701C" w:rsidRDefault="00D6701C" w:rsidP="002B71B8">
      <w:pPr>
        <w:pStyle w:val="ListParagraph"/>
        <w:numPr>
          <w:ilvl w:val="0"/>
          <w:numId w:val="8"/>
        </w:numPr>
        <w:adjustRightInd w:val="0"/>
        <w:spacing w:line="276" w:lineRule="auto"/>
        <w:jc w:val="both"/>
      </w:pPr>
      <w:r>
        <w:t>Lastly, we will address the point about "contractual relationships" in our oral statement tomorrow on the "scope".</w:t>
      </w:r>
    </w:p>
    <w:p w14:paraId="701B1C51" w14:textId="77777777" w:rsidR="0081193A" w:rsidRDefault="0081193A" w:rsidP="005139BF">
      <w:pPr>
        <w:pStyle w:val="ListParagraph"/>
        <w:adjustRightInd w:val="0"/>
        <w:spacing w:line="276" w:lineRule="auto"/>
        <w:ind w:left="1080"/>
        <w:jc w:val="both"/>
      </w:pPr>
    </w:p>
    <w:p w14:paraId="13E2A333" w14:textId="1F45518D" w:rsidR="002B71B8" w:rsidRPr="002B71B8" w:rsidRDefault="00FC4204" w:rsidP="00FC4204">
      <w:pPr>
        <w:adjustRightInd w:val="0"/>
        <w:spacing w:line="276" w:lineRule="auto"/>
        <w:jc w:val="both"/>
        <w:rPr>
          <w:b/>
          <w:bCs/>
        </w:rPr>
      </w:pPr>
      <w:r w:rsidRPr="002B71B8">
        <w:rPr>
          <w:b/>
          <w:bCs/>
        </w:rPr>
        <w:t xml:space="preserve">Third, </w:t>
      </w:r>
      <w:r w:rsidR="002B71B8" w:rsidRPr="002B71B8">
        <w:rPr>
          <w:b/>
          <w:bCs/>
        </w:rPr>
        <w:t>we would like to address the "statement of purpose."</w:t>
      </w:r>
    </w:p>
    <w:p w14:paraId="7CF91FC9" w14:textId="77777777" w:rsidR="007953E2" w:rsidRPr="007953E2" w:rsidRDefault="007953E2" w:rsidP="00FC4204">
      <w:pPr>
        <w:adjustRightInd w:val="0"/>
        <w:spacing w:line="276" w:lineRule="auto"/>
        <w:jc w:val="both"/>
        <w:rPr>
          <w:b/>
          <w:bCs/>
        </w:rPr>
      </w:pPr>
    </w:p>
    <w:p w14:paraId="13F09830" w14:textId="0EEA5401" w:rsidR="00E43BDF" w:rsidRDefault="00705F37" w:rsidP="00D42A02">
      <w:pPr>
        <w:pStyle w:val="ListParagraph"/>
        <w:numPr>
          <w:ilvl w:val="0"/>
          <w:numId w:val="7"/>
        </w:numPr>
        <w:adjustRightInd w:val="0"/>
        <w:spacing w:line="276" w:lineRule="auto"/>
        <w:jc w:val="both"/>
      </w:pPr>
      <w:r>
        <w:t xml:space="preserve">Reading the </w:t>
      </w:r>
      <w:r w:rsidR="00D361A5">
        <w:t xml:space="preserve">draft </w:t>
      </w:r>
      <w:r w:rsidR="00E43BDF">
        <w:t xml:space="preserve">Treaty's </w:t>
      </w:r>
      <w:r w:rsidR="00D361A5">
        <w:t xml:space="preserve">"statement of purpose" </w:t>
      </w:r>
      <w:r>
        <w:t xml:space="preserve">alongside </w:t>
      </w:r>
      <w:r w:rsidR="00D361A5">
        <w:t xml:space="preserve">its </w:t>
      </w:r>
      <w:r>
        <w:t>other articles</w:t>
      </w:r>
      <w:r w:rsidR="00E43BDF">
        <w:t xml:space="preserve">, we do not think it is compatible with the UNGPs and other authoritative global standards. </w:t>
      </w:r>
    </w:p>
    <w:p w14:paraId="4EA57212" w14:textId="77777777" w:rsidR="00D6701C" w:rsidRDefault="00D6701C" w:rsidP="00D6701C">
      <w:pPr>
        <w:pStyle w:val="ListParagraph"/>
        <w:adjustRightInd w:val="0"/>
        <w:spacing w:line="276" w:lineRule="auto"/>
        <w:ind w:left="360"/>
        <w:jc w:val="both"/>
      </w:pPr>
      <w:bookmarkStart w:id="0" w:name="_GoBack"/>
      <w:bookmarkEnd w:id="0"/>
    </w:p>
    <w:p w14:paraId="600AAA2D" w14:textId="11163211" w:rsidR="00FC4204" w:rsidRDefault="00062A6D" w:rsidP="00721CA4">
      <w:pPr>
        <w:pStyle w:val="ListParagraph"/>
        <w:numPr>
          <w:ilvl w:val="0"/>
          <w:numId w:val="7"/>
        </w:numPr>
        <w:adjustRightInd w:val="0"/>
        <w:spacing w:line="276" w:lineRule="auto"/>
        <w:jc w:val="both"/>
      </w:pPr>
      <w:r>
        <w:t xml:space="preserve">As mentioned already, </w:t>
      </w:r>
      <w:r w:rsidR="007D3BC5">
        <w:t>the Revised Draft Treaty</w:t>
      </w:r>
      <w:r w:rsidR="00E43BDF">
        <w:t xml:space="preserve"> does not</w:t>
      </w:r>
      <w:r>
        <w:t xml:space="preserve"> sufficiently address </w:t>
      </w:r>
      <w:r w:rsidRPr="00062A6D">
        <w:rPr>
          <w:w w:val="105"/>
        </w:rPr>
        <w:t>the need for "implementation coherence" of international standards by</w:t>
      </w:r>
      <w:r w:rsidRPr="00062A6D">
        <w:rPr>
          <w:i/>
          <w:iCs/>
          <w:w w:val="105"/>
        </w:rPr>
        <w:t xml:space="preserve"> all</w:t>
      </w:r>
      <w:r w:rsidRPr="00062A6D">
        <w:rPr>
          <w:w w:val="105"/>
        </w:rPr>
        <w:t xml:space="preserve"> States at the national and local level.</w:t>
      </w:r>
      <w:r>
        <w:rPr>
          <w:w w:val="105"/>
        </w:rPr>
        <w:t xml:space="preserve"> The Joint Business Response describes this </w:t>
      </w:r>
      <w:r w:rsidR="00B423BE">
        <w:rPr>
          <w:w w:val="105"/>
        </w:rPr>
        <w:t xml:space="preserve">challenge </w:t>
      </w:r>
      <w:r>
        <w:rPr>
          <w:w w:val="105"/>
        </w:rPr>
        <w:t xml:space="preserve">further and explains that what is needed is </w:t>
      </w:r>
      <w:r>
        <w:t xml:space="preserve">far greater intra-national effort and coordination </w:t>
      </w:r>
      <w:r w:rsidRPr="00062A6D">
        <w:rPr>
          <w:i/>
          <w:iCs/>
        </w:rPr>
        <w:t xml:space="preserve">inside </w:t>
      </w:r>
      <w:r>
        <w:t xml:space="preserve">each State's executive, legislative and judicial branches (and at all levels) to address adverse human rights impacts at source. We fear that the </w:t>
      </w:r>
      <w:r w:rsidR="00721CA4">
        <w:t xml:space="preserve">Revised Draft </w:t>
      </w:r>
      <w:r>
        <w:t xml:space="preserve">Treaty </w:t>
      </w:r>
      <w:r w:rsidR="00E43BDF">
        <w:t xml:space="preserve">seeks transnational businesses to fill the on-the-ground governance gaps that exist in many parts of the world. </w:t>
      </w:r>
      <w:r w:rsidR="00705F37">
        <w:t xml:space="preserve"> </w:t>
      </w:r>
    </w:p>
    <w:p w14:paraId="37E1DBE2" w14:textId="77777777" w:rsidR="00EB09D0" w:rsidRPr="00D91126" w:rsidRDefault="00EB09D0" w:rsidP="00390D68">
      <w:pPr>
        <w:pStyle w:val="BodyText"/>
        <w:spacing w:before="2" w:line="276" w:lineRule="auto"/>
        <w:rPr>
          <w:sz w:val="22"/>
          <w:szCs w:val="22"/>
        </w:rPr>
      </w:pPr>
    </w:p>
    <w:p w14:paraId="6EBD32C8" w14:textId="0A79B3E3" w:rsidR="00EB09D0" w:rsidRPr="00E43BDF" w:rsidRDefault="006A2726" w:rsidP="00390D68">
      <w:pPr>
        <w:pStyle w:val="BodyText"/>
        <w:spacing w:line="276" w:lineRule="auto"/>
        <w:jc w:val="both"/>
        <w:rPr>
          <w:b/>
          <w:bCs/>
          <w:sz w:val="22"/>
          <w:szCs w:val="22"/>
        </w:rPr>
      </w:pPr>
      <w:r w:rsidRPr="00E43BDF">
        <w:rPr>
          <w:b/>
          <w:bCs/>
          <w:w w:val="105"/>
          <w:sz w:val="22"/>
          <w:szCs w:val="22"/>
        </w:rPr>
        <w:t>Thank you very much</w:t>
      </w:r>
      <w:r w:rsidR="00390D18" w:rsidRPr="00E43BDF">
        <w:rPr>
          <w:b/>
          <w:bCs/>
          <w:w w:val="105"/>
          <w:sz w:val="22"/>
          <w:szCs w:val="22"/>
        </w:rPr>
        <w:t xml:space="preserve"> for you</w:t>
      </w:r>
      <w:r w:rsidR="00BF014B" w:rsidRPr="00E43BDF">
        <w:rPr>
          <w:b/>
          <w:bCs/>
          <w:w w:val="105"/>
          <w:sz w:val="22"/>
          <w:szCs w:val="22"/>
        </w:rPr>
        <w:t>r</w:t>
      </w:r>
      <w:r w:rsidR="00390D18" w:rsidRPr="00E43BDF">
        <w:rPr>
          <w:b/>
          <w:bCs/>
          <w:w w:val="105"/>
          <w:sz w:val="22"/>
          <w:szCs w:val="22"/>
        </w:rPr>
        <w:t xml:space="preserve"> attention</w:t>
      </w:r>
      <w:r w:rsidRPr="00E43BDF">
        <w:rPr>
          <w:b/>
          <w:bCs/>
          <w:w w:val="105"/>
          <w:sz w:val="22"/>
          <w:szCs w:val="22"/>
        </w:rPr>
        <w:t>.</w:t>
      </w:r>
    </w:p>
    <w:sectPr w:rsidR="00EB09D0" w:rsidRPr="00E43BDF" w:rsidSect="00F32961">
      <w:type w:val="continuous"/>
      <w:pgSz w:w="11900" w:h="16840"/>
      <w:pgMar w:top="1276" w:right="1300" w:bottom="1276"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CEC3E" w14:textId="77777777" w:rsidR="00591AD0" w:rsidRDefault="00591AD0" w:rsidP="00786A03">
      <w:r>
        <w:separator/>
      </w:r>
    </w:p>
  </w:endnote>
  <w:endnote w:type="continuationSeparator" w:id="0">
    <w:p w14:paraId="588247CB" w14:textId="77777777" w:rsidR="00591AD0" w:rsidRDefault="00591AD0" w:rsidP="0078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5042C" w14:textId="77777777" w:rsidR="00591AD0" w:rsidRDefault="00591AD0" w:rsidP="00786A03">
      <w:r>
        <w:separator/>
      </w:r>
    </w:p>
  </w:footnote>
  <w:footnote w:type="continuationSeparator" w:id="0">
    <w:p w14:paraId="65844E62" w14:textId="77777777" w:rsidR="00591AD0" w:rsidRDefault="00591AD0" w:rsidP="00786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50CD3"/>
    <w:multiLevelType w:val="hybridMultilevel"/>
    <w:tmpl w:val="EBACE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02213A"/>
    <w:multiLevelType w:val="hybridMultilevel"/>
    <w:tmpl w:val="DB421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675C7C"/>
    <w:multiLevelType w:val="hybridMultilevel"/>
    <w:tmpl w:val="6A469282"/>
    <w:lvl w:ilvl="0" w:tplc="829C2FE2">
      <w:start w:val="1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AC735A"/>
    <w:multiLevelType w:val="hybridMultilevel"/>
    <w:tmpl w:val="3906F6CC"/>
    <w:lvl w:ilvl="0" w:tplc="A4BE9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1F600C7"/>
    <w:multiLevelType w:val="hybridMultilevel"/>
    <w:tmpl w:val="C878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C067FB"/>
    <w:multiLevelType w:val="hybridMultilevel"/>
    <w:tmpl w:val="C2A0E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6E06B8"/>
    <w:multiLevelType w:val="hybridMultilevel"/>
    <w:tmpl w:val="2C0AEA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751A353C"/>
    <w:multiLevelType w:val="hybridMultilevel"/>
    <w:tmpl w:val="3136307C"/>
    <w:lvl w:ilvl="0" w:tplc="E7A64FBC">
      <w:numFmt w:val="bullet"/>
      <w:lvlText w:val="-"/>
      <w:lvlJc w:val="left"/>
      <w:pPr>
        <w:ind w:left="360" w:hanging="360"/>
      </w:pPr>
      <w:rPr>
        <w:rFonts w:ascii="Arial" w:eastAsia="Arial" w:hAnsi="Arial" w:cs="Arial" w:hint="default"/>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7"/>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9D0"/>
    <w:rsid w:val="00005149"/>
    <w:rsid w:val="00012FA3"/>
    <w:rsid w:val="00031216"/>
    <w:rsid w:val="00062A6D"/>
    <w:rsid w:val="00076809"/>
    <w:rsid w:val="00095EEE"/>
    <w:rsid w:val="001022D1"/>
    <w:rsid w:val="00104682"/>
    <w:rsid w:val="0014131D"/>
    <w:rsid w:val="0014599F"/>
    <w:rsid w:val="001B0EBF"/>
    <w:rsid w:val="001B1FF0"/>
    <w:rsid w:val="001B2DA1"/>
    <w:rsid w:val="001D513E"/>
    <w:rsid w:val="001E71B0"/>
    <w:rsid w:val="001E73A4"/>
    <w:rsid w:val="0022257C"/>
    <w:rsid w:val="00222C21"/>
    <w:rsid w:val="00267A71"/>
    <w:rsid w:val="00286011"/>
    <w:rsid w:val="002B71B8"/>
    <w:rsid w:val="002D55A8"/>
    <w:rsid w:val="00304BE3"/>
    <w:rsid w:val="00326442"/>
    <w:rsid w:val="00334580"/>
    <w:rsid w:val="003631B9"/>
    <w:rsid w:val="00390D18"/>
    <w:rsid w:val="00390D68"/>
    <w:rsid w:val="00391135"/>
    <w:rsid w:val="003A64B2"/>
    <w:rsid w:val="003A64BD"/>
    <w:rsid w:val="003B2ABA"/>
    <w:rsid w:val="003B5C85"/>
    <w:rsid w:val="003E19F2"/>
    <w:rsid w:val="00423345"/>
    <w:rsid w:val="00447174"/>
    <w:rsid w:val="004668BE"/>
    <w:rsid w:val="00492C94"/>
    <w:rsid w:val="004E4A6A"/>
    <w:rsid w:val="005139BF"/>
    <w:rsid w:val="00516B58"/>
    <w:rsid w:val="005864DB"/>
    <w:rsid w:val="00591AD0"/>
    <w:rsid w:val="005C5E12"/>
    <w:rsid w:val="005E6184"/>
    <w:rsid w:val="005F49AE"/>
    <w:rsid w:val="005F6064"/>
    <w:rsid w:val="00640D19"/>
    <w:rsid w:val="00672E1B"/>
    <w:rsid w:val="0068712C"/>
    <w:rsid w:val="00696215"/>
    <w:rsid w:val="006A0ED3"/>
    <w:rsid w:val="006A2726"/>
    <w:rsid w:val="006F20B6"/>
    <w:rsid w:val="00705F37"/>
    <w:rsid w:val="00721CA4"/>
    <w:rsid w:val="00756FED"/>
    <w:rsid w:val="00763139"/>
    <w:rsid w:val="00786A03"/>
    <w:rsid w:val="007953E2"/>
    <w:rsid w:val="007A2A60"/>
    <w:rsid w:val="007B45DA"/>
    <w:rsid w:val="007C3A8E"/>
    <w:rsid w:val="007C446B"/>
    <w:rsid w:val="007C68AB"/>
    <w:rsid w:val="007D3BC5"/>
    <w:rsid w:val="007E7729"/>
    <w:rsid w:val="0081193A"/>
    <w:rsid w:val="00816AC5"/>
    <w:rsid w:val="00816D1E"/>
    <w:rsid w:val="00837BBC"/>
    <w:rsid w:val="00854A06"/>
    <w:rsid w:val="00883BA0"/>
    <w:rsid w:val="008914B8"/>
    <w:rsid w:val="00892D5E"/>
    <w:rsid w:val="008B05EA"/>
    <w:rsid w:val="008B6FE1"/>
    <w:rsid w:val="009242AF"/>
    <w:rsid w:val="00934130"/>
    <w:rsid w:val="009B1648"/>
    <w:rsid w:val="009B730B"/>
    <w:rsid w:val="009D0B4B"/>
    <w:rsid w:val="009D52CC"/>
    <w:rsid w:val="00A12237"/>
    <w:rsid w:val="00A3573E"/>
    <w:rsid w:val="00A41C34"/>
    <w:rsid w:val="00A7179D"/>
    <w:rsid w:val="00A8349C"/>
    <w:rsid w:val="00AA10A6"/>
    <w:rsid w:val="00AA19FE"/>
    <w:rsid w:val="00AC3292"/>
    <w:rsid w:val="00AF4CBD"/>
    <w:rsid w:val="00B032C1"/>
    <w:rsid w:val="00B23805"/>
    <w:rsid w:val="00B423BE"/>
    <w:rsid w:val="00B71ACE"/>
    <w:rsid w:val="00BA28E7"/>
    <w:rsid w:val="00BE39E9"/>
    <w:rsid w:val="00BF014B"/>
    <w:rsid w:val="00C03BB8"/>
    <w:rsid w:val="00C0435B"/>
    <w:rsid w:val="00C11546"/>
    <w:rsid w:val="00C81A98"/>
    <w:rsid w:val="00CB18B0"/>
    <w:rsid w:val="00CC20FF"/>
    <w:rsid w:val="00CC3611"/>
    <w:rsid w:val="00CE4300"/>
    <w:rsid w:val="00D003A5"/>
    <w:rsid w:val="00D20AB5"/>
    <w:rsid w:val="00D361A5"/>
    <w:rsid w:val="00D40A68"/>
    <w:rsid w:val="00D62E92"/>
    <w:rsid w:val="00D6701C"/>
    <w:rsid w:val="00D91126"/>
    <w:rsid w:val="00DA44DC"/>
    <w:rsid w:val="00DA5F52"/>
    <w:rsid w:val="00DC7FF5"/>
    <w:rsid w:val="00DF0641"/>
    <w:rsid w:val="00E05358"/>
    <w:rsid w:val="00E21485"/>
    <w:rsid w:val="00E354FD"/>
    <w:rsid w:val="00E43BDF"/>
    <w:rsid w:val="00E838E8"/>
    <w:rsid w:val="00E92123"/>
    <w:rsid w:val="00E96BF7"/>
    <w:rsid w:val="00EB09D0"/>
    <w:rsid w:val="00F0610A"/>
    <w:rsid w:val="00F111A9"/>
    <w:rsid w:val="00F32961"/>
    <w:rsid w:val="00F57810"/>
    <w:rsid w:val="00F92644"/>
    <w:rsid w:val="00F941A9"/>
    <w:rsid w:val="00FA2D49"/>
    <w:rsid w:val="00FB649B"/>
    <w:rsid w:val="00FC1A3A"/>
    <w:rsid w:val="00FC4204"/>
    <w:rsid w:val="00FE5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485B"/>
  <w15:docId w15:val="{BEC33FD1-E9AE-4E68-A049-041EE331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786A03"/>
    <w:rPr>
      <w:rFonts w:ascii="Arial" w:eastAsia="Arial" w:hAnsi="Arial" w:cs="Arial"/>
      <w:sz w:val="21"/>
      <w:szCs w:val="21"/>
    </w:rPr>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ootnotes Char,fn,Footnote,Char,ftx"/>
    <w:basedOn w:val="Normal"/>
    <w:link w:val="FootnoteTextChar"/>
    <w:uiPriority w:val="99"/>
    <w:rsid w:val="00786A03"/>
    <w:pPr>
      <w:widowControl/>
      <w:autoSpaceDE/>
      <w:autoSpaceDN/>
    </w:pPr>
    <w:rPr>
      <w:rFonts w:ascii="Times New Roman" w:eastAsia="Times New Roman" w:hAnsi="Times New Roman" w:cs="Times New Roman"/>
      <w:sz w:val="20"/>
      <w:szCs w:val="20"/>
      <w:lang w:val="en-IE" w:eastAsia="en-GB"/>
    </w:rPr>
  </w:style>
  <w:style w:type="character" w:customStyle="1" w:styleId="FootnoteTextChar">
    <w:name w:val="Footnote Text Char"/>
    <w:aliases w:val="footnotes Char1,Footnote Text Char2 Char Char,Footnote Text Char Char1 Char Char,Footnote Text Char2 Char Char Char Char,Footnote Text Char1 Char Char Char Char Char,Footnote Text Char Char Char Char Char Char Char,footnotes Char Char"/>
    <w:basedOn w:val="DefaultParagraphFont"/>
    <w:link w:val="FootnoteText"/>
    <w:uiPriority w:val="99"/>
    <w:rsid w:val="00786A03"/>
    <w:rPr>
      <w:rFonts w:ascii="Times New Roman" w:eastAsia="Times New Roman" w:hAnsi="Times New Roman" w:cs="Times New Roman"/>
      <w:sz w:val="20"/>
      <w:szCs w:val="20"/>
      <w:lang w:val="en-IE" w:eastAsia="en-GB"/>
    </w:rPr>
  </w:style>
  <w:style w:type="character" w:styleId="FootnoteReference">
    <w:name w:val="footnote reference"/>
    <w:aliases w:val="Footnote Refernece,Footnote Refernece + (Latein) Arial,10 pt,Blau,Footnote symbol,Footnote reference number,note TESI,nota pié di pagina,Footnote Reference Superscript,Footnotes refss,Appel note de bas de p.,callout,4_G,BVI fnr,FR,Re"/>
    <w:link w:val="4GCharCharChar"/>
    <w:uiPriority w:val="99"/>
    <w:qFormat/>
    <w:rsid w:val="00786A03"/>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786A03"/>
    <w:pPr>
      <w:widowControl/>
      <w:autoSpaceDE/>
      <w:autoSpaceDN/>
      <w:spacing w:after="160" w:line="240" w:lineRule="exact"/>
      <w:jc w:val="both"/>
    </w:pPr>
    <w:rPr>
      <w:rFonts w:asciiTheme="minorHAnsi" w:eastAsiaTheme="minorHAnsi" w:hAnsiTheme="minorHAnsi" w:cstheme="minorBidi"/>
      <w:vertAlign w:val="superscript"/>
    </w:rPr>
  </w:style>
  <w:style w:type="paragraph" w:styleId="Header">
    <w:name w:val="header"/>
    <w:basedOn w:val="Normal"/>
    <w:link w:val="HeaderChar"/>
    <w:uiPriority w:val="99"/>
    <w:unhideWhenUsed/>
    <w:rsid w:val="003B2ABA"/>
    <w:pPr>
      <w:tabs>
        <w:tab w:val="center" w:pos="4513"/>
        <w:tab w:val="right" w:pos="9026"/>
      </w:tabs>
    </w:pPr>
  </w:style>
  <w:style w:type="character" w:customStyle="1" w:styleId="HeaderChar">
    <w:name w:val="Header Char"/>
    <w:basedOn w:val="DefaultParagraphFont"/>
    <w:link w:val="Header"/>
    <w:uiPriority w:val="99"/>
    <w:rsid w:val="003B2ABA"/>
    <w:rPr>
      <w:rFonts w:ascii="Arial" w:eastAsia="Arial" w:hAnsi="Arial" w:cs="Arial"/>
    </w:rPr>
  </w:style>
  <w:style w:type="paragraph" w:styleId="Footer">
    <w:name w:val="footer"/>
    <w:basedOn w:val="Normal"/>
    <w:link w:val="FooterChar"/>
    <w:uiPriority w:val="99"/>
    <w:unhideWhenUsed/>
    <w:rsid w:val="003B2ABA"/>
    <w:pPr>
      <w:tabs>
        <w:tab w:val="center" w:pos="4513"/>
        <w:tab w:val="right" w:pos="9026"/>
      </w:tabs>
    </w:pPr>
  </w:style>
  <w:style w:type="character" w:customStyle="1" w:styleId="FooterChar">
    <w:name w:val="Footer Char"/>
    <w:basedOn w:val="DefaultParagraphFont"/>
    <w:link w:val="Footer"/>
    <w:uiPriority w:val="99"/>
    <w:rsid w:val="003B2ABA"/>
    <w:rPr>
      <w:rFonts w:ascii="Arial" w:eastAsia="Arial" w:hAnsi="Arial" w:cs="Arial"/>
    </w:rPr>
  </w:style>
  <w:style w:type="character" w:styleId="Hyperlink">
    <w:name w:val="Hyperlink"/>
    <w:basedOn w:val="DefaultParagraphFont"/>
    <w:uiPriority w:val="99"/>
    <w:unhideWhenUsed/>
    <w:rsid w:val="009D52CC"/>
    <w:rPr>
      <w:color w:val="0000FF" w:themeColor="hyperlink"/>
      <w:u w:val="single"/>
    </w:rPr>
  </w:style>
  <w:style w:type="character" w:styleId="UnresolvedMention">
    <w:name w:val="Unresolved Mention"/>
    <w:basedOn w:val="DefaultParagraphFont"/>
    <w:uiPriority w:val="99"/>
    <w:semiHidden/>
    <w:unhideWhenUsed/>
    <w:rsid w:val="003A6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18547">
      <w:bodyDiv w:val="1"/>
      <w:marLeft w:val="0"/>
      <w:marRight w:val="0"/>
      <w:marTop w:val="0"/>
      <w:marBottom w:val="0"/>
      <w:divBdr>
        <w:top w:val="none" w:sz="0" w:space="0" w:color="auto"/>
        <w:left w:val="none" w:sz="0" w:space="0" w:color="auto"/>
        <w:bottom w:val="none" w:sz="0" w:space="0" w:color="auto"/>
        <w:right w:val="none" w:sz="0" w:space="0" w:color="auto"/>
      </w:divBdr>
    </w:div>
    <w:div w:id="43741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www.ioe-emp.org/index.php?eID=dumpFile&amp;t=f&amp;f=145680&amp;token=9dbcc1f8414128d575cd6bef9f36b84ec106a386" TargetMode="External"/><Relationship Id="rId4" Type="http://schemas.openxmlformats.org/officeDocument/2006/relationships/settings" Target="settings.xml"/><Relationship Id="rId9" Type="http://schemas.openxmlformats.org/officeDocument/2006/relationships/hyperlink" Target="http://www.ioe-emp.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C8B31D-7099-44D8-B79C-3A1FF4E1D6A7}">
  <ds:schemaRefs>
    <ds:schemaRef ds:uri="http://schemas.openxmlformats.org/officeDocument/2006/bibliography"/>
  </ds:schemaRefs>
</ds:datastoreItem>
</file>

<file path=customXml/itemProps2.xml><?xml version="1.0" encoding="utf-8"?>
<ds:datastoreItem xmlns:ds="http://schemas.openxmlformats.org/officeDocument/2006/customXml" ds:itemID="{ECBD0916-CA75-4D6C-A033-0D40331EB21D}"/>
</file>

<file path=customXml/itemProps3.xml><?xml version="1.0" encoding="utf-8"?>
<ds:datastoreItem xmlns:ds="http://schemas.openxmlformats.org/officeDocument/2006/customXml" ds:itemID="{DC7325FC-05D9-4E66-AE01-E4ECEF9278B6}"/>
</file>

<file path=customXml/itemProps4.xml><?xml version="1.0" encoding="utf-8"?>
<ds:datastoreItem xmlns:ds="http://schemas.openxmlformats.org/officeDocument/2006/customXml" ds:itemID="{7C5AE3E1-23F9-4636-840E-9AA8496F5DBF}"/>
</file>

<file path=docProps/app.xml><?xml version="1.0" encoding="utf-8"?>
<Properties xmlns="http://schemas.openxmlformats.org/officeDocument/2006/extended-properties" xmlns:vt="http://schemas.openxmlformats.org/officeDocument/2006/docPropsVTypes">
  <Template>Normal.dotm</Template>
  <TotalTime>87</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Hall</dc:creator>
  <cp:lastModifiedBy>Peter Hall</cp:lastModifiedBy>
  <cp:revision>27</cp:revision>
  <dcterms:created xsi:type="dcterms:W3CDTF">2019-10-13T11:05:00Z</dcterms:created>
  <dcterms:modified xsi:type="dcterms:W3CDTF">2019-10-14T14:13:00Z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