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C55EC" w14:textId="77777777" w:rsidR="00924EF0" w:rsidRPr="00924EF0" w:rsidRDefault="00924EF0" w:rsidP="00924EF0">
      <w:pPr>
        <w:spacing w:after="0"/>
        <w:jc w:val="center"/>
        <w:rPr>
          <w:rFonts w:ascii="Constantia" w:eastAsia="Cambria" w:hAnsi="Constantia" w:cs="Arial"/>
          <w:b/>
          <w:sz w:val="24"/>
          <w:szCs w:val="24"/>
          <w:lang w:val="fr-CH" w:eastAsia="en-ZA"/>
        </w:rPr>
      </w:pPr>
      <w:r w:rsidRPr="00924EF0">
        <w:rPr>
          <w:rFonts w:ascii="Constantia" w:eastAsia="Cambria" w:hAnsi="Constantia" w:cs="Arial"/>
          <w:b/>
          <w:sz w:val="24"/>
          <w:szCs w:val="24"/>
          <w:lang w:val="fr-CH" w:eastAsia="en-ZA"/>
        </w:rPr>
        <w:t>5ème SESSION DU GROUPE DE TRAVAIL INTERGOUVERNEMENTAL À COMPOSITION NON LIMITÉE SUR LES STN ET LES DROITS DE L'HOMME,</w:t>
      </w:r>
    </w:p>
    <w:p w14:paraId="5D8E69BB" w14:textId="3DC1B998" w:rsidR="00924EF0" w:rsidRDefault="00924EF0" w:rsidP="00924EF0">
      <w:pPr>
        <w:spacing w:after="0"/>
        <w:jc w:val="center"/>
        <w:rPr>
          <w:rFonts w:ascii="Constantia" w:eastAsia="Cambria" w:hAnsi="Constantia" w:cs="Arial"/>
          <w:b/>
          <w:sz w:val="24"/>
          <w:szCs w:val="24"/>
          <w:lang w:eastAsia="en-ZA"/>
        </w:rPr>
      </w:pPr>
      <w:r w:rsidRPr="00924EF0">
        <w:rPr>
          <w:rFonts w:ascii="Constantia" w:eastAsia="Cambria" w:hAnsi="Constantia" w:cs="Arial"/>
          <w:b/>
          <w:sz w:val="24"/>
          <w:szCs w:val="24"/>
          <w:lang w:eastAsia="en-ZA"/>
        </w:rPr>
        <w:t xml:space="preserve">14 </w:t>
      </w:r>
      <w:proofErr w:type="spellStart"/>
      <w:r w:rsidRPr="00924EF0">
        <w:rPr>
          <w:rFonts w:ascii="Constantia" w:eastAsia="Cambria" w:hAnsi="Constantia" w:cs="Arial"/>
          <w:b/>
          <w:sz w:val="24"/>
          <w:szCs w:val="24"/>
          <w:lang w:eastAsia="en-ZA"/>
        </w:rPr>
        <w:t>octobre</w:t>
      </w:r>
      <w:proofErr w:type="spellEnd"/>
      <w:r w:rsidRPr="00924EF0">
        <w:rPr>
          <w:rFonts w:ascii="Constantia" w:eastAsia="Cambria" w:hAnsi="Constantia" w:cs="Arial"/>
          <w:b/>
          <w:sz w:val="24"/>
          <w:szCs w:val="24"/>
          <w:lang w:eastAsia="en-ZA"/>
        </w:rPr>
        <w:t xml:space="preserve"> 2019</w:t>
      </w:r>
    </w:p>
    <w:p w14:paraId="4BF9D263" w14:textId="77777777" w:rsidR="00924EF0" w:rsidRDefault="00924EF0" w:rsidP="00924EF0">
      <w:pPr>
        <w:spacing w:after="0"/>
        <w:jc w:val="center"/>
        <w:rPr>
          <w:rFonts w:ascii="Constantia" w:eastAsia="Cambria" w:hAnsi="Constantia" w:cs="Arial"/>
          <w:b/>
          <w:sz w:val="24"/>
          <w:szCs w:val="24"/>
          <w:lang w:eastAsia="en-ZA"/>
        </w:rPr>
      </w:pPr>
    </w:p>
    <w:p w14:paraId="7A0E2A9D" w14:textId="5CE15D1F" w:rsidR="00924EF0" w:rsidRDefault="00924EF0" w:rsidP="00B85B83">
      <w:pPr>
        <w:spacing w:after="0"/>
        <w:jc w:val="center"/>
        <w:rPr>
          <w:rFonts w:ascii="Constantia" w:eastAsia="Cambria" w:hAnsi="Constantia" w:cs="Arial"/>
          <w:b/>
          <w:sz w:val="24"/>
          <w:szCs w:val="24"/>
          <w:lang w:eastAsia="en-ZA"/>
        </w:rPr>
      </w:pPr>
      <w:r>
        <w:rPr>
          <w:rFonts w:ascii="Constantia" w:eastAsia="Cambria" w:hAnsi="Constantia" w:cs="Arial"/>
          <w:b/>
          <w:sz w:val="24"/>
          <w:szCs w:val="24"/>
          <w:lang w:eastAsia="en-ZA"/>
        </w:rPr>
        <w:t>COMMENTAIRES GENERAUX</w:t>
      </w:r>
    </w:p>
    <w:p w14:paraId="4CBE5FC7" w14:textId="5117F8B4" w:rsidR="00924EF0" w:rsidRPr="00924EF0" w:rsidRDefault="00924EF0" w:rsidP="00B85B83">
      <w:pPr>
        <w:spacing w:after="0"/>
        <w:jc w:val="center"/>
        <w:rPr>
          <w:rFonts w:ascii="Constantia" w:eastAsia="Cambria" w:hAnsi="Constantia" w:cs="Arial"/>
          <w:b/>
          <w:sz w:val="24"/>
          <w:szCs w:val="24"/>
          <w:lang w:val="fr-CH" w:eastAsia="en-ZA"/>
        </w:rPr>
      </w:pPr>
      <w:r w:rsidRPr="00924EF0">
        <w:rPr>
          <w:rFonts w:ascii="Constantia" w:eastAsia="Cambria" w:hAnsi="Constantia" w:cs="Arial"/>
          <w:b/>
          <w:sz w:val="24"/>
          <w:szCs w:val="24"/>
          <w:lang w:val="fr-CH" w:eastAsia="en-ZA"/>
        </w:rPr>
        <w:t>Déclaration de l’Angola au n</w:t>
      </w:r>
      <w:r>
        <w:rPr>
          <w:rFonts w:ascii="Constantia" w:eastAsia="Cambria" w:hAnsi="Constantia" w:cs="Arial"/>
          <w:b/>
          <w:sz w:val="24"/>
          <w:szCs w:val="24"/>
          <w:lang w:val="fr-CH" w:eastAsia="en-ZA"/>
        </w:rPr>
        <w:t>om du Groupe Africain.</w:t>
      </w:r>
    </w:p>
    <w:p w14:paraId="11204796" w14:textId="77777777" w:rsidR="00842AC8" w:rsidRPr="00924EF0" w:rsidRDefault="00842AC8" w:rsidP="00B85B83">
      <w:pPr>
        <w:spacing w:after="160" w:line="360" w:lineRule="auto"/>
        <w:jc w:val="both"/>
        <w:rPr>
          <w:rFonts w:ascii="Constantia" w:eastAsia="Cambria" w:hAnsi="Constantia" w:cs="Arial"/>
          <w:b/>
          <w:sz w:val="28"/>
          <w:szCs w:val="28"/>
          <w:lang w:val="fr-CH" w:eastAsia="en-ZA"/>
        </w:rPr>
      </w:pPr>
    </w:p>
    <w:p w14:paraId="72077395" w14:textId="50226AA4" w:rsidR="00842AC8" w:rsidRPr="00B85B83" w:rsidRDefault="00842AC8" w:rsidP="00B85B83">
      <w:pPr>
        <w:tabs>
          <w:tab w:val="center" w:pos="4513"/>
        </w:tabs>
        <w:spacing w:after="160" w:line="360" w:lineRule="auto"/>
        <w:jc w:val="both"/>
        <w:rPr>
          <w:rFonts w:ascii="Constantia" w:eastAsia="Calibri" w:hAnsi="Constantia" w:cs="Arial"/>
          <w:sz w:val="28"/>
          <w:szCs w:val="28"/>
          <w:lang w:val="fr-CH"/>
        </w:rPr>
      </w:pPr>
      <w:r w:rsidRPr="00B85B83">
        <w:rPr>
          <w:rFonts w:ascii="Constantia" w:eastAsia="Calibri" w:hAnsi="Constantia" w:cs="Arial"/>
          <w:sz w:val="28"/>
          <w:szCs w:val="28"/>
          <w:lang w:val="fr-CH"/>
        </w:rPr>
        <w:t>J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'ai l'honneur de faire cette déclaration au nom du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>G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>roupe africain.</w:t>
      </w:r>
    </w:p>
    <w:p w14:paraId="4D5C49EF" w14:textId="1148DA31" w:rsidR="00842AC8" w:rsidRPr="00B85B83" w:rsidRDefault="00403743" w:rsidP="00B85B83">
      <w:pPr>
        <w:tabs>
          <w:tab w:val="center" w:pos="4513"/>
        </w:tabs>
        <w:spacing w:after="160" w:line="360" w:lineRule="auto"/>
        <w:jc w:val="both"/>
        <w:rPr>
          <w:rFonts w:ascii="Constantia" w:eastAsia="Calibri" w:hAnsi="Constantia" w:cs="Arial"/>
          <w:sz w:val="28"/>
          <w:szCs w:val="28"/>
          <w:lang w:val="fr-CH"/>
        </w:rPr>
      </w:pPr>
      <w:r>
        <w:rPr>
          <w:rFonts w:ascii="Constantia" w:eastAsia="Calibri" w:hAnsi="Constantia" w:cs="Arial"/>
          <w:sz w:val="28"/>
          <w:szCs w:val="28"/>
          <w:lang w:val="fr-CH"/>
        </w:rPr>
        <w:t xml:space="preserve">Nous souhaitons </w:t>
      </w:r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féliciter l’Ambassadeur Emilio </w:t>
      </w:r>
      <w:proofErr w:type="spellStart"/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>Mino</w:t>
      </w:r>
      <w:proofErr w:type="spellEnd"/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 pour </w:t>
      </w:r>
      <w:r>
        <w:rPr>
          <w:rFonts w:ascii="Constantia" w:eastAsia="Calibri" w:hAnsi="Constantia" w:cs="Arial"/>
          <w:sz w:val="28"/>
          <w:szCs w:val="28"/>
          <w:lang w:val="fr-CH"/>
        </w:rPr>
        <w:t xml:space="preserve">conduire les travaux de cette session. </w:t>
      </w:r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ab/>
      </w:r>
    </w:p>
    <w:p w14:paraId="35867C57" w14:textId="05AC2212" w:rsidR="00842AC8" w:rsidRPr="00B85B83" w:rsidRDefault="00B85B83" w:rsidP="00B85B83">
      <w:pPr>
        <w:tabs>
          <w:tab w:val="center" w:pos="4513"/>
        </w:tabs>
        <w:spacing w:after="160" w:line="360" w:lineRule="auto"/>
        <w:jc w:val="both"/>
        <w:rPr>
          <w:rFonts w:ascii="Constantia" w:eastAsia="Calibri" w:hAnsi="Constantia" w:cs="Arial"/>
          <w:sz w:val="28"/>
          <w:szCs w:val="28"/>
          <w:lang w:val="fr-CH"/>
        </w:rPr>
      </w:pPr>
      <w:r>
        <w:rPr>
          <w:rFonts w:ascii="Constantia" w:eastAsia="Calibri" w:hAnsi="Constantia" w:cs="Arial"/>
          <w:sz w:val="28"/>
          <w:szCs w:val="28"/>
          <w:lang w:val="fr-CH"/>
        </w:rPr>
        <w:t xml:space="preserve">Nous </w:t>
      </w:r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>rest</w:t>
      </w:r>
      <w:r>
        <w:rPr>
          <w:rFonts w:ascii="Constantia" w:eastAsia="Calibri" w:hAnsi="Constantia" w:cs="Arial"/>
          <w:sz w:val="28"/>
          <w:szCs w:val="28"/>
          <w:lang w:val="fr-CH"/>
        </w:rPr>
        <w:t xml:space="preserve">ons </w:t>
      </w:r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>attaché à la résolution-cadre 26/9 et remerci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>ons</w:t>
      </w:r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 le président-rapporteur pour la présentation du texte révisé du projet d'instrument juridiquement contraignant sur les 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 xml:space="preserve">STN et autres </w:t>
      </w:r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>entreprises.</w:t>
      </w:r>
    </w:p>
    <w:p w14:paraId="753452C1" w14:textId="77777777" w:rsidR="00403743" w:rsidRDefault="00842AC8" w:rsidP="00B85B83">
      <w:pPr>
        <w:tabs>
          <w:tab w:val="center" w:pos="4513"/>
        </w:tabs>
        <w:spacing w:after="160" w:line="360" w:lineRule="auto"/>
        <w:jc w:val="both"/>
        <w:rPr>
          <w:rFonts w:ascii="Constantia" w:eastAsia="Calibri" w:hAnsi="Constantia" w:cs="Arial"/>
          <w:sz w:val="28"/>
          <w:szCs w:val="28"/>
          <w:lang w:val="fr-CH"/>
        </w:rPr>
      </w:pP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Les travaux de ce groupe de travail 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 xml:space="preserve">visent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à combler les lacunes et les déséquilibres de l'ordre juridique international concernant les victimes de violations des droits de l'homme par des entreprises sont essentiels pour 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 xml:space="preserve">notre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>groupe.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 </w:t>
      </w:r>
    </w:p>
    <w:p w14:paraId="4663B2D1" w14:textId="60259F0D" w:rsidR="00842AC8" w:rsidRPr="00B85B83" w:rsidRDefault="00403743" w:rsidP="00B85B83">
      <w:pPr>
        <w:tabs>
          <w:tab w:val="center" w:pos="4513"/>
        </w:tabs>
        <w:spacing w:after="160" w:line="360" w:lineRule="auto"/>
        <w:jc w:val="both"/>
        <w:rPr>
          <w:rFonts w:ascii="Constantia" w:eastAsia="Calibri" w:hAnsi="Constantia" w:cs="Arial"/>
          <w:sz w:val="28"/>
          <w:szCs w:val="28"/>
          <w:lang w:val="fr-CH"/>
        </w:rPr>
      </w:pPr>
      <w:r>
        <w:rPr>
          <w:rFonts w:ascii="Constantia" w:eastAsia="Calibri" w:hAnsi="Constantia" w:cs="Arial"/>
          <w:sz w:val="28"/>
          <w:szCs w:val="28"/>
          <w:lang w:val="fr-CH"/>
        </w:rPr>
        <w:t xml:space="preserve">En effet, </w:t>
      </w:r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>le</w:t>
      </w:r>
      <w:r>
        <w:rPr>
          <w:rFonts w:ascii="Constantia" w:eastAsia="Calibri" w:hAnsi="Constantia" w:cs="Arial"/>
          <w:sz w:val="28"/>
          <w:szCs w:val="28"/>
          <w:lang w:val="fr-CH"/>
        </w:rPr>
        <w:t>s a</w:t>
      </w:r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ctivités </w:t>
      </w:r>
      <w:r>
        <w:rPr>
          <w:rFonts w:ascii="Constantia" w:eastAsia="Calibri" w:hAnsi="Constantia" w:cs="Arial"/>
          <w:sz w:val="28"/>
          <w:szCs w:val="28"/>
          <w:lang w:val="fr-CH"/>
        </w:rPr>
        <w:t xml:space="preserve">économiques et </w:t>
      </w:r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opérationnelles </w:t>
      </w:r>
      <w:r>
        <w:rPr>
          <w:rFonts w:ascii="Constantia" w:eastAsia="Calibri" w:hAnsi="Constantia" w:cs="Arial"/>
          <w:sz w:val="28"/>
          <w:szCs w:val="28"/>
          <w:lang w:val="fr-CH"/>
        </w:rPr>
        <w:t>de ces entreprises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 </w:t>
      </w:r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>continue</w:t>
      </w:r>
      <w:r>
        <w:rPr>
          <w:rFonts w:ascii="Constantia" w:eastAsia="Calibri" w:hAnsi="Constantia" w:cs="Arial"/>
          <w:sz w:val="28"/>
          <w:szCs w:val="28"/>
          <w:lang w:val="fr-CH"/>
        </w:rPr>
        <w:t xml:space="preserve">nt </w:t>
      </w:r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d’avoir des impacts </w:t>
      </w:r>
      <w:r>
        <w:rPr>
          <w:rFonts w:ascii="Constantia" w:eastAsia="Calibri" w:hAnsi="Constantia" w:cs="Arial"/>
          <w:sz w:val="28"/>
          <w:szCs w:val="28"/>
          <w:lang w:val="fr-CH"/>
        </w:rPr>
        <w:t xml:space="preserve">politiques, humains et </w:t>
      </w:r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sociaux </w:t>
      </w:r>
      <w:r>
        <w:rPr>
          <w:rFonts w:ascii="Constantia" w:eastAsia="Calibri" w:hAnsi="Constantia" w:cs="Arial"/>
          <w:sz w:val="28"/>
          <w:szCs w:val="28"/>
          <w:lang w:val="fr-CH"/>
        </w:rPr>
        <w:t>d</w:t>
      </w:r>
      <w:r w:rsidR="00842AC8" w:rsidRPr="00B85B83">
        <w:rPr>
          <w:rFonts w:ascii="Constantia" w:eastAsia="Calibri" w:hAnsi="Constantia" w:cs="Arial"/>
          <w:sz w:val="28"/>
          <w:szCs w:val="28"/>
          <w:lang w:val="fr-CH"/>
        </w:rPr>
        <w:t>émesurés par rapport à leurs obligations juridiques et sociales, aux niveaux national et international.</w:t>
      </w:r>
    </w:p>
    <w:p w14:paraId="0531331C" w14:textId="3DB5B156" w:rsidR="00842AC8" w:rsidRPr="00B85B83" w:rsidRDefault="00842AC8" w:rsidP="00B85B83">
      <w:pPr>
        <w:tabs>
          <w:tab w:val="center" w:pos="4513"/>
        </w:tabs>
        <w:spacing w:after="160" w:line="360" w:lineRule="auto"/>
        <w:jc w:val="both"/>
        <w:rPr>
          <w:rFonts w:ascii="Constantia" w:eastAsia="Calibri" w:hAnsi="Constantia" w:cs="Arial"/>
          <w:sz w:val="28"/>
          <w:szCs w:val="28"/>
          <w:lang w:val="fr-CH"/>
        </w:rPr>
      </w:pPr>
      <w:r w:rsidRPr="00B85B83">
        <w:rPr>
          <w:rFonts w:ascii="Constantia" w:eastAsia="Calibri" w:hAnsi="Constantia" w:cs="Arial"/>
          <w:sz w:val="28"/>
          <w:szCs w:val="28"/>
          <w:lang w:val="fr-CH"/>
        </w:rPr>
        <w:t>Alors que les États ont la responsabilité et le devo</w:t>
      </w:r>
      <w:bookmarkStart w:id="0" w:name="_GoBack"/>
      <w:bookmarkEnd w:id="0"/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ir primordiaux d'assurer la promotion et la protection des droits de l'homme, les 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 xml:space="preserve">STN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>doivent respecter les droits de l'homme et la dignité humaine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,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>être tenu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>es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 pour responsable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>s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 de toute violation et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 xml:space="preserve"> abus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>des droits</w:t>
      </w:r>
      <w:proofErr w:type="spellStart"/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 de</w:t>
      </w:r>
      <w:proofErr w:type="spellEnd"/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 </w:t>
      </w:r>
      <w:r w:rsidR="00403743" w:rsidRPr="00B85B83">
        <w:rPr>
          <w:rFonts w:ascii="Constantia" w:eastAsia="Calibri" w:hAnsi="Constantia" w:cs="Arial"/>
          <w:sz w:val="28"/>
          <w:szCs w:val="28"/>
          <w:lang w:val="fr-CH"/>
        </w:rPr>
        <w:t>l’homme ;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 et devrai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 xml:space="preserve">ent également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contribuer 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 xml:space="preserve">d’une manière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positive aux moyens de mise en œuvre pour la </w:t>
      </w:r>
      <w:r w:rsidR="00924EF0" w:rsidRPr="00B85B83">
        <w:rPr>
          <w:rFonts w:ascii="Constantia" w:eastAsia="Calibri" w:hAnsi="Constantia" w:cs="Arial"/>
          <w:sz w:val="28"/>
          <w:szCs w:val="28"/>
          <w:lang w:val="fr-CH"/>
        </w:rPr>
        <w:t>réali</w:t>
      </w:r>
      <w:r w:rsidR="00924EF0">
        <w:rPr>
          <w:rFonts w:ascii="Constantia" w:eastAsia="Calibri" w:hAnsi="Constantia" w:cs="Arial"/>
          <w:sz w:val="28"/>
          <w:szCs w:val="28"/>
          <w:lang w:val="fr-CH"/>
        </w:rPr>
        <w:t>s</w:t>
      </w:r>
      <w:r w:rsidR="00924EF0" w:rsidRPr="00B85B83">
        <w:rPr>
          <w:rFonts w:ascii="Constantia" w:eastAsia="Calibri" w:hAnsi="Constantia" w:cs="Arial"/>
          <w:sz w:val="28"/>
          <w:szCs w:val="28"/>
          <w:lang w:val="fr-CH"/>
        </w:rPr>
        <w:t>ation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 du droit au développement.</w:t>
      </w:r>
    </w:p>
    <w:p w14:paraId="041D10F3" w14:textId="61D9F479" w:rsidR="00B85B83" w:rsidRPr="00B85B83" w:rsidRDefault="00842AC8" w:rsidP="00B85B83">
      <w:pPr>
        <w:tabs>
          <w:tab w:val="center" w:pos="4513"/>
        </w:tabs>
        <w:spacing w:after="160" w:line="360" w:lineRule="auto"/>
        <w:jc w:val="both"/>
        <w:rPr>
          <w:rFonts w:ascii="Constantia" w:eastAsia="Calibri" w:hAnsi="Constantia" w:cs="Arial"/>
          <w:sz w:val="28"/>
          <w:szCs w:val="28"/>
          <w:lang w:val="fr-CH"/>
        </w:rPr>
      </w:pPr>
      <w:r w:rsidRPr="00B85B83">
        <w:rPr>
          <w:rFonts w:ascii="Constantia" w:eastAsia="Calibri" w:hAnsi="Constantia" w:cs="Arial"/>
          <w:sz w:val="28"/>
          <w:szCs w:val="28"/>
          <w:lang w:val="fr-CH"/>
        </w:rPr>
        <w:lastRenderedPageBreak/>
        <w:t>La réglementation des activités des STN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 xml:space="preserve">, ainsi que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>la fourniture de recours efficaces aux victimes de violations des droits de l'homme doivent être considérées comme une obligation morale pour tous les organes de la société.</w:t>
      </w:r>
      <w:r w:rsidRPr="00B85B83">
        <w:rPr>
          <w:rFonts w:ascii="Constantia" w:hAnsi="Constantia"/>
          <w:sz w:val="24"/>
          <w:szCs w:val="24"/>
          <w:lang w:val="fr-CH"/>
        </w:rPr>
        <w:t xml:space="preserve">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Cela comprend une </w:t>
      </w:r>
      <w:r w:rsidR="00403743" w:rsidRPr="00B85B83">
        <w:rPr>
          <w:rFonts w:ascii="Constantia" w:eastAsia="Calibri" w:hAnsi="Constantia" w:cs="Arial"/>
          <w:sz w:val="28"/>
          <w:szCs w:val="28"/>
          <w:lang w:val="fr-CH"/>
        </w:rPr>
        <w:t>prompte</w:t>
      </w:r>
      <w:r w:rsidR="00403743"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>réparation, efficace et adéquate des personnes et des communautés touchées négativement par leurs activités.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>L'établissement de normes claires pour ces entités assurera la sécurité juridique et garantira des conditions de concurrence équitables. Cette prévisibilité est la base du développement durable et de la prospérité.</w:t>
      </w:r>
    </w:p>
    <w:p w14:paraId="3533D453" w14:textId="77777777" w:rsidR="00B85B83" w:rsidRPr="00B85B83" w:rsidRDefault="00B85B83" w:rsidP="00B85B83">
      <w:pPr>
        <w:tabs>
          <w:tab w:val="center" w:pos="4513"/>
        </w:tabs>
        <w:spacing w:after="160" w:line="360" w:lineRule="auto"/>
        <w:jc w:val="both"/>
        <w:rPr>
          <w:rFonts w:ascii="Constantia" w:eastAsia="Calibri" w:hAnsi="Constantia" w:cs="Arial"/>
          <w:sz w:val="28"/>
          <w:szCs w:val="28"/>
          <w:lang w:val="fr-CH"/>
        </w:rPr>
      </w:pPr>
    </w:p>
    <w:p w14:paraId="515CB9AC" w14:textId="77777777" w:rsidR="00B85B83" w:rsidRPr="00B85B83" w:rsidRDefault="00B85B83" w:rsidP="00B85B83">
      <w:pPr>
        <w:tabs>
          <w:tab w:val="center" w:pos="4513"/>
        </w:tabs>
        <w:spacing w:after="160" w:line="360" w:lineRule="auto"/>
        <w:jc w:val="both"/>
        <w:rPr>
          <w:rFonts w:ascii="Constantia" w:eastAsia="Calibri" w:hAnsi="Constantia" w:cs="Arial"/>
          <w:sz w:val="28"/>
          <w:szCs w:val="28"/>
          <w:lang w:val="fr-CH"/>
        </w:rPr>
      </w:pP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M. le Président, </w:t>
      </w:r>
    </w:p>
    <w:p w14:paraId="11C503C5" w14:textId="389D2217" w:rsidR="00B85B83" w:rsidRPr="00B85B83" w:rsidRDefault="00B85B83" w:rsidP="00B85B83">
      <w:pPr>
        <w:tabs>
          <w:tab w:val="center" w:pos="4513"/>
        </w:tabs>
        <w:spacing w:after="160" w:line="360" w:lineRule="auto"/>
        <w:jc w:val="both"/>
        <w:rPr>
          <w:rFonts w:ascii="Constantia" w:eastAsia="Calibri" w:hAnsi="Constantia" w:cs="Arial"/>
          <w:sz w:val="28"/>
          <w:szCs w:val="28"/>
          <w:lang w:val="fr-CH"/>
        </w:rPr>
      </w:pPr>
      <w:r w:rsidRPr="00B85B83">
        <w:rPr>
          <w:rFonts w:ascii="Constantia" w:eastAsia="Calibri" w:hAnsi="Constantia" w:cs="Arial"/>
          <w:sz w:val="28"/>
          <w:szCs w:val="28"/>
          <w:lang w:val="fr-CH"/>
        </w:rPr>
        <w:t>Pour le Groupe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 xml:space="preserve"> Africain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, les travaux entrepris ici constituent une initiative complémentaire aux initiatives menées par 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>notre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 Groupe dans les domaines de la responsabilité des 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>différents acteurs internationaux publics ou privés et leurs incidences sur la jouissance d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es </w:t>
      </w:r>
      <w:r w:rsidR="00403743">
        <w:rPr>
          <w:rFonts w:ascii="Constantia" w:eastAsia="Calibri" w:hAnsi="Constantia" w:cs="Arial"/>
          <w:sz w:val="28"/>
          <w:szCs w:val="28"/>
          <w:lang w:val="fr-CH"/>
        </w:rPr>
        <w:t xml:space="preserve">droits de l’homme. </w:t>
      </w:r>
    </w:p>
    <w:p w14:paraId="4B4F85A3" w14:textId="160C95FE" w:rsidR="00B85B83" w:rsidRPr="00B85B83" w:rsidRDefault="00403743" w:rsidP="00B85B83">
      <w:pPr>
        <w:tabs>
          <w:tab w:val="center" w:pos="4513"/>
        </w:tabs>
        <w:spacing w:after="160" w:line="360" w:lineRule="auto"/>
        <w:jc w:val="both"/>
        <w:rPr>
          <w:rFonts w:ascii="Constantia" w:eastAsia="Calibri" w:hAnsi="Constantia" w:cs="Arial"/>
          <w:sz w:val="28"/>
          <w:szCs w:val="28"/>
          <w:lang w:val="fr-CH"/>
        </w:rPr>
      </w:pPr>
      <w:r>
        <w:rPr>
          <w:rFonts w:ascii="Constantia" w:eastAsia="Calibri" w:hAnsi="Constantia" w:cs="Arial"/>
          <w:sz w:val="28"/>
          <w:szCs w:val="28"/>
          <w:lang w:val="fr-CH"/>
        </w:rPr>
        <w:t>Par conséquent, n</w:t>
      </w:r>
      <w:r w:rsidR="00B85B83"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ous restons déterminés à participer de manière constructive </w:t>
      </w:r>
      <w:r>
        <w:rPr>
          <w:rFonts w:ascii="Constantia" w:eastAsia="Calibri" w:hAnsi="Constantia" w:cs="Arial"/>
          <w:sz w:val="28"/>
          <w:szCs w:val="28"/>
          <w:lang w:val="fr-CH"/>
        </w:rPr>
        <w:t xml:space="preserve">dans les travaux de </w:t>
      </w:r>
      <w:r w:rsidR="00B85B83"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fond </w:t>
      </w:r>
      <w:r w:rsidR="00924EF0">
        <w:rPr>
          <w:rFonts w:ascii="Constantia" w:eastAsia="Calibri" w:hAnsi="Constantia" w:cs="Arial"/>
          <w:sz w:val="28"/>
          <w:szCs w:val="28"/>
          <w:lang w:val="fr-CH"/>
        </w:rPr>
        <w:t xml:space="preserve">de cet </w:t>
      </w:r>
      <w:r w:rsidR="00B85B83" w:rsidRPr="00B85B83">
        <w:rPr>
          <w:rFonts w:ascii="Constantia" w:eastAsia="Calibri" w:hAnsi="Constantia" w:cs="Arial"/>
          <w:sz w:val="28"/>
          <w:szCs w:val="28"/>
          <w:lang w:val="fr-CH"/>
        </w:rPr>
        <w:t>instrument juridiquement contraignant</w:t>
      </w:r>
      <w:r w:rsidR="00924EF0">
        <w:rPr>
          <w:rFonts w:ascii="Constantia" w:eastAsia="Calibri" w:hAnsi="Constantia" w:cs="Arial"/>
          <w:sz w:val="28"/>
          <w:szCs w:val="28"/>
          <w:lang w:val="fr-CH"/>
        </w:rPr>
        <w:t>.</w:t>
      </w:r>
      <w:r w:rsidR="00B85B83"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 </w:t>
      </w:r>
    </w:p>
    <w:p w14:paraId="049FF37A" w14:textId="062C3AF5" w:rsidR="00622181" w:rsidRDefault="00B85B83" w:rsidP="00B85B83">
      <w:pPr>
        <w:tabs>
          <w:tab w:val="center" w:pos="4513"/>
        </w:tabs>
        <w:spacing w:after="160" w:line="360" w:lineRule="auto"/>
        <w:jc w:val="both"/>
        <w:rPr>
          <w:rFonts w:ascii="Constantia" w:eastAsia="Calibri" w:hAnsi="Constantia" w:cs="Arial"/>
          <w:sz w:val="28"/>
          <w:szCs w:val="28"/>
          <w:lang w:val="fr-CH"/>
        </w:rPr>
      </w:pP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Faire en sorte que les </w:t>
      </w:r>
      <w:r w:rsidR="00924EF0">
        <w:rPr>
          <w:rFonts w:ascii="Constantia" w:eastAsia="Calibri" w:hAnsi="Constantia" w:cs="Arial"/>
          <w:sz w:val="28"/>
          <w:szCs w:val="28"/>
          <w:lang w:val="fr-CH"/>
        </w:rPr>
        <w:t xml:space="preserve">STN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>intègrent le respect des principes des droits de l'homme dans leurs modèles de gestion sera préventif</w:t>
      </w:r>
      <w:r w:rsidR="00924EF0">
        <w:rPr>
          <w:rFonts w:ascii="Constantia" w:eastAsia="Calibri" w:hAnsi="Constantia" w:cs="Arial"/>
          <w:sz w:val="28"/>
          <w:szCs w:val="28"/>
          <w:lang w:val="fr-CH"/>
        </w:rPr>
        <w:t xml:space="preserve">, de sorte que nos Etats n’aient plus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à traiter aussi régulièrement </w:t>
      </w:r>
      <w:r w:rsidR="00924EF0">
        <w:rPr>
          <w:rFonts w:ascii="Constantia" w:eastAsia="Calibri" w:hAnsi="Constantia" w:cs="Arial"/>
          <w:sz w:val="28"/>
          <w:szCs w:val="28"/>
          <w:lang w:val="fr-CH"/>
        </w:rPr>
        <w:t xml:space="preserve">des cas des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 xml:space="preserve">victimes des violations </w:t>
      </w:r>
      <w:r w:rsidR="00924EF0">
        <w:rPr>
          <w:rFonts w:ascii="Constantia" w:eastAsia="Calibri" w:hAnsi="Constantia" w:cs="Arial"/>
          <w:sz w:val="28"/>
          <w:szCs w:val="28"/>
          <w:lang w:val="fr-CH"/>
        </w:rPr>
        <w:t xml:space="preserve">et abus </w:t>
      </w:r>
      <w:r w:rsidRPr="00B85B83">
        <w:rPr>
          <w:rFonts w:ascii="Constantia" w:eastAsia="Calibri" w:hAnsi="Constantia" w:cs="Arial"/>
          <w:sz w:val="28"/>
          <w:szCs w:val="28"/>
          <w:lang w:val="fr-CH"/>
        </w:rPr>
        <w:t>des droits de l'homme perpétrées par ces puissantes entités</w:t>
      </w:r>
      <w:r>
        <w:rPr>
          <w:rFonts w:ascii="Constantia" w:eastAsia="Calibri" w:hAnsi="Constantia" w:cs="Arial"/>
          <w:sz w:val="28"/>
          <w:szCs w:val="28"/>
          <w:lang w:val="fr-CH"/>
        </w:rPr>
        <w:t>.</w:t>
      </w:r>
    </w:p>
    <w:p w14:paraId="69DE8D43" w14:textId="19DE2F64" w:rsidR="00924EF0" w:rsidRDefault="00924EF0" w:rsidP="00B85B83">
      <w:pPr>
        <w:tabs>
          <w:tab w:val="center" w:pos="4513"/>
        </w:tabs>
        <w:spacing w:after="160" w:line="360" w:lineRule="auto"/>
        <w:jc w:val="both"/>
        <w:rPr>
          <w:rFonts w:ascii="Constantia" w:eastAsia="Calibri" w:hAnsi="Constantia" w:cs="Arial"/>
          <w:sz w:val="28"/>
          <w:szCs w:val="28"/>
          <w:lang w:val="fr-CH"/>
        </w:rPr>
      </w:pPr>
    </w:p>
    <w:p w14:paraId="7BCCBFF4" w14:textId="1338ECCA" w:rsidR="00924EF0" w:rsidRPr="00B85B83" w:rsidRDefault="00924EF0" w:rsidP="00B85B83">
      <w:pPr>
        <w:tabs>
          <w:tab w:val="center" w:pos="4513"/>
        </w:tabs>
        <w:spacing w:after="160" w:line="360" w:lineRule="auto"/>
        <w:jc w:val="both"/>
        <w:rPr>
          <w:rFonts w:ascii="Constantia" w:eastAsia="Calibri" w:hAnsi="Constantia" w:cs="Arial"/>
          <w:sz w:val="28"/>
          <w:szCs w:val="28"/>
          <w:lang w:val="fr-CH"/>
        </w:rPr>
      </w:pPr>
      <w:r>
        <w:rPr>
          <w:rFonts w:ascii="Constantia" w:eastAsia="Calibri" w:hAnsi="Constantia" w:cs="Arial"/>
          <w:sz w:val="28"/>
          <w:szCs w:val="28"/>
          <w:lang w:val="fr-CH"/>
        </w:rPr>
        <w:t>Je vous remercie.</w:t>
      </w:r>
    </w:p>
    <w:sectPr w:rsidR="00924EF0" w:rsidRPr="00B85B83" w:rsidSect="00924EF0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7B2E1" w14:textId="77777777" w:rsidR="003037F5" w:rsidRDefault="003037F5">
      <w:pPr>
        <w:spacing w:after="0" w:line="240" w:lineRule="auto"/>
      </w:pPr>
      <w:r>
        <w:separator/>
      </w:r>
    </w:p>
  </w:endnote>
  <w:endnote w:type="continuationSeparator" w:id="0">
    <w:p w14:paraId="7FF69C20" w14:textId="77777777" w:rsidR="003037F5" w:rsidRDefault="0030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9932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F1B21" w14:textId="77777777" w:rsidR="00D8086E" w:rsidRDefault="00D25A14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5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107969" w14:textId="77777777" w:rsidR="00D8086E" w:rsidRDefault="003037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2CE0A" w14:textId="77777777" w:rsidR="003037F5" w:rsidRDefault="003037F5">
      <w:pPr>
        <w:spacing w:after="0" w:line="240" w:lineRule="auto"/>
      </w:pPr>
      <w:r>
        <w:separator/>
      </w:r>
    </w:p>
  </w:footnote>
  <w:footnote w:type="continuationSeparator" w:id="0">
    <w:p w14:paraId="0F6C7DBA" w14:textId="77777777" w:rsidR="003037F5" w:rsidRDefault="00303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18"/>
    <w:rsid w:val="000166B0"/>
    <w:rsid w:val="000C559C"/>
    <w:rsid w:val="003037F5"/>
    <w:rsid w:val="00403743"/>
    <w:rsid w:val="00842AC8"/>
    <w:rsid w:val="00924EF0"/>
    <w:rsid w:val="00AE5BAB"/>
    <w:rsid w:val="00B17D9B"/>
    <w:rsid w:val="00B82040"/>
    <w:rsid w:val="00B85B83"/>
    <w:rsid w:val="00BD5C2F"/>
    <w:rsid w:val="00D25A14"/>
    <w:rsid w:val="00DB299E"/>
    <w:rsid w:val="00E80618"/>
    <w:rsid w:val="00EE1941"/>
    <w:rsid w:val="00EE2CEE"/>
    <w:rsid w:val="00F32D4D"/>
    <w:rsid w:val="00F5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AB13"/>
  <w15:docId w15:val="{4247757F-78E4-4A58-BA6A-684DBA2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Z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80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618"/>
    <w:rPr>
      <w:lang w:val="en-ZA"/>
    </w:rPr>
  </w:style>
  <w:style w:type="paragraph" w:styleId="En-tte">
    <w:name w:val="header"/>
    <w:basedOn w:val="Normal"/>
    <w:link w:val="En-tteCar"/>
    <w:uiPriority w:val="99"/>
    <w:unhideWhenUsed/>
    <w:rsid w:val="00B85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5B83"/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4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3D3C7B-5715-4883-88A2-881AE74AC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AE7DB-D9E7-4F3F-A7EB-A4E2038E98B4}"/>
</file>

<file path=customXml/itemProps3.xml><?xml version="1.0" encoding="utf-8"?>
<ds:datastoreItem xmlns:ds="http://schemas.openxmlformats.org/officeDocument/2006/customXml" ds:itemID="{BB849D99-E2C2-436A-B8C1-27E621EAA370}"/>
</file>

<file path=customXml/itemProps4.xml><?xml version="1.0" encoding="utf-8"?>
<ds:datastoreItem xmlns:ds="http://schemas.openxmlformats.org/officeDocument/2006/customXml" ds:itemID="{01D7B9B3-5823-41F6-A14B-8C1CBA6EDD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Nkosi, GS Ms : Multilateral  Trade Relations, DIRCO</dc:creator>
  <cp:lastModifiedBy>Marilia</cp:lastModifiedBy>
  <cp:revision>15</cp:revision>
  <cp:lastPrinted>2019-10-14T07:01:00Z</cp:lastPrinted>
  <dcterms:created xsi:type="dcterms:W3CDTF">2019-10-14T06:45:00Z</dcterms:created>
  <dcterms:modified xsi:type="dcterms:W3CDTF">2019-10-14T08:21:00Z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