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29D4" w:rsidRPr="006521DB" w:rsidRDefault="006521DB" w:rsidP="006521D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Times New Roman" w:hAnsi="Times New Roman"/>
          <w:sz w:val="28"/>
          <w:szCs w:val="28"/>
          <w:u w:color="000000"/>
          <w:lang w:val="en-US"/>
        </w:rPr>
      </w:pPr>
      <w:r w:rsidRPr="006521DB">
        <w:rPr>
          <w:rFonts w:ascii="Times New Roman" w:hAnsi="Times New Roman"/>
          <w:noProof/>
          <w:sz w:val="28"/>
          <w:szCs w:val="28"/>
          <w:u w:color="000000"/>
          <w:lang w:val="en-US" w:eastAsia="en-US"/>
        </w:rPr>
        <w:drawing>
          <wp:inline distT="0" distB="0" distL="0" distR="0" wp14:anchorId="2CB5F320" wp14:editId="5B3CDB27">
            <wp:extent cx="786765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9D4" w:rsidRPr="006521DB" w:rsidRDefault="00DD6013" w:rsidP="006521D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color="000000"/>
          <w:lang w:val="en-US"/>
        </w:rPr>
      </w:pPr>
      <w:r w:rsidRPr="006521DB">
        <w:rPr>
          <w:rFonts w:ascii="Times New Roman" w:hAnsi="Times New Roman"/>
          <w:b/>
          <w:bCs/>
          <w:i/>
          <w:iCs/>
          <w:sz w:val="28"/>
          <w:szCs w:val="28"/>
          <w:u w:color="000000"/>
          <w:lang w:val="en-US"/>
        </w:rPr>
        <w:t>Permanent Mission of Brazil to the United Nations in Geneva</w:t>
      </w:r>
    </w:p>
    <w:p w:rsidR="00301513" w:rsidRDefault="00301513" w:rsidP="006521DB">
      <w:pPr>
        <w:pStyle w:val="Pardfaut"/>
        <w:jc w:val="both"/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</w:p>
    <w:p w:rsidR="006521DB" w:rsidRPr="006521DB" w:rsidRDefault="00301513" w:rsidP="006521DB">
      <w:pPr>
        <w:pStyle w:val="Pardfaut"/>
        <w:jc w:val="both"/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Human Rights Council</w:t>
      </w:r>
    </w:p>
    <w:p w:rsidR="00DD6013" w:rsidRDefault="00DD6013" w:rsidP="006521DB">
      <w:pPr>
        <w:pStyle w:val="Pardfaut"/>
        <w:jc w:val="both"/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</w:p>
    <w:p w:rsidR="00DD6013" w:rsidRDefault="00301513" w:rsidP="006521DB">
      <w:pPr>
        <w:pStyle w:val="Pardfaut"/>
        <w:jc w:val="both"/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  <w:r w:rsidRPr="00301513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Open Ended Working Group on the elaboration of </w:t>
      </w:r>
      <w:proofErr w:type="spellStart"/>
      <w:r w:rsidRPr="00301513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a</w:t>
      </w:r>
      <w:proofErr w:type="spellEnd"/>
      <w:r w:rsidRPr="00301513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 international legally binding instrument on transnational corporations and other business enterprises with respect to human rights</w:t>
      </w:r>
      <w:r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 – </w:t>
      </w:r>
      <w:r w:rsidR="002723EA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OEIGWG – </w:t>
      </w:r>
      <w:r w:rsidR="005E1ABF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5</w:t>
      </w:r>
      <w:r w:rsidRPr="00301513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 session</w:t>
      </w:r>
    </w:p>
    <w:p w:rsidR="00301513" w:rsidRDefault="00301513" w:rsidP="006521DB">
      <w:pPr>
        <w:pStyle w:val="Pardfaut"/>
        <w:jc w:val="both"/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</w:p>
    <w:p w:rsidR="00D429D4" w:rsidRPr="006521DB" w:rsidRDefault="00301513" w:rsidP="006521DB">
      <w:pPr>
        <w:pStyle w:val="Pardfau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October</w:t>
      </w:r>
      <w:r w:rsidR="00DD6013" w:rsidRPr="006521DB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 1</w:t>
      </w:r>
      <w:r w:rsidR="00570654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4</w:t>
      </w:r>
      <w:r w:rsidR="00DD6013" w:rsidRPr="00301513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="00DD6013" w:rsidRPr="006521DB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201</w:t>
      </w:r>
      <w:r w:rsidR="00570654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  <w:lang w:val="en-US"/>
        </w:rPr>
        <w:t>9</w:t>
      </w:r>
    </w:p>
    <w:p w:rsidR="00D429D4" w:rsidRDefault="00D429D4" w:rsidP="006521DB">
      <w:pPr>
        <w:pStyle w:val="Pardfaut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val="en-US"/>
        </w:rPr>
      </w:pPr>
    </w:p>
    <w:p w:rsidR="00D429D4" w:rsidRDefault="00D429D4" w:rsidP="006521DB">
      <w:pPr>
        <w:pStyle w:val="Pardfau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</w:p>
    <w:p w:rsidR="006521DB" w:rsidRDefault="006521DB" w:rsidP="00DD6013">
      <w:pPr>
        <w:pStyle w:val="Pardfau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>Mr. President,</w:t>
      </w:r>
    </w:p>
    <w:p w:rsidR="006521DB" w:rsidRPr="006521DB" w:rsidRDefault="006521DB" w:rsidP="006521DB">
      <w:pPr>
        <w:pStyle w:val="Pardfau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Brazil is pleased to participate in this 5th session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of the Open Ended Working Group on the elaboration of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an international legally binding instrument on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transnational corporations and other business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enterprises with respect to human rights.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We congratulate Ambassador Emilio Rafael </w:t>
      </w:r>
      <w:proofErr w:type="spellStart"/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Izquierdo</w:t>
      </w:r>
      <w:proofErr w:type="spellEnd"/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Miño</w:t>
      </w:r>
      <w:proofErr w:type="spellEnd"/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for his election as the chair of the Working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Group and we thank the delegation of Ecuador for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presenting a revised draft of a legally binding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instrument.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Brazil remains committed to filling existing gaps in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international normative framework regarding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protection of victims of human rights violations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abuses in the context of business activities. In this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regard, the UN Guiding Principles on Business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Human Rights, consensually adopted by the Human Rights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Council, should be the substantive entry point for all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our discussions.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We have analyzed very carefully the draft proposal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prepared by the Presidency. Without precluding further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comments on specific articles, we would like to praise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the efforts made by the Presidency in order to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harmonize the content of the draft with the language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and spirit of the UNGPs. We particularly commend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revision of the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lastRenderedPageBreak/>
        <w:t>scope, which now encompasses all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business enterprises, regardless of size, sector,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location, ownership and structure, in accordance with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the consensual language of the UNGPs.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We reiterate our view that broadening the scope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serves better our shared goal of enhancing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prospects of victims of human rights violations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abuses in their quest for access to justice and to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proper reparations. Limiting the scope of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instrument to transnational activities or companies,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on the contrary, would create protection gaps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render implementation ineffective in too many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occasions.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The draft instrument addresses also crucial areas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such as prevention, jurisdiction, judicial cooperation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and technical assistance. In this sense, Brazil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reaffirms its view that states hold the primary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responsibility under international law for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promotion and protection of human rights. It is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incumbent upon governments to exercise due diligence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in order to prevent and punish violations and abuses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of human rights, and ensure accountability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remedies when appropriate.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In addition, we would like </w:t>
      </w:r>
      <w:proofErr w:type="gramStart"/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to further clarify</w:t>
      </w:r>
      <w:proofErr w:type="gramEnd"/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definition of victims. The proposed language does not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adequately differentiate between victims and alleged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victims, which may induce uncertainty and even hamper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the enforcement of judicial or administrative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decisions favorable to victims of violations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abuses. We will provide further comments on the matter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during the discussions about the specific contents of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the draft.</w:t>
      </w:r>
    </w:p>
    <w:p w:rsid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Given the complexity of the issues raised in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draft and the potential impact on the activities of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business enterprises, Brazil believes that we must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proceed with caution in our deliberations, building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consensus and bridging gaps to reach a common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understanding.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lastRenderedPageBreak/>
        <w:t>Brazil is convinced that the current session can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contribute to promote convergence and clarify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substantive issues that are of special concern to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negotiating parties. There is a long road ahead.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While upholding the highest values and standards, an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effective legally binding instrument needs to be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mindful of constraints. To attribute excessive burden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upon states would prove unrealistic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counterproductive.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We encourage the Presidency to ensure a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States-driven debate, which will enshrine direct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substantive intergovernmental negotiations on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draft before us, in a transparent, collaborative and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inclusive manner.</w:t>
      </w:r>
    </w:p>
    <w:p w:rsidR="00570654" w:rsidRPr="00570654" w:rsidRDefault="00570654" w:rsidP="00570654">
      <w:pPr>
        <w:pStyle w:val="Pardfaut"/>
        <w:spacing w:line="36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</w:p>
    <w:p w:rsidR="00D429D4" w:rsidRPr="006521DB" w:rsidRDefault="00570654" w:rsidP="00570654">
      <w:pPr>
        <w:pStyle w:val="Pardfau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We reaffirm our readiness to continue engaging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constructively with member states and civil society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with a view to reaching a victims-oriented, balanced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and effective document that properly fills the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existing protection gaps against human rights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violations and abuses in the context of business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activities.</w:t>
      </w:r>
    </w:p>
    <w:p w:rsidR="00570654" w:rsidRDefault="00570654" w:rsidP="00301513">
      <w:pPr>
        <w:pStyle w:val="Pardfau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</w:p>
    <w:p w:rsidR="00D429D4" w:rsidRDefault="006521DB" w:rsidP="00301513">
      <w:pPr>
        <w:pStyle w:val="Pardfau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>I thank you.</w:t>
      </w:r>
    </w:p>
    <w:p w:rsidR="006521DB" w:rsidRPr="006521DB" w:rsidRDefault="006521DB" w:rsidP="006521DB">
      <w:pPr>
        <w:pStyle w:val="Pardfau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</w:p>
    <w:p w:rsidR="00D429D4" w:rsidRPr="006521DB" w:rsidRDefault="00DD6013" w:rsidP="006521DB">
      <w:pPr>
        <w:pStyle w:val="Pardfaut"/>
        <w:ind w:firstLine="709"/>
        <w:jc w:val="right"/>
        <w:rPr>
          <w:rFonts w:hint="eastAsia"/>
          <w:sz w:val="28"/>
          <w:szCs w:val="28"/>
          <w:lang w:val="en-US"/>
        </w:rPr>
      </w:pPr>
      <w:r w:rsidRPr="006521DB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(</w:t>
      </w:r>
      <w:r w:rsidR="00301513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5</w:t>
      </w:r>
      <w:r w:rsidR="00570654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>75</w:t>
      </w:r>
      <w:bookmarkStart w:id="0" w:name="_GoBack"/>
      <w:bookmarkEnd w:id="0"/>
      <w:r w:rsidRPr="006521DB"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  <w:t xml:space="preserve"> words)</w:t>
      </w:r>
    </w:p>
    <w:sectPr w:rsidR="00D429D4" w:rsidRPr="006521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50" w:rsidRDefault="00DD6013">
      <w:r>
        <w:separator/>
      </w:r>
    </w:p>
  </w:endnote>
  <w:endnote w:type="continuationSeparator" w:id="0">
    <w:p w:rsidR="000A4E50" w:rsidRDefault="00DD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4" w:rsidRDefault="00D429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50" w:rsidRDefault="00DD6013">
      <w:r>
        <w:separator/>
      </w:r>
    </w:p>
  </w:footnote>
  <w:footnote w:type="continuationSeparator" w:id="0">
    <w:p w:rsidR="000A4E50" w:rsidRDefault="00DD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4" w:rsidRDefault="00D429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429D4"/>
    <w:rsid w:val="000A4E50"/>
    <w:rsid w:val="002723EA"/>
    <w:rsid w:val="00301513"/>
    <w:rsid w:val="003F3F44"/>
    <w:rsid w:val="00570654"/>
    <w:rsid w:val="005E1ABF"/>
    <w:rsid w:val="006521DB"/>
    <w:rsid w:val="006F72A8"/>
    <w:rsid w:val="00D429D4"/>
    <w:rsid w:val="00D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31568-8CDE-49F4-8821-F4F2AFCB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1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1D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05DF73-DDE2-4E57-A8CF-F5A8518DFF3F}"/>
</file>

<file path=customXml/itemProps2.xml><?xml version="1.0" encoding="utf-8"?>
<ds:datastoreItem xmlns:ds="http://schemas.openxmlformats.org/officeDocument/2006/customXml" ds:itemID="{8F8DCF79-5032-42B7-A73B-F09DC6C4C919}"/>
</file>

<file path=customXml/itemProps3.xml><?xml version="1.0" encoding="utf-8"?>
<ds:datastoreItem xmlns:ds="http://schemas.openxmlformats.org/officeDocument/2006/customXml" ds:itemID="{1680F99F-F83F-4A01-8FAF-4AFAFBD70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Canário de Oliveira</dc:creator>
  <cp:lastModifiedBy>Marcia Canário de Oliveira</cp:lastModifiedBy>
  <cp:revision>3</cp:revision>
  <cp:lastPrinted>2018-10-15T07:18:00Z</cp:lastPrinted>
  <dcterms:created xsi:type="dcterms:W3CDTF">2019-10-13T16:35:00Z</dcterms:created>
  <dcterms:modified xsi:type="dcterms:W3CDTF">2019-10-13T16:38:00Z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