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6963" w14:textId="77777777" w:rsidR="00D47F67" w:rsidRPr="00A228D5" w:rsidRDefault="00D96E06" w:rsidP="00D96E06">
      <w:pPr>
        <w:suppressAutoHyphens w:val="0"/>
        <w:ind w:firstLine="708"/>
        <w:jc w:val="center"/>
        <w:rPr>
          <w:rFonts w:ascii="Calibri Light" w:eastAsia="Calibri" w:hAnsi="Calibri Light" w:cs="Arial"/>
          <w:b/>
          <w:lang w:eastAsia="en-US"/>
        </w:rPr>
      </w:pPr>
      <w:bookmarkStart w:id="0" w:name="_GoBack"/>
      <w:bookmarkEnd w:id="0"/>
      <w:r>
        <w:rPr>
          <w:rFonts w:ascii="Calibri Light" w:eastAsia="Calibri" w:hAnsi="Calibri Light" w:cs="Arial"/>
          <w:b/>
          <w:lang w:eastAsia="en-US"/>
        </w:rPr>
        <w:t xml:space="preserve">QUINTA SESIÓN DEL </w:t>
      </w:r>
      <w:r w:rsidR="00D47F67" w:rsidRPr="00A228D5">
        <w:rPr>
          <w:rFonts w:ascii="Calibri Light" w:eastAsia="Calibri" w:hAnsi="Calibri Light" w:cs="Arial"/>
          <w:b/>
          <w:lang w:eastAsia="en-US"/>
        </w:rPr>
        <w:t>GRUPO DE TRABAJO INTERGUBERNAMENTAL DE COMPOSICIÓN ABIERTA CON EL MANDATO DE ELABORAR UN INSTRUMENTO INTERNACIONAL JURÍDICAMENTE VINCULANTE SOBRE EMPRESAS TRANSNACIONALES Y OTRAS EMPRESAS CON RESPECTO A LOS DERECHOS HUMANOS</w:t>
      </w:r>
    </w:p>
    <w:p w14:paraId="36089DF5" w14:textId="77777777" w:rsidR="00D47F67" w:rsidRPr="00340700" w:rsidRDefault="00D47F67" w:rsidP="00D47F67">
      <w:pPr>
        <w:suppressAutoHyphens w:val="0"/>
        <w:jc w:val="both"/>
        <w:rPr>
          <w:rFonts w:ascii="Calibri Light" w:eastAsia="Calibri" w:hAnsi="Calibri Light" w:cs="Arial"/>
          <w:b/>
          <w:sz w:val="22"/>
          <w:szCs w:val="22"/>
          <w:lang w:eastAsia="en-US"/>
        </w:rPr>
      </w:pPr>
    </w:p>
    <w:p w14:paraId="03A0932E" w14:textId="77777777" w:rsidR="00042DB5" w:rsidRDefault="00042DB5" w:rsidP="00D47F67">
      <w:pPr>
        <w:suppressAutoHyphens w:val="0"/>
        <w:jc w:val="right"/>
        <w:rPr>
          <w:rFonts w:ascii="Calibri Light" w:hAnsi="Calibri Light" w:cs="Arial"/>
          <w:sz w:val="22"/>
          <w:szCs w:val="22"/>
          <w:lang w:val="es-ES_tradnl"/>
        </w:rPr>
      </w:pPr>
    </w:p>
    <w:p w14:paraId="423B07A7" w14:textId="77777777" w:rsidR="00D47F67" w:rsidRPr="00D47F67" w:rsidRDefault="00C962EF" w:rsidP="00D47F67">
      <w:pPr>
        <w:suppressAutoHyphens w:val="0"/>
        <w:jc w:val="right"/>
        <w:rPr>
          <w:rFonts w:ascii="Calibri Light" w:hAnsi="Calibri Light" w:cs="Arial"/>
          <w:sz w:val="22"/>
          <w:szCs w:val="22"/>
          <w:lang w:val="es-ES_tradnl"/>
        </w:rPr>
      </w:pPr>
      <w:r>
        <w:rPr>
          <w:rFonts w:ascii="Calibri Light" w:hAnsi="Calibri Light" w:cs="Arial"/>
          <w:sz w:val="22"/>
          <w:szCs w:val="22"/>
          <w:lang w:val="es-ES_tradnl"/>
        </w:rPr>
        <w:t>M</w:t>
      </w:r>
      <w:r w:rsidR="007434AF">
        <w:rPr>
          <w:rFonts w:ascii="Calibri Light" w:hAnsi="Calibri Light" w:cs="Arial"/>
          <w:sz w:val="22"/>
          <w:szCs w:val="22"/>
          <w:lang w:val="es-ES_tradnl"/>
        </w:rPr>
        <w:t>iércoles</w:t>
      </w:r>
      <w:r w:rsidR="00D47F67">
        <w:rPr>
          <w:rFonts w:ascii="Calibri Light" w:hAnsi="Calibri Light" w:cs="Arial"/>
          <w:sz w:val="22"/>
          <w:szCs w:val="22"/>
          <w:lang w:val="es-ES_tradnl"/>
        </w:rPr>
        <w:t>,</w:t>
      </w:r>
      <w:r w:rsidR="00D47F67" w:rsidRPr="00D47F67">
        <w:rPr>
          <w:rFonts w:ascii="Calibri Light" w:hAnsi="Calibri Light" w:cs="Arial"/>
          <w:sz w:val="22"/>
          <w:szCs w:val="22"/>
          <w:lang w:val="es-ES_tradnl"/>
        </w:rPr>
        <w:t xml:space="preserve"> 1</w:t>
      </w:r>
      <w:r w:rsidR="00BD4E20">
        <w:rPr>
          <w:rFonts w:ascii="Calibri Light" w:hAnsi="Calibri Light" w:cs="Arial"/>
          <w:sz w:val="22"/>
          <w:szCs w:val="22"/>
          <w:lang w:val="es-ES_tradnl"/>
        </w:rPr>
        <w:t>6</w:t>
      </w:r>
      <w:r w:rsidR="00D47F67" w:rsidRPr="00D47F67">
        <w:rPr>
          <w:rFonts w:ascii="Calibri Light" w:hAnsi="Calibri Light" w:cs="Arial"/>
          <w:sz w:val="22"/>
          <w:szCs w:val="22"/>
          <w:lang w:val="es-ES_tradnl"/>
        </w:rPr>
        <w:t xml:space="preserve"> de octubre de 201</w:t>
      </w:r>
      <w:r w:rsidR="00BD4E20">
        <w:rPr>
          <w:rFonts w:ascii="Calibri Light" w:hAnsi="Calibri Light" w:cs="Arial"/>
          <w:sz w:val="22"/>
          <w:szCs w:val="22"/>
          <w:lang w:val="es-ES_tradnl"/>
        </w:rPr>
        <w:t>9</w:t>
      </w:r>
      <w:r w:rsidR="00D47F67" w:rsidRPr="00D47F67">
        <w:rPr>
          <w:rFonts w:ascii="Calibri Light" w:hAnsi="Calibri Light" w:cs="Arial"/>
          <w:sz w:val="22"/>
          <w:szCs w:val="22"/>
          <w:lang w:val="es-ES_tradnl"/>
        </w:rPr>
        <w:t xml:space="preserve"> </w:t>
      </w:r>
    </w:p>
    <w:p w14:paraId="6DA1777E" w14:textId="77777777" w:rsidR="00D47F67" w:rsidRDefault="00D47F67" w:rsidP="00D47F67">
      <w:pPr>
        <w:suppressAutoHyphens w:val="0"/>
        <w:jc w:val="both"/>
        <w:rPr>
          <w:rFonts w:ascii="Calibri Light" w:hAnsi="Calibri Light" w:cs="Arial"/>
          <w:sz w:val="22"/>
          <w:szCs w:val="22"/>
          <w:u w:val="single"/>
          <w:lang w:val="es-ES_tradnl"/>
        </w:rPr>
      </w:pPr>
    </w:p>
    <w:p w14:paraId="66721734" w14:textId="77777777" w:rsidR="00042DB5" w:rsidRPr="00340700" w:rsidRDefault="00042DB5" w:rsidP="00D47F67">
      <w:pPr>
        <w:suppressAutoHyphens w:val="0"/>
        <w:jc w:val="both"/>
        <w:rPr>
          <w:rFonts w:ascii="Calibri Light" w:hAnsi="Calibri Light" w:cs="Arial"/>
          <w:sz w:val="22"/>
          <w:szCs w:val="22"/>
          <w:u w:val="single"/>
          <w:lang w:val="es-ES_tradnl"/>
        </w:rPr>
      </w:pPr>
    </w:p>
    <w:p w14:paraId="41F11E9A" w14:textId="77777777" w:rsidR="004635C5" w:rsidRPr="004635C5" w:rsidRDefault="004635C5" w:rsidP="004635C5">
      <w:pPr>
        <w:suppressAutoHyphens w:val="0"/>
        <w:jc w:val="center"/>
        <w:rPr>
          <w:rFonts w:ascii="Calibri Light" w:hAnsi="Calibri Light" w:cs="Arial"/>
          <w:b/>
        </w:rPr>
      </w:pPr>
      <w:r w:rsidRPr="004635C5">
        <w:rPr>
          <w:rFonts w:ascii="Calibri Light" w:hAnsi="Calibri Light" w:cs="Arial"/>
          <w:b/>
        </w:rPr>
        <w:t xml:space="preserve">ARTÍCULO </w:t>
      </w:r>
      <w:r w:rsidR="00BD4E20">
        <w:rPr>
          <w:rFonts w:ascii="Calibri Light" w:hAnsi="Calibri Light" w:cs="Arial"/>
          <w:b/>
        </w:rPr>
        <w:t>6</w:t>
      </w:r>
      <w:r w:rsidRPr="004635C5">
        <w:rPr>
          <w:rFonts w:ascii="Calibri Light" w:hAnsi="Calibri Light" w:cs="Arial"/>
          <w:b/>
        </w:rPr>
        <w:t xml:space="preserve">: RESPONSABILIDAD </w:t>
      </w:r>
      <w:r w:rsidR="00BD4E20">
        <w:rPr>
          <w:rFonts w:ascii="Calibri Light" w:hAnsi="Calibri Light" w:cs="Arial"/>
          <w:b/>
        </w:rPr>
        <w:t>JURÍDICA</w:t>
      </w:r>
    </w:p>
    <w:p w14:paraId="5A2FC552" w14:textId="77777777" w:rsidR="007434AF" w:rsidRPr="007434AF" w:rsidRDefault="007434AF" w:rsidP="008F52B0">
      <w:pPr>
        <w:suppressAutoHyphens w:val="0"/>
        <w:rPr>
          <w:rFonts w:ascii="Calibri Light" w:hAnsi="Calibri Light" w:cs="Arial"/>
          <w:b/>
        </w:rPr>
      </w:pPr>
    </w:p>
    <w:p w14:paraId="75B1D0A6" w14:textId="77777777" w:rsidR="007434AF" w:rsidRDefault="00EB4E14" w:rsidP="007434AF">
      <w:pPr>
        <w:suppressAutoHyphens w:val="0"/>
        <w:jc w:val="both"/>
        <w:rPr>
          <w:rFonts w:ascii="Calibri Light" w:hAnsi="Calibri Light" w:cs="Arial"/>
          <w:sz w:val="22"/>
          <w:szCs w:val="22"/>
          <w:lang w:val="es-ES_tradnl"/>
        </w:rPr>
      </w:pPr>
      <w:r>
        <w:rPr>
          <w:rFonts w:ascii="Calibri Light" w:hAnsi="Calibri Light" w:cs="Arial"/>
          <w:sz w:val="22"/>
          <w:szCs w:val="22"/>
          <w:lang w:val="es-ES_tradnl"/>
        </w:rPr>
        <w:t>Señor Presidente,</w:t>
      </w:r>
    </w:p>
    <w:p w14:paraId="419E65CB" w14:textId="77777777" w:rsidR="007434AF" w:rsidRDefault="007434AF" w:rsidP="007434AF">
      <w:pPr>
        <w:suppressAutoHyphens w:val="0"/>
        <w:jc w:val="both"/>
        <w:rPr>
          <w:rFonts w:ascii="Calibri Light" w:hAnsi="Calibri Light" w:cs="Arial"/>
          <w:sz w:val="22"/>
          <w:szCs w:val="22"/>
          <w:lang w:val="es-ES_tradnl"/>
        </w:rPr>
      </w:pPr>
    </w:p>
    <w:p w14:paraId="43A50B76" w14:textId="760A363E" w:rsidR="00C259A5" w:rsidRDefault="00C259A5" w:rsidP="007434AF">
      <w:pPr>
        <w:suppressAutoHyphens w:val="0"/>
        <w:jc w:val="both"/>
        <w:rPr>
          <w:rFonts w:ascii="Calibri Light" w:hAnsi="Calibri Light" w:cs="Arial"/>
          <w:sz w:val="22"/>
          <w:szCs w:val="22"/>
          <w:lang w:val="es-ES_tradnl"/>
        </w:rPr>
      </w:pPr>
      <w:r>
        <w:rPr>
          <w:rFonts w:ascii="Calibri Light" w:hAnsi="Calibri Light" w:cs="Arial"/>
          <w:sz w:val="22"/>
          <w:szCs w:val="22"/>
          <w:lang w:val="es-ES_tradnl"/>
        </w:rPr>
        <w:t xml:space="preserve">Ecuador agradece las presentaciones de los expertos. Sobre el artículo 6 de responsabilidad jurídica se permite realizar los siguientes comentarios. </w:t>
      </w:r>
    </w:p>
    <w:p w14:paraId="79380AFB" w14:textId="77777777" w:rsidR="00C259A5" w:rsidRDefault="00C259A5" w:rsidP="007434AF">
      <w:pPr>
        <w:suppressAutoHyphens w:val="0"/>
        <w:jc w:val="both"/>
        <w:rPr>
          <w:rFonts w:ascii="Calibri Light" w:hAnsi="Calibri Light" w:cs="Arial"/>
          <w:sz w:val="22"/>
          <w:szCs w:val="22"/>
          <w:lang w:val="es-ES_tradnl"/>
        </w:rPr>
      </w:pPr>
    </w:p>
    <w:p w14:paraId="74B3EF64" w14:textId="2A27181A" w:rsidR="00FF3019" w:rsidRPr="00C259A5" w:rsidRDefault="008F52B0" w:rsidP="00C259A5">
      <w:pPr>
        <w:pStyle w:val="Prrafodelista"/>
        <w:numPr>
          <w:ilvl w:val="0"/>
          <w:numId w:val="2"/>
        </w:numPr>
        <w:jc w:val="both"/>
        <w:rPr>
          <w:rFonts w:ascii="Calibri Light" w:hAnsi="Calibri Light" w:cs="Arial"/>
          <w:sz w:val="22"/>
          <w:szCs w:val="22"/>
        </w:rPr>
      </w:pPr>
      <w:r w:rsidRPr="00C259A5">
        <w:rPr>
          <w:rFonts w:ascii="Calibri Light" w:hAnsi="Calibri Light" w:cs="Arial"/>
          <w:sz w:val="22"/>
          <w:szCs w:val="22"/>
        </w:rPr>
        <w:t>L</w:t>
      </w:r>
      <w:r w:rsidR="00FF3019" w:rsidRPr="00C259A5">
        <w:rPr>
          <w:rFonts w:ascii="Calibri Light" w:hAnsi="Calibri Light" w:cs="Arial"/>
          <w:sz w:val="22"/>
          <w:szCs w:val="22"/>
        </w:rPr>
        <w:t xml:space="preserve">a redacción de este artículo </w:t>
      </w:r>
      <w:r w:rsidR="008E641D" w:rsidRPr="00C259A5">
        <w:rPr>
          <w:rFonts w:ascii="Calibri Light" w:hAnsi="Calibri Light" w:cs="Arial"/>
          <w:sz w:val="22"/>
          <w:szCs w:val="22"/>
        </w:rPr>
        <w:t xml:space="preserve">constituye una </w:t>
      </w:r>
      <w:r w:rsidR="00FF3019" w:rsidRPr="00C259A5">
        <w:rPr>
          <w:rFonts w:ascii="Calibri Light" w:hAnsi="Calibri Light" w:cs="Arial"/>
          <w:sz w:val="22"/>
          <w:szCs w:val="22"/>
        </w:rPr>
        <w:t xml:space="preserve">propuesta </w:t>
      </w:r>
      <w:r w:rsidRPr="00C259A5">
        <w:rPr>
          <w:rFonts w:ascii="Calibri Light" w:hAnsi="Calibri Light" w:cs="Arial"/>
          <w:sz w:val="22"/>
          <w:szCs w:val="22"/>
        </w:rPr>
        <w:t xml:space="preserve">óptima en materia de </w:t>
      </w:r>
      <w:r w:rsidR="00FF3019" w:rsidRPr="00C259A5">
        <w:rPr>
          <w:rFonts w:ascii="Calibri Light" w:hAnsi="Calibri Light" w:cs="Arial"/>
          <w:sz w:val="22"/>
          <w:szCs w:val="22"/>
        </w:rPr>
        <w:t>responsabilidad jurídica, pues regula las</w:t>
      </w:r>
      <w:r w:rsidR="00F61E44" w:rsidRPr="00C259A5">
        <w:rPr>
          <w:rFonts w:ascii="Calibri Light" w:hAnsi="Calibri Light" w:cs="Arial"/>
          <w:sz w:val="22"/>
          <w:szCs w:val="22"/>
        </w:rPr>
        <w:t xml:space="preserve"> tres dimensiones posibles que pueden derivarse del hecho ilícito que genera la violación o abuso a los derechos humanos: la civil, la penal y la administrativa</w:t>
      </w:r>
      <w:r w:rsidR="008E641D" w:rsidRPr="00C259A5">
        <w:rPr>
          <w:rFonts w:ascii="Calibri Light" w:hAnsi="Calibri Light" w:cs="Arial"/>
          <w:sz w:val="22"/>
          <w:szCs w:val="22"/>
        </w:rPr>
        <w:t>. Especial reconocimiento merecen, en este sentido, los numerales 3 y 7 de esta versión revisada</w:t>
      </w:r>
      <w:r w:rsidR="00FF3019" w:rsidRPr="00C259A5">
        <w:rPr>
          <w:rFonts w:ascii="Calibri Light" w:hAnsi="Calibri Light" w:cs="Arial"/>
          <w:sz w:val="22"/>
          <w:szCs w:val="22"/>
        </w:rPr>
        <w:t xml:space="preserve">.  </w:t>
      </w:r>
    </w:p>
    <w:p w14:paraId="35F3B695" w14:textId="77777777" w:rsidR="00C4121D" w:rsidRDefault="00C4121D" w:rsidP="004635C5">
      <w:pPr>
        <w:jc w:val="both"/>
        <w:rPr>
          <w:rFonts w:ascii="Calibri Light" w:hAnsi="Calibri Light" w:cs="Arial"/>
          <w:sz w:val="22"/>
          <w:szCs w:val="22"/>
        </w:rPr>
      </w:pPr>
    </w:p>
    <w:p w14:paraId="0F652F5D" w14:textId="34FE2DD6" w:rsidR="00C259A5" w:rsidRPr="00C259A5" w:rsidRDefault="00C259A5" w:rsidP="00C259A5">
      <w:pPr>
        <w:pStyle w:val="Prrafodelista"/>
        <w:numPr>
          <w:ilvl w:val="0"/>
          <w:numId w:val="2"/>
        </w:numPr>
        <w:jc w:val="both"/>
        <w:rPr>
          <w:rFonts w:ascii="Calibri Light" w:hAnsi="Calibri Light" w:cs="Arial"/>
          <w:sz w:val="22"/>
          <w:szCs w:val="22"/>
        </w:rPr>
      </w:pPr>
      <w:r w:rsidRPr="00C259A5">
        <w:rPr>
          <w:rFonts w:ascii="Calibri Light" w:hAnsi="Calibri Light" w:cs="Arial"/>
          <w:sz w:val="22"/>
          <w:szCs w:val="22"/>
        </w:rPr>
        <w:t>Concretamente, el numeral 3 de la versión revisada recoge la principal preocupación del Ecuador manifestada durante la Cuarta Sesión, con la que solicitábamos que se aclare la expresión de que “La responsabilidad civil no se encuentra supeditada a la determinación de la responsabilidad penal” (</w:t>
      </w:r>
      <w:r w:rsidRPr="00C259A5">
        <w:rPr>
          <w:rFonts w:ascii="Calibri Light" w:hAnsi="Calibri Light" w:cs="Arial"/>
          <w:i/>
          <w:sz w:val="22"/>
          <w:szCs w:val="22"/>
        </w:rPr>
        <w:t xml:space="preserve">Civil </w:t>
      </w:r>
      <w:proofErr w:type="spellStart"/>
      <w:r w:rsidRPr="00C259A5">
        <w:rPr>
          <w:rFonts w:ascii="Calibri Light" w:hAnsi="Calibri Light" w:cs="Arial"/>
          <w:i/>
          <w:sz w:val="22"/>
          <w:szCs w:val="22"/>
        </w:rPr>
        <w:t>liability</w:t>
      </w:r>
      <w:proofErr w:type="spellEnd"/>
      <w:r w:rsidRPr="00C259A5">
        <w:rPr>
          <w:rFonts w:ascii="Calibri Light" w:hAnsi="Calibri Light" w:cs="Arial"/>
          <w:i/>
          <w:sz w:val="22"/>
          <w:szCs w:val="22"/>
        </w:rPr>
        <w:t xml:space="preserve"> </w:t>
      </w:r>
      <w:proofErr w:type="spellStart"/>
      <w:r w:rsidRPr="00C259A5">
        <w:rPr>
          <w:rFonts w:ascii="Calibri Light" w:hAnsi="Calibri Light" w:cs="Arial"/>
          <w:i/>
          <w:sz w:val="22"/>
          <w:szCs w:val="22"/>
        </w:rPr>
        <w:t>shall</w:t>
      </w:r>
      <w:proofErr w:type="spellEnd"/>
      <w:r w:rsidRPr="00C259A5">
        <w:rPr>
          <w:rFonts w:ascii="Calibri Light" w:hAnsi="Calibri Light" w:cs="Arial"/>
          <w:i/>
          <w:sz w:val="22"/>
          <w:szCs w:val="22"/>
        </w:rPr>
        <w:t xml:space="preserve"> </w:t>
      </w:r>
      <w:proofErr w:type="spellStart"/>
      <w:r w:rsidRPr="00C259A5">
        <w:rPr>
          <w:rFonts w:ascii="Calibri Light" w:hAnsi="Calibri Light" w:cs="Arial"/>
          <w:i/>
          <w:sz w:val="22"/>
          <w:szCs w:val="22"/>
        </w:rPr>
        <w:t>not</w:t>
      </w:r>
      <w:proofErr w:type="spellEnd"/>
      <w:r w:rsidRPr="00C259A5">
        <w:rPr>
          <w:rFonts w:ascii="Calibri Light" w:hAnsi="Calibri Light" w:cs="Arial"/>
          <w:i/>
          <w:sz w:val="22"/>
          <w:szCs w:val="22"/>
        </w:rPr>
        <w:t xml:space="preserve"> be </w:t>
      </w:r>
      <w:proofErr w:type="spellStart"/>
      <w:r w:rsidRPr="00C259A5">
        <w:rPr>
          <w:rFonts w:ascii="Calibri Light" w:hAnsi="Calibri Light" w:cs="Arial"/>
          <w:i/>
          <w:sz w:val="22"/>
          <w:szCs w:val="22"/>
        </w:rPr>
        <w:t>made</w:t>
      </w:r>
      <w:proofErr w:type="spellEnd"/>
      <w:r w:rsidRPr="00C259A5">
        <w:rPr>
          <w:rFonts w:ascii="Calibri Light" w:hAnsi="Calibri Light" w:cs="Arial"/>
          <w:i/>
          <w:sz w:val="22"/>
          <w:szCs w:val="22"/>
        </w:rPr>
        <w:t xml:space="preserve"> </w:t>
      </w:r>
      <w:proofErr w:type="spellStart"/>
      <w:r w:rsidRPr="00C259A5">
        <w:rPr>
          <w:rFonts w:ascii="Calibri Light" w:hAnsi="Calibri Light" w:cs="Arial"/>
          <w:i/>
          <w:sz w:val="22"/>
          <w:szCs w:val="22"/>
        </w:rPr>
        <w:t>contingent</w:t>
      </w:r>
      <w:proofErr w:type="spellEnd"/>
      <w:r w:rsidRPr="00C259A5">
        <w:rPr>
          <w:rFonts w:ascii="Calibri Light" w:hAnsi="Calibri Light" w:cs="Arial"/>
          <w:i/>
          <w:sz w:val="22"/>
          <w:szCs w:val="22"/>
        </w:rPr>
        <w:t xml:space="preserve"> </w:t>
      </w:r>
      <w:proofErr w:type="spellStart"/>
      <w:r w:rsidRPr="00C259A5">
        <w:rPr>
          <w:rFonts w:ascii="Calibri Light" w:hAnsi="Calibri Light" w:cs="Arial"/>
          <w:i/>
          <w:sz w:val="22"/>
          <w:szCs w:val="22"/>
        </w:rPr>
        <w:t>upon</w:t>
      </w:r>
      <w:proofErr w:type="spellEnd"/>
      <w:r w:rsidRPr="00C259A5">
        <w:rPr>
          <w:rFonts w:ascii="Calibri Light" w:hAnsi="Calibri Light" w:cs="Arial"/>
          <w:i/>
          <w:sz w:val="22"/>
          <w:szCs w:val="22"/>
        </w:rPr>
        <w:t xml:space="preserve"> </w:t>
      </w:r>
      <w:proofErr w:type="spellStart"/>
      <w:r w:rsidRPr="00C259A5">
        <w:rPr>
          <w:rFonts w:ascii="Calibri Light" w:hAnsi="Calibri Light" w:cs="Arial"/>
          <w:i/>
          <w:sz w:val="22"/>
          <w:szCs w:val="22"/>
        </w:rPr>
        <w:t>finding</w:t>
      </w:r>
      <w:proofErr w:type="spellEnd"/>
      <w:r w:rsidRPr="00C259A5">
        <w:rPr>
          <w:rFonts w:ascii="Calibri Light" w:hAnsi="Calibri Light" w:cs="Arial"/>
          <w:i/>
          <w:sz w:val="22"/>
          <w:szCs w:val="22"/>
        </w:rPr>
        <w:t xml:space="preserve"> of criminal </w:t>
      </w:r>
      <w:proofErr w:type="spellStart"/>
      <w:r w:rsidRPr="00C259A5">
        <w:rPr>
          <w:rFonts w:ascii="Calibri Light" w:hAnsi="Calibri Light" w:cs="Arial"/>
          <w:i/>
          <w:sz w:val="22"/>
          <w:szCs w:val="22"/>
        </w:rPr>
        <w:t>liability</w:t>
      </w:r>
      <w:proofErr w:type="spellEnd"/>
      <w:r w:rsidRPr="00C259A5">
        <w:rPr>
          <w:rFonts w:ascii="Calibri Light" w:hAnsi="Calibri Light" w:cs="Arial"/>
          <w:sz w:val="22"/>
          <w:szCs w:val="22"/>
        </w:rPr>
        <w:t>), pues se corrige la palabra “demandante” (</w:t>
      </w:r>
      <w:r w:rsidRPr="00C259A5">
        <w:rPr>
          <w:rFonts w:ascii="Calibri Light" w:hAnsi="Calibri Light" w:cs="Arial"/>
          <w:i/>
          <w:sz w:val="22"/>
          <w:szCs w:val="22"/>
        </w:rPr>
        <w:t>actor</w:t>
      </w:r>
      <w:r w:rsidRPr="00C259A5">
        <w:rPr>
          <w:rFonts w:ascii="Calibri Light" w:hAnsi="Calibri Light" w:cs="Arial"/>
          <w:sz w:val="22"/>
          <w:szCs w:val="22"/>
        </w:rPr>
        <w:t>) -10.2 del borrador “cero”- por el término “actos” (</w:t>
      </w:r>
      <w:proofErr w:type="spellStart"/>
      <w:r w:rsidRPr="00C259A5">
        <w:rPr>
          <w:rFonts w:ascii="Calibri Light" w:hAnsi="Calibri Light" w:cs="Arial"/>
          <w:i/>
          <w:sz w:val="22"/>
          <w:szCs w:val="22"/>
        </w:rPr>
        <w:t>acts</w:t>
      </w:r>
      <w:proofErr w:type="spellEnd"/>
      <w:r w:rsidRPr="00C259A5">
        <w:rPr>
          <w:rFonts w:ascii="Calibri Light" w:hAnsi="Calibri Light" w:cs="Arial"/>
          <w:sz w:val="22"/>
          <w:szCs w:val="22"/>
        </w:rPr>
        <w:t xml:space="preserve">). </w:t>
      </w:r>
    </w:p>
    <w:p w14:paraId="11AF9772" w14:textId="77777777" w:rsidR="00C259A5" w:rsidRDefault="00C259A5" w:rsidP="004635C5">
      <w:pPr>
        <w:jc w:val="both"/>
        <w:rPr>
          <w:rFonts w:ascii="Calibri Light" w:hAnsi="Calibri Light" w:cs="Arial"/>
          <w:sz w:val="22"/>
          <w:szCs w:val="22"/>
        </w:rPr>
      </w:pPr>
    </w:p>
    <w:p w14:paraId="7F80B3FA" w14:textId="77777777" w:rsidR="00C259A5" w:rsidRDefault="008E34C3" w:rsidP="004635C5">
      <w:pPr>
        <w:pStyle w:val="Prrafodelista"/>
        <w:numPr>
          <w:ilvl w:val="0"/>
          <w:numId w:val="2"/>
        </w:numPr>
        <w:jc w:val="both"/>
        <w:rPr>
          <w:rFonts w:ascii="Calibri Light" w:hAnsi="Calibri Light" w:cs="Arial"/>
          <w:sz w:val="22"/>
          <w:szCs w:val="22"/>
        </w:rPr>
      </w:pPr>
      <w:r w:rsidRPr="00C259A5">
        <w:rPr>
          <w:rFonts w:ascii="Calibri Light" w:hAnsi="Calibri Light" w:cs="Arial"/>
          <w:sz w:val="22"/>
          <w:szCs w:val="22"/>
        </w:rPr>
        <w:t>Respecto del</w:t>
      </w:r>
      <w:r w:rsidR="00D520B5" w:rsidRPr="00C259A5">
        <w:rPr>
          <w:rFonts w:ascii="Calibri Light" w:hAnsi="Calibri Light" w:cs="Arial"/>
          <w:sz w:val="22"/>
          <w:szCs w:val="22"/>
        </w:rPr>
        <w:t xml:space="preserve"> numeral 7</w:t>
      </w:r>
      <w:r w:rsidRPr="00C259A5">
        <w:rPr>
          <w:rFonts w:ascii="Calibri Light" w:hAnsi="Calibri Light" w:cs="Arial"/>
          <w:sz w:val="22"/>
          <w:szCs w:val="22"/>
        </w:rPr>
        <w:t xml:space="preserve"> que</w:t>
      </w:r>
      <w:r w:rsidR="00F61E44" w:rsidRPr="00C259A5">
        <w:rPr>
          <w:rFonts w:ascii="Calibri Light" w:hAnsi="Calibri Light" w:cs="Arial"/>
          <w:sz w:val="22"/>
          <w:szCs w:val="22"/>
        </w:rPr>
        <w:t xml:space="preserve"> enumera especialmente las infracciones penales que los ordenamientos domésticos deberían tipificar para asegurar que las violaciones o abusos a los derechos humanos no queden impunes</w:t>
      </w:r>
      <w:r w:rsidRPr="00C259A5">
        <w:rPr>
          <w:rFonts w:ascii="Calibri Light" w:hAnsi="Calibri Light" w:cs="Arial"/>
          <w:sz w:val="22"/>
          <w:szCs w:val="22"/>
        </w:rPr>
        <w:t xml:space="preserve">.-  </w:t>
      </w:r>
      <w:r w:rsidR="00F61E44" w:rsidRPr="00C259A5">
        <w:rPr>
          <w:rFonts w:ascii="Calibri Light" w:hAnsi="Calibri Light" w:cs="Arial"/>
          <w:sz w:val="22"/>
          <w:szCs w:val="22"/>
        </w:rPr>
        <w:t>el hecho de que dicha enumeración</w:t>
      </w:r>
      <w:r w:rsidR="00DB1BC9" w:rsidRPr="00C259A5">
        <w:rPr>
          <w:rFonts w:ascii="Calibri Light" w:hAnsi="Calibri Light" w:cs="Arial"/>
          <w:sz w:val="22"/>
          <w:szCs w:val="22"/>
        </w:rPr>
        <w:t xml:space="preserve"> </w:t>
      </w:r>
      <w:r w:rsidR="008F52B0" w:rsidRPr="00C259A5">
        <w:rPr>
          <w:rFonts w:ascii="Calibri Light" w:hAnsi="Calibri Light" w:cs="Arial"/>
          <w:sz w:val="22"/>
          <w:szCs w:val="22"/>
        </w:rPr>
        <w:t>sea</w:t>
      </w:r>
      <w:r w:rsidR="00F61E44" w:rsidRPr="00C259A5">
        <w:rPr>
          <w:rFonts w:ascii="Calibri Light" w:hAnsi="Calibri Light" w:cs="Arial"/>
          <w:sz w:val="22"/>
          <w:szCs w:val="22"/>
        </w:rPr>
        <w:t xml:space="preserve"> </w:t>
      </w:r>
      <w:r w:rsidR="00DB1BC9" w:rsidRPr="00C259A5">
        <w:rPr>
          <w:rFonts w:ascii="Calibri Light" w:hAnsi="Calibri Light" w:cs="Arial"/>
          <w:sz w:val="22"/>
          <w:szCs w:val="22"/>
        </w:rPr>
        <w:t xml:space="preserve">taxativa </w:t>
      </w:r>
      <w:r w:rsidR="00D520B5" w:rsidRPr="00C259A5">
        <w:rPr>
          <w:rFonts w:ascii="Calibri Light" w:hAnsi="Calibri Light" w:cs="Arial"/>
          <w:sz w:val="22"/>
          <w:szCs w:val="22"/>
        </w:rPr>
        <w:t xml:space="preserve">podría </w:t>
      </w:r>
      <w:r w:rsidR="00F61E44" w:rsidRPr="00C259A5">
        <w:rPr>
          <w:rFonts w:ascii="Calibri Light" w:hAnsi="Calibri Light" w:cs="Arial"/>
          <w:sz w:val="22"/>
          <w:szCs w:val="22"/>
        </w:rPr>
        <w:t xml:space="preserve">excluir </w:t>
      </w:r>
      <w:r w:rsidR="00DB1BC9" w:rsidRPr="00C259A5">
        <w:rPr>
          <w:rFonts w:ascii="Calibri Light" w:hAnsi="Calibri Light" w:cs="Arial"/>
          <w:sz w:val="22"/>
          <w:szCs w:val="22"/>
        </w:rPr>
        <w:t>determinadas infracciones penales</w:t>
      </w:r>
      <w:r w:rsidR="00F61E44" w:rsidRPr="00C259A5">
        <w:rPr>
          <w:rFonts w:ascii="Calibri Light" w:hAnsi="Calibri Light" w:cs="Arial"/>
          <w:sz w:val="22"/>
          <w:szCs w:val="22"/>
        </w:rPr>
        <w:t xml:space="preserve"> importantes</w:t>
      </w:r>
      <w:r w:rsidR="00DB1BC9" w:rsidRPr="00C259A5">
        <w:rPr>
          <w:rFonts w:ascii="Calibri Light" w:hAnsi="Calibri Light" w:cs="Arial"/>
          <w:sz w:val="22"/>
          <w:szCs w:val="22"/>
        </w:rPr>
        <w:t xml:space="preserve">. </w:t>
      </w:r>
      <w:r w:rsidR="00634B63" w:rsidRPr="00C259A5">
        <w:rPr>
          <w:rFonts w:ascii="Calibri Light" w:hAnsi="Calibri Light" w:cs="Arial"/>
          <w:sz w:val="22"/>
          <w:szCs w:val="22"/>
        </w:rPr>
        <w:t>Por otra parte, s</w:t>
      </w:r>
      <w:r w:rsidR="00DB1BC9" w:rsidRPr="00C259A5">
        <w:rPr>
          <w:rFonts w:ascii="Calibri Light" w:hAnsi="Calibri Light" w:cs="Arial"/>
          <w:sz w:val="22"/>
          <w:szCs w:val="22"/>
        </w:rPr>
        <w:t xml:space="preserve">i bien la enumeración constituye un esfuerzo de positivización de todas </w:t>
      </w:r>
      <w:r w:rsidR="008F52B0" w:rsidRPr="00C259A5">
        <w:rPr>
          <w:rFonts w:ascii="Calibri Light" w:hAnsi="Calibri Light" w:cs="Arial"/>
          <w:sz w:val="22"/>
          <w:szCs w:val="22"/>
        </w:rPr>
        <w:t>las</w:t>
      </w:r>
      <w:r w:rsidR="00DB1BC9" w:rsidRPr="00C259A5">
        <w:rPr>
          <w:rFonts w:ascii="Calibri Light" w:hAnsi="Calibri Light" w:cs="Arial"/>
          <w:sz w:val="22"/>
          <w:szCs w:val="22"/>
        </w:rPr>
        <w:t xml:space="preserve"> infracciones que deberían tenerse en cuenta, no refiere expresamente las definiciones de algunas de ellas, como ocurre con las referidas en los literales h) a k). De otro lado, la definición de “desalojo forzoso” (</w:t>
      </w:r>
      <w:proofErr w:type="spellStart"/>
      <w:r w:rsidR="00DB1BC9" w:rsidRPr="00C259A5">
        <w:rPr>
          <w:rFonts w:ascii="Calibri Light" w:hAnsi="Calibri Light" w:cs="Arial"/>
          <w:i/>
          <w:sz w:val="22"/>
          <w:szCs w:val="22"/>
        </w:rPr>
        <w:t>forced</w:t>
      </w:r>
      <w:proofErr w:type="spellEnd"/>
      <w:r w:rsidR="00DB1BC9" w:rsidRPr="00C259A5">
        <w:rPr>
          <w:rFonts w:ascii="Calibri Light" w:hAnsi="Calibri Light" w:cs="Arial"/>
          <w:i/>
          <w:sz w:val="22"/>
          <w:szCs w:val="22"/>
        </w:rPr>
        <w:t xml:space="preserve"> </w:t>
      </w:r>
      <w:proofErr w:type="spellStart"/>
      <w:r w:rsidR="00DB1BC9" w:rsidRPr="00C259A5">
        <w:rPr>
          <w:rFonts w:ascii="Calibri Light" w:hAnsi="Calibri Light" w:cs="Arial"/>
          <w:i/>
          <w:sz w:val="22"/>
          <w:szCs w:val="22"/>
        </w:rPr>
        <w:t>eviction</w:t>
      </w:r>
      <w:proofErr w:type="spellEnd"/>
      <w:r w:rsidR="00DB1BC9" w:rsidRPr="00C259A5">
        <w:rPr>
          <w:rFonts w:ascii="Calibri Light" w:hAnsi="Calibri Light" w:cs="Arial"/>
          <w:sz w:val="22"/>
          <w:szCs w:val="22"/>
        </w:rPr>
        <w:t xml:space="preserve">) se </w:t>
      </w:r>
      <w:r w:rsidR="008F52B0" w:rsidRPr="00C259A5">
        <w:rPr>
          <w:rFonts w:ascii="Calibri Light" w:hAnsi="Calibri Light" w:cs="Arial"/>
          <w:sz w:val="22"/>
          <w:szCs w:val="22"/>
        </w:rPr>
        <w:t>establece</w:t>
      </w:r>
      <w:r w:rsidR="00DB1BC9" w:rsidRPr="00C259A5">
        <w:rPr>
          <w:rFonts w:ascii="Calibri Light" w:hAnsi="Calibri Light" w:cs="Arial"/>
          <w:sz w:val="22"/>
          <w:szCs w:val="22"/>
        </w:rPr>
        <w:t xml:space="preserve"> sobre la base de un instrumento de </w:t>
      </w:r>
      <w:proofErr w:type="spellStart"/>
      <w:r w:rsidR="00DB1BC9" w:rsidRPr="00C259A5">
        <w:rPr>
          <w:rFonts w:ascii="Calibri Light" w:hAnsi="Calibri Light" w:cs="Arial"/>
          <w:i/>
          <w:sz w:val="22"/>
          <w:szCs w:val="22"/>
        </w:rPr>
        <w:t>soft</w:t>
      </w:r>
      <w:proofErr w:type="spellEnd"/>
      <w:r w:rsidR="00DB1BC9" w:rsidRPr="00C259A5">
        <w:rPr>
          <w:rFonts w:ascii="Calibri Light" w:hAnsi="Calibri Light" w:cs="Arial"/>
          <w:i/>
          <w:sz w:val="22"/>
          <w:szCs w:val="22"/>
        </w:rPr>
        <w:t xml:space="preserve"> </w:t>
      </w:r>
      <w:proofErr w:type="spellStart"/>
      <w:r w:rsidR="00DB1BC9" w:rsidRPr="00C259A5">
        <w:rPr>
          <w:rFonts w:ascii="Calibri Light" w:hAnsi="Calibri Light" w:cs="Arial"/>
          <w:i/>
          <w:sz w:val="22"/>
          <w:szCs w:val="22"/>
        </w:rPr>
        <w:t>law</w:t>
      </w:r>
      <w:proofErr w:type="spellEnd"/>
      <w:r w:rsidR="00DB1BC9" w:rsidRPr="00C259A5">
        <w:rPr>
          <w:rFonts w:ascii="Calibri Light" w:hAnsi="Calibri Light" w:cs="Arial"/>
          <w:sz w:val="22"/>
          <w:szCs w:val="22"/>
        </w:rPr>
        <w:t>, lo cual podría constituir un óbice para algunos Estados</w:t>
      </w:r>
      <w:r w:rsidR="00D520B5" w:rsidRPr="00C259A5">
        <w:rPr>
          <w:rFonts w:ascii="Calibri Light" w:hAnsi="Calibri Light" w:cs="Arial"/>
          <w:sz w:val="22"/>
          <w:szCs w:val="22"/>
        </w:rPr>
        <w:t xml:space="preserve"> que no lo hayan endosado</w:t>
      </w:r>
      <w:r w:rsidR="00DB1BC9" w:rsidRPr="00C259A5">
        <w:rPr>
          <w:rFonts w:ascii="Calibri Light" w:hAnsi="Calibri Light" w:cs="Arial"/>
          <w:sz w:val="22"/>
          <w:szCs w:val="22"/>
        </w:rPr>
        <w:t xml:space="preserve">. </w:t>
      </w:r>
    </w:p>
    <w:p w14:paraId="26F8A13D" w14:textId="77777777" w:rsidR="00C259A5" w:rsidRPr="00C259A5" w:rsidRDefault="00C259A5" w:rsidP="00C259A5">
      <w:pPr>
        <w:jc w:val="both"/>
        <w:rPr>
          <w:rFonts w:ascii="Calibri Light" w:hAnsi="Calibri Light" w:cs="Arial"/>
          <w:sz w:val="22"/>
          <w:szCs w:val="22"/>
        </w:rPr>
      </w:pPr>
    </w:p>
    <w:p w14:paraId="5D730984" w14:textId="4BD644A4" w:rsidR="004635C5" w:rsidRPr="00C259A5" w:rsidRDefault="00B97177" w:rsidP="00C259A5">
      <w:pPr>
        <w:pStyle w:val="Prrafodelista"/>
        <w:jc w:val="both"/>
        <w:rPr>
          <w:rFonts w:ascii="Calibri Light" w:hAnsi="Calibri Light" w:cs="Arial"/>
          <w:sz w:val="22"/>
          <w:szCs w:val="22"/>
        </w:rPr>
      </w:pPr>
      <w:r w:rsidRPr="00C259A5">
        <w:rPr>
          <w:rFonts w:ascii="Calibri Light" w:hAnsi="Calibri Light" w:cs="Arial"/>
          <w:sz w:val="22"/>
          <w:szCs w:val="22"/>
        </w:rPr>
        <w:t>En último caso, de mantenerse la opción por una numeración taxativa</w:t>
      </w:r>
      <w:r w:rsidR="003947CB" w:rsidRPr="00C259A5">
        <w:rPr>
          <w:rFonts w:ascii="Calibri Light" w:hAnsi="Calibri Light" w:cs="Arial"/>
          <w:sz w:val="22"/>
          <w:szCs w:val="22"/>
        </w:rPr>
        <w:t xml:space="preserve"> -en el referido numeral 7</w:t>
      </w:r>
      <w:r w:rsidRPr="00C259A5">
        <w:rPr>
          <w:rFonts w:ascii="Calibri Light" w:hAnsi="Calibri Light" w:cs="Arial"/>
          <w:sz w:val="22"/>
          <w:szCs w:val="22"/>
        </w:rPr>
        <w:t xml:space="preserve">, debería incluirse una revisión más exhaustiva que incluya </w:t>
      </w:r>
      <w:r w:rsidR="001620F2" w:rsidRPr="00C259A5">
        <w:rPr>
          <w:rFonts w:ascii="Calibri Light" w:hAnsi="Calibri Light" w:cs="Arial"/>
          <w:sz w:val="22"/>
          <w:szCs w:val="22"/>
        </w:rPr>
        <w:t xml:space="preserve">infracciones </w:t>
      </w:r>
      <w:r w:rsidRPr="00C259A5">
        <w:rPr>
          <w:rFonts w:ascii="Calibri Light" w:hAnsi="Calibri Light" w:cs="Arial"/>
          <w:sz w:val="22"/>
          <w:szCs w:val="22"/>
        </w:rPr>
        <w:t>relacionadas, por ej</w:t>
      </w:r>
      <w:r w:rsidR="00C259A5" w:rsidRPr="00C259A5">
        <w:rPr>
          <w:rFonts w:ascii="Calibri Light" w:hAnsi="Calibri Light" w:cs="Arial"/>
          <w:sz w:val="22"/>
          <w:szCs w:val="22"/>
        </w:rPr>
        <w:t xml:space="preserve">emplo, </w:t>
      </w:r>
      <w:r w:rsidR="00C259A5">
        <w:rPr>
          <w:rFonts w:ascii="Calibri Light" w:hAnsi="Calibri Light" w:cs="Arial"/>
          <w:sz w:val="22"/>
          <w:szCs w:val="22"/>
        </w:rPr>
        <w:t xml:space="preserve">daños ambientales conforme lo señalado por la delegación Mexicana – por ejemplo -, </w:t>
      </w:r>
      <w:r w:rsidR="00C259A5" w:rsidRPr="00C259A5">
        <w:rPr>
          <w:rFonts w:ascii="Calibri Light" w:hAnsi="Calibri Light" w:cs="Arial"/>
          <w:sz w:val="22"/>
          <w:szCs w:val="22"/>
        </w:rPr>
        <w:t xml:space="preserve">actos de corrupción y </w:t>
      </w:r>
      <w:r w:rsidR="00634B63" w:rsidRPr="00C259A5">
        <w:rPr>
          <w:rFonts w:ascii="Calibri Light" w:hAnsi="Calibri Light" w:cs="Arial"/>
          <w:sz w:val="22"/>
          <w:szCs w:val="22"/>
        </w:rPr>
        <w:t>vulneraciones al</w:t>
      </w:r>
      <w:r w:rsidRPr="00C259A5">
        <w:rPr>
          <w:rFonts w:ascii="Calibri Light" w:hAnsi="Calibri Light" w:cs="Arial"/>
          <w:sz w:val="22"/>
          <w:szCs w:val="22"/>
        </w:rPr>
        <w:t xml:space="preserve"> derecho </w:t>
      </w:r>
      <w:r w:rsidR="008E34C3" w:rsidRPr="00C259A5">
        <w:rPr>
          <w:rFonts w:ascii="Calibri Light" w:hAnsi="Calibri Light" w:cs="Arial"/>
          <w:sz w:val="22"/>
          <w:szCs w:val="22"/>
        </w:rPr>
        <w:t xml:space="preserve">a </w:t>
      </w:r>
      <w:r w:rsidRPr="00C259A5">
        <w:rPr>
          <w:rFonts w:ascii="Calibri Light" w:hAnsi="Calibri Light" w:cs="Arial"/>
          <w:sz w:val="22"/>
          <w:szCs w:val="22"/>
        </w:rPr>
        <w:t>la privacidad</w:t>
      </w:r>
      <w:r w:rsidR="008E34C3" w:rsidRPr="00C259A5">
        <w:rPr>
          <w:rFonts w:ascii="Calibri Light" w:hAnsi="Calibri Light" w:cs="Arial"/>
          <w:sz w:val="22"/>
          <w:szCs w:val="22"/>
        </w:rPr>
        <w:t xml:space="preserve"> – con especial atención a la protección de datos</w:t>
      </w:r>
      <w:r w:rsidR="00C259A5">
        <w:rPr>
          <w:rFonts w:ascii="Calibri Light" w:hAnsi="Calibri Light" w:cs="Arial"/>
          <w:sz w:val="22"/>
          <w:szCs w:val="22"/>
        </w:rPr>
        <w:t>, un tema de gran importancia en la actual era digital-</w:t>
      </w:r>
      <w:r w:rsidRPr="00C259A5">
        <w:rPr>
          <w:rFonts w:ascii="Calibri Light" w:hAnsi="Calibri Light" w:cs="Arial"/>
          <w:sz w:val="22"/>
          <w:szCs w:val="22"/>
        </w:rPr>
        <w:t>, o las generadas por incumplimiento de normas de Derecho internacional humanitario.</w:t>
      </w:r>
    </w:p>
    <w:p w14:paraId="2140EF43" w14:textId="77777777" w:rsidR="004635C5" w:rsidRPr="00340700" w:rsidRDefault="004635C5" w:rsidP="007434AF">
      <w:pPr>
        <w:jc w:val="both"/>
        <w:rPr>
          <w:rFonts w:ascii="Calibri Light" w:hAnsi="Calibri Light" w:cs="Arial"/>
          <w:sz w:val="22"/>
          <w:szCs w:val="22"/>
        </w:rPr>
      </w:pPr>
    </w:p>
    <w:p w14:paraId="53279CCE" w14:textId="77777777" w:rsidR="00EB4E14" w:rsidRPr="00340700" w:rsidRDefault="00EB4E14" w:rsidP="00D47F67">
      <w:pPr>
        <w:suppressAutoHyphens w:val="0"/>
        <w:jc w:val="both"/>
        <w:rPr>
          <w:rFonts w:ascii="Calibri Light" w:hAnsi="Calibri Light" w:cs="Arial"/>
          <w:sz w:val="22"/>
          <w:szCs w:val="22"/>
        </w:rPr>
      </w:pPr>
      <w:r>
        <w:rPr>
          <w:rFonts w:ascii="Calibri Light" w:hAnsi="Calibri Light" w:cs="Arial"/>
          <w:sz w:val="22"/>
          <w:szCs w:val="22"/>
        </w:rPr>
        <w:t>Muchas gracias</w:t>
      </w:r>
      <w:r w:rsidR="00BD4E20">
        <w:rPr>
          <w:rFonts w:ascii="Calibri Light" w:hAnsi="Calibri Light" w:cs="Arial"/>
          <w:sz w:val="22"/>
          <w:szCs w:val="22"/>
        </w:rPr>
        <w:t>, s</w:t>
      </w:r>
      <w:r>
        <w:rPr>
          <w:rFonts w:ascii="Calibri Light" w:hAnsi="Calibri Light" w:cs="Arial"/>
          <w:sz w:val="22"/>
          <w:szCs w:val="22"/>
        </w:rPr>
        <w:t>eñor Presidente.</w:t>
      </w:r>
    </w:p>
    <w:p w14:paraId="31B75EE8" w14:textId="77777777" w:rsidR="00D47F67" w:rsidRDefault="00D47F67"/>
    <w:sectPr w:rsidR="00D47F6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0188" w14:textId="77777777" w:rsidR="00211498" w:rsidRDefault="00211498" w:rsidP="00D47F67">
      <w:r>
        <w:separator/>
      </w:r>
    </w:p>
  </w:endnote>
  <w:endnote w:type="continuationSeparator" w:id="0">
    <w:p w14:paraId="349AB197" w14:textId="77777777" w:rsidR="00211498" w:rsidRDefault="00211498" w:rsidP="00D4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58A9" w14:textId="77777777" w:rsidR="00211498" w:rsidRDefault="00211498" w:rsidP="00D47F67">
      <w:r>
        <w:separator/>
      </w:r>
    </w:p>
  </w:footnote>
  <w:footnote w:type="continuationSeparator" w:id="0">
    <w:p w14:paraId="6348F8F7" w14:textId="77777777" w:rsidR="00211498" w:rsidRDefault="00211498" w:rsidP="00D4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4815" w14:textId="77777777" w:rsidR="00D47F67" w:rsidRDefault="00D47F67" w:rsidP="00D47F67">
    <w:pPr>
      <w:pStyle w:val="Encabezado"/>
      <w:jc w:val="center"/>
      <w:rPr>
        <w:rFonts w:ascii="Arial" w:hAnsi="Arial" w:cs="Arial"/>
        <w:b/>
        <w:sz w:val="18"/>
        <w:szCs w:val="18"/>
      </w:rPr>
    </w:pPr>
    <w:r w:rsidRPr="00340700">
      <w:rPr>
        <w:noProof/>
        <w:lang w:val="en-AU" w:eastAsia="en-AU"/>
      </w:rPr>
      <w:drawing>
        <wp:inline distT="0" distB="0" distL="0" distR="0" wp14:anchorId="7E664DB7" wp14:editId="35C05EA4">
          <wp:extent cx="683260" cy="753110"/>
          <wp:effectExtent l="0" t="0" r="254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753110"/>
                  </a:xfrm>
                  <a:prstGeom prst="rect">
                    <a:avLst/>
                  </a:prstGeom>
                  <a:solidFill>
                    <a:srgbClr val="FFFFFF"/>
                  </a:solidFill>
                  <a:ln>
                    <a:noFill/>
                  </a:ln>
                </pic:spPr>
              </pic:pic>
            </a:graphicData>
          </a:graphic>
        </wp:inline>
      </w:drawing>
    </w:r>
  </w:p>
  <w:p w14:paraId="498D255F" w14:textId="77777777" w:rsidR="00D47F67" w:rsidRDefault="00D47F67" w:rsidP="00D47F67">
    <w:pPr>
      <w:pStyle w:val="Encabezado"/>
      <w:jc w:val="center"/>
      <w:rPr>
        <w:rFonts w:ascii="Arial" w:hAnsi="Arial" w:cs="Arial"/>
        <w:b/>
        <w:sz w:val="18"/>
        <w:szCs w:val="18"/>
      </w:rPr>
    </w:pPr>
    <w:r>
      <w:rPr>
        <w:rFonts w:ascii="Arial" w:hAnsi="Arial" w:cs="Arial"/>
        <w:b/>
        <w:sz w:val="18"/>
        <w:szCs w:val="18"/>
      </w:rPr>
      <w:t>República de Ecuador</w:t>
    </w:r>
  </w:p>
  <w:p w14:paraId="46DF7BE3" w14:textId="77777777" w:rsidR="00D47F67" w:rsidRDefault="00D47F67">
    <w:pPr>
      <w:pStyle w:val="Encabezado"/>
    </w:pPr>
  </w:p>
  <w:p w14:paraId="06A08D28" w14:textId="77777777" w:rsidR="00D47F67" w:rsidRDefault="00D47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6230"/>
    <w:multiLevelType w:val="hybridMultilevel"/>
    <w:tmpl w:val="277AE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D34907"/>
    <w:multiLevelType w:val="hybridMultilevel"/>
    <w:tmpl w:val="9D066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67"/>
    <w:rsid w:val="00042DB5"/>
    <w:rsid w:val="001620F2"/>
    <w:rsid w:val="001C23C4"/>
    <w:rsid w:val="001E76D9"/>
    <w:rsid w:val="00211498"/>
    <w:rsid w:val="002C5127"/>
    <w:rsid w:val="003947CB"/>
    <w:rsid w:val="004635C5"/>
    <w:rsid w:val="0052065C"/>
    <w:rsid w:val="00634B63"/>
    <w:rsid w:val="007434AF"/>
    <w:rsid w:val="007E7F9D"/>
    <w:rsid w:val="00850C73"/>
    <w:rsid w:val="008C18BB"/>
    <w:rsid w:val="008E34C3"/>
    <w:rsid w:val="008E641D"/>
    <w:rsid w:val="008F52B0"/>
    <w:rsid w:val="00B044FD"/>
    <w:rsid w:val="00B97177"/>
    <w:rsid w:val="00BD4E20"/>
    <w:rsid w:val="00C02E59"/>
    <w:rsid w:val="00C259A5"/>
    <w:rsid w:val="00C4121D"/>
    <w:rsid w:val="00C962EF"/>
    <w:rsid w:val="00D47F67"/>
    <w:rsid w:val="00D520B5"/>
    <w:rsid w:val="00D96E06"/>
    <w:rsid w:val="00DB1BC9"/>
    <w:rsid w:val="00DD4A2A"/>
    <w:rsid w:val="00E5417F"/>
    <w:rsid w:val="00E55110"/>
    <w:rsid w:val="00E95094"/>
    <w:rsid w:val="00EB4E14"/>
    <w:rsid w:val="00F61E44"/>
    <w:rsid w:val="00FA4BA2"/>
    <w:rsid w:val="00FC3B67"/>
    <w:rsid w:val="00FF3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946C"/>
  <w15:chartTrackingRefBased/>
  <w15:docId w15:val="{81D68D15-9B53-4982-9FE9-66CC1A3A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F67"/>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47F67"/>
    <w:pPr>
      <w:tabs>
        <w:tab w:val="center" w:pos="4252"/>
        <w:tab w:val="right" w:pos="8504"/>
      </w:tabs>
    </w:pPr>
  </w:style>
  <w:style w:type="character" w:customStyle="1" w:styleId="EncabezadoCar">
    <w:name w:val="Encabezado Car"/>
    <w:basedOn w:val="Fuentedeprrafopredeter"/>
    <w:link w:val="Encabezado"/>
    <w:uiPriority w:val="99"/>
    <w:rsid w:val="00D47F67"/>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D47F67"/>
    <w:pPr>
      <w:tabs>
        <w:tab w:val="center" w:pos="4252"/>
        <w:tab w:val="right" w:pos="8504"/>
      </w:tabs>
    </w:pPr>
  </w:style>
  <w:style w:type="character" w:customStyle="1" w:styleId="PiedepginaCar">
    <w:name w:val="Pie de página Car"/>
    <w:basedOn w:val="Fuentedeprrafopredeter"/>
    <w:link w:val="Piedepgina"/>
    <w:uiPriority w:val="99"/>
    <w:rsid w:val="00D47F67"/>
    <w:rPr>
      <w:rFonts w:ascii="Times New Roman" w:eastAsia="Times New Roman" w:hAnsi="Times New Roman" w:cs="Times New Roman"/>
      <w:sz w:val="24"/>
      <w:szCs w:val="24"/>
      <w:lang w:val="es-ES" w:eastAsia="ar-SA"/>
    </w:rPr>
  </w:style>
  <w:style w:type="paragraph" w:styleId="Textocomentario">
    <w:name w:val="annotation text"/>
    <w:basedOn w:val="Normal"/>
    <w:link w:val="TextocomentarioCar"/>
    <w:uiPriority w:val="99"/>
    <w:unhideWhenUsed/>
    <w:rsid w:val="00E95094"/>
    <w:pPr>
      <w:spacing w:after="200"/>
    </w:pPr>
    <w:rPr>
      <w:rFonts w:ascii="Calibri" w:eastAsia="Calibri" w:hAnsi="Calibri" w:cs="Arial"/>
      <w:sz w:val="20"/>
      <w:szCs w:val="20"/>
      <w:lang w:eastAsia="zh-CN"/>
    </w:rPr>
  </w:style>
  <w:style w:type="character" w:customStyle="1" w:styleId="TextocomentarioCar">
    <w:name w:val="Texto comentario Car"/>
    <w:basedOn w:val="Fuentedeprrafopredeter"/>
    <w:link w:val="Textocomentario"/>
    <w:uiPriority w:val="99"/>
    <w:rsid w:val="00E95094"/>
    <w:rPr>
      <w:rFonts w:ascii="Calibri" w:eastAsia="Calibri" w:hAnsi="Calibri" w:cs="Arial"/>
      <w:sz w:val="20"/>
      <w:szCs w:val="20"/>
      <w:lang w:val="es-ES" w:eastAsia="zh-CN"/>
    </w:rPr>
  </w:style>
  <w:style w:type="paragraph" w:styleId="Prrafodelista">
    <w:name w:val="List Paragraph"/>
    <w:basedOn w:val="Normal"/>
    <w:uiPriority w:val="34"/>
    <w:qFormat/>
    <w:rsid w:val="00C25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25F5E3-62B9-410E-8A1D-F1AF80D90AE5}">
  <ds:schemaRefs>
    <ds:schemaRef ds:uri="http://schemas.microsoft.com/sharepoint/v3/contenttype/forms"/>
  </ds:schemaRefs>
</ds:datastoreItem>
</file>

<file path=customXml/itemProps2.xml><?xml version="1.0" encoding="utf-8"?>
<ds:datastoreItem xmlns:ds="http://schemas.openxmlformats.org/officeDocument/2006/customXml" ds:itemID="{C00410CF-42BE-4969-98D5-166E3FC43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4D022-8624-460D-936D-10AC0AFBB53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schuldt</dc:creator>
  <cp:keywords/>
  <dc:description/>
  <cp:lastModifiedBy>Marcia Beatriz Rochina Guzmán</cp:lastModifiedBy>
  <cp:revision>2</cp:revision>
  <dcterms:created xsi:type="dcterms:W3CDTF">2019-10-16T09:15:00Z</dcterms:created>
  <dcterms:modified xsi:type="dcterms:W3CDTF">2019-10-16T09:15:00Z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