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77078" w14:textId="77777777" w:rsidR="00F31606" w:rsidRDefault="00F31606" w:rsidP="001E68D1">
      <w:pPr>
        <w:widowControl w:val="0"/>
        <w:spacing w:after="0" w:line="276" w:lineRule="auto"/>
        <w:jc w:val="center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u w:val="single" w:color="000000"/>
          <w:lang w:val="en-US" w:eastAsia="en-CH"/>
        </w:rPr>
      </w:pPr>
    </w:p>
    <w:p w14:paraId="5E0278EB" w14:textId="77777777" w:rsidR="001E68D1" w:rsidRPr="001E68D1" w:rsidRDefault="001E68D1" w:rsidP="001E68D1">
      <w:pPr>
        <w:widowControl w:val="0"/>
        <w:spacing w:after="0" w:line="276" w:lineRule="auto"/>
        <w:jc w:val="center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u w:val="single" w:color="000000"/>
          <w:lang w:val="en-US" w:eastAsia="en-CH"/>
        </w:rPr>
      </w:pPr>
      <w:r>
        <w:rPr>
          <w:rFonts w:asciiTheme="majorBidi" w:eastAsia="Calibri" w:hAnsiTheme="majorBidi" w:cstheme="majorBidi"/>
          <w:b/>
          <w:bCs/>
          <w:color w:val="000000"/>
          <w:sz w:val="24"/>
          <w:szCs w:val="24"/>
          <w:u w:val="single" w:color="000000"/>
          <w:lang w:val="en-US" w:eastAsia="en-CH"/>
        </w:rPr>
        <w:t>5</w:t>
      </w:r>
      <w:r w:rsidRPr="001E68D1">
        <w:rPr>
          <w:rFonts w:asciiTheme="majorBidi" w:eastAsia="Calibri" w:hAnsiTheme="majorBidi" w:cstheme="majorBidi"/>
          <w:b/>
          <w:bCs/>
          <w:color w:val="000000"/>
          <w:sz w:val="24"/>
          <w:szCs w:val="24"/>
          <w:u w:val="single" w:color="000000"/>
          <w:vertAlign w:val="superscript"/>
          <w:lang w:val="en-US" w:eastAsia="en-CH"/>
        </w:rPr>
        <w:t>th</w:t>
      </w:r>
      <w:r w:rsidRPr="001E68D1">
        <w:rPr>
          <w:rFonts w:asciiTheme="majorBidi" w:eastAsia="Calibri" w:hAnsiTheme="majorBidi" w:cstheme="majorBidi"/>
          <w:b/>
          <w:bCs/>
          <w:color w:val="000000"/>
          <w:sz w:val="24"/>
          <w:szCs w:val="24"/>
          <w:u w:val="single" w:color="000000"/>
          <w:lang w:val="en-US" w:eastAsia="en-CH"/>
        </w:rPr>
        <w:t xml:space="preserve"> Session of IGWG on TNCs and OBEs with respect to Human Rights</w:t>
      </w:r>
    </w:p>
    <w:p w14:paraId="1FE5BA99" w14:textId="77777777" w:rsidR="001E68D1" w:rsidRPr="001E68D1" w:rsidRDefault="001E68D1" w:rsidP="001E68D1">
      <w:pPr>
        <w:widowControl w:val="0"/>
        <w:spacing w:after="0" w:line="276" w:lineRule="auto"/>
        <w:jc w:val="center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u w:val="single" w:color="000000"/>
          <w:lang w:val="en-US" w:eastAsia="en-CH"/>
        </w:rPr>
      </w:pPr>
      <w:r w:rsidRPr="001E68D1">
        <w:rPr>
          <w:rFonts w:asciiTheme="majorBidi" w:eastAsia="Calibri" w:hAnsiTheme="majorBidi" w:cstheme="majorBidi"/>
          <w:b/>
          <w:bCs/>
          <w:color w:val="000000"/>
          <w:sz w:val="24"/>
          <w:szCs w:val="24"/>
          <w:u w:val="single" w:color="000000"/>
          <w:lang w:val="en-US" w:eastAsia="en-CH"/>
        </w:rPr>
        <w:t>General Statement</w:t>
      </w:r>
    </w:p>
    <w:p w14:paraId="4B343049" w14:textId="77777777" w:rsidR="001E68D1" w:rsidRPr="001E68D1" w:rsidRDefault="001E68D1" w:rsidP="001E68D1">
      <w:pPr>
        <w:widowControl w:val="0"/>
        <w:spacing w:after="0" w:line="276" w:lineRule="auto"/>
        <w:jc w:val="center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u w:val="single" w:color="000000"/>
          <w:lang w:val="en-US" w:eastAsia="en-CH"/>
        </w:rPr>
      </w:pPr>
      <w:r w:rsidRPr="001E68D1">
        <w:rPr>
          <w:rFonts w:asciiTheme="majorBidi" w:eastAsia="Calibri" w:hAnsiTheme="majorBidi" w:cstheme="majorBidi"/>
          <w:b/>
          <w:bCs/>
          <w:color w:val="000000"/>
          <w:sz w:val="24"/>
          <w:szCs w:val="24"/>
          <w:u w:val="single" w:color="000000"/>
          <w:lang w:val="en-US" w:eastAsia="en-CH"/>
        </w:rPr>
        <w:t>Permanent Observer Mission of The State of Palestine</w:t>
      </w:r>
    </w:p>
    <w:p w14:paraId="2C2D3CE8" w14:textId="77777777" w:rsidR="001E68D1" w:rsidRDefault="001E68D1" w:rsidP="001E6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E8668B2" w14:textId="77777777" w:rsidR="001E68D1" w:rsidRDefault="001E68D1" w:rsidP="001E68D1">
      <w:pPr>
        <w:widowControl w:val="0"/>
        <w:spacing w:after="0" w:line="276" w:lineRule="auto"/>
        <w:jc w:val="both"/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</w:pPr>
    </w:p>
    <w:p w14:paraId="656B5B64" w14:textId="492D65CC" w:rsidR="001E68D1" w:rsidRPr="001E68D1" w:rsidRDefault="001E68D1" w:rsidP="001E68D1">
      <w:pPr>
        <w:widowControl w:val="0"/>
        <w:spacing w:after="0" w:line="276" w:lineRule="auto"/>
        <w:jc w:val="both"/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</w:pPr>
      <w:r w:rsidRPr="001E68D1"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  <w:t xml:space="preserve">Thank </w:t>
      </w:r>
      <w:r w:rsidR="00853105" w:rsidRPr="001E68D1"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  <w:t>you, Chair</w:t>
      </w:r>
      <w:r w:rsidR="00853105"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  <w:t>person</w:t>
      </w:r>
      <w:r w:rsidR="00853105" w:rsidRPr="001E68D1"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  <w:t xml:space="preserve"> Rapporteur</w:t>
      </w:r>
      <w:r w:rsidRPr="001E68D1"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  <w:t>,</w:t>
      </w:r>
    </w:p>
    <w:p w14:paraId="629DE64A" w14:textId="77777777" w:rsidR="001E68D1" w:rsidRDefault="001E68D1" w:rsidP="001E68D1">
      <w:pPr>
        <w:widowControl w:val="0"/>
        <w:spacing w:after="0" w:line="276" w:lineRule="auto"/>
        <w:jc w:val="both"/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</w:pPr>
    </w:p>
    <w:p w14:paraId="1E336EFF" w14:textId="73B1BFE8" w:rsidR="001E68D1" w:rsidRPr="001E68D1" w:rsidRDefault="001E68D1" w:rsidP="00F217EB">
      <w:pPr>
        <w:widowControl w:val="0"/>
        <w:spacing w:after="0" w:line="276" w:lineRule="auto"/>
        <w:jc w:val="both"/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</w:pPr>
      <w:r w:rsidRPr="001E68D1"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  <w:t>At the outset we would like to congratulate you Ambassador on your election as chairperson-rapporteur of the working group. And we commend the efforts in drafting and presenting this important draft Treaty.</w:t>
      </w:r>
    </w:p>
    <w:p w14:paraId="3636007B" w14:textId="77777777" w:rsidR="001E68D1" w:rsidRPr="001E68D1" w:rsidRDefault="001E68D1" w:rsidP="001E68D1">
      <w:pPr>
        <w:widowControl w:val="0"/>
        <w:spacing w:after="0" w:line="276" w:lineRule="auto"/>
        <w:jc w:val="both"/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</w:pPr>
    </w:p>
    <w:p w14:paraId="50BD5256" w14:textId="04BFB6FE" w:rsidR="001E68D1" w:rsidRPr="001E68D1" w:rsidRDefault="001E68D1" w:rsidP="001E68D1">
      <w:pPr>
        <w:widowControl w:val="0"/>
        <w:spacing w:after="0" w:line="276" w:lineRule="auto"/>
        <w:jc w:val="both"/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</w:pPr>
      <w:r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  <w:t>The State of Palestine</w:t>
      </w:r>
      <w:r w:rsidRPr="001E68D1"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  <w:t xml:space="preserve"> </w:t>
      </w:r>
      <w:r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  <w:t xml:space="preserve">welcomes the revised draft of the legally binding instrument issued on July 2019. And we </w:t>
      </w:r>
      <w:r w:rsidRPr="001E68D1"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  <w:t>appreciate the important improvements to the revised Draft Treaty</w:t>
      </w:r>
      <w:r w:rsidR="0057617A"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  <w:t xml:space="preserve">, and the integration of </w:t>
      </w:r>
      <w:r w:rsidRPr="001E68D1"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  <w:t>several points from our </w:t>
      </w:r>
      <w:r w:rsidR="0057617A"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  <w:t>proposals</w:t>
      </w:r>
      <w:r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  <w:t xml:space="preserve"> last session</w:t>
      </w:r>
      <w:r w:rsidR="000900F5"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  <w:t>,</w:t>
      </w:r>
      <w:r w:rsidR="0057617A"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  <w:t xml:space="preserve"> t</w:t>
      </w:r>
      <w:r w:rsidRPr="001E68D1"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  <w:t>hese include improved language on conflict-affected areas. At the same time, the revised Draft has several gaps that must be addressed to ensure the full protection of the rights of people</w:t>
      </w:r>
      <w:r w:rsidR="00561EF6"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  <w:t>.</w:t>
      </w:r>
      <w:bookmarkStart w:id="0" w:name="_GoBack"/>
      <w:bookmarkEnd w:id="0"/>
    </w:p>
    <w:p w14:paraId="0A0C9D6A" w14:textId="77777777" w:rsidR="001E68D1" w:rsidRPr="001E68D1" w:rsidRDefault="001E68D1" w:rsidP="001E68D1">
      <w:pPr>
        <w:widowControl w:val="0"/>
        <w:spacing w:after="0" w:line="276" w:lineRule="auto"/>
        <w:jc w:val="both"/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</w:pPr>
    </w:p>
    <w:p w14:paraId="20FF9BC4" w14:textId="084EA84F" w:rsidR="001E68D1" w:rsidRPr="001E68D1" w:rsidRDefault="001E68D1" w:rsidP="001E68D1">
      <w:pPr>
        <w:widowControl w:val="0"/>
        <w:spacing w:after="0" w:line="276" w:lineRule="auto"/>
        <w:jc w:val="both"/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</w:pPr>
      <w:r w:rsidRPr="001E68D1"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  <w:t>The continuity of the process and the publication of a draft of the legally binding instrument, is a step in the right direction towards realising a treaty to regulate the activities of business enterprises, particularly those of a transnational character.</w:t>
      </w:r>
    </w:p>
    <w:p w14:paraId="090760C9" w14:textId="77777777" w:rsidR="001E68D1" w:rsidRPr="001E68D1" w:rsidRDefault="001E68D1" w:rsidP="001E68D1">
      <w:pPr>
        <w:widowControl w:val="0"/>
        <w:spacing w:after="0" w:line="276" w:lineRule="auto"/>
        <w:jc w:val="both"/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</w:pPr>
    </w:p>
    <w:p w14:paraId="7B18A36E" w14:textId="3E32E6BE" w:rsidR="001E68D1" w:rsidRPr="001E68D1" w:rsidRDefault="001E68D1" w:rsidP="0057617A">
      <w:pPr>
        <w:widowControl w:val="0"/>
        <w:spacing w:after="0" w:line="276" w:lineRule="auto"/>
        <w:jc w:val="both"/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</w:pPr>
      <w:r w:rsidRPr="006F21B7"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  <w:t>We anticipate that the legally binding instrument continues to reflect more the content of Human Rights Council resolution 26/9, the UN Guiding Principles on Business and Human Rights, and the rights guaranteed under international law, especially on prevention, due diligence and legal liability.</w:t>
      </w:r>
    </w:p>
    <w:p w14:paraId="7B42BDCD" w14:textId="77777777" w:rsidR="001E68D1" w:rsidRPr="001E68D1" w:rsidRDefault="001E68D1" w:rsidP="001E68D1">
      <w:pPr>
        <w:widowControl w:val="0"/>
        <w:spacing w:after="0" w:line="276" w:lineRule="auto"/>
        <w:jc w:val="both"/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</w:pPr>
    </w:p>
    <w:p w14:paraId="4A7851A4" w14:textId="77777777" w:rsidR="001E68D1" w:rsidRDefault="001E68D1" w:rsidP="001E68D1">
      <w:pPr>
        <w:widowControl w:val="0"/>
        <w:spacing w:after="0" w:line="276" w:lineRule="auto"/>
        <w:jc w:val="both"/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</w:pPr>
      <w:r w:rsidRPr="001E68D1"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  <w:t xml:space="preserve">We reiterate our full support to the mandate of the intergovernmental working group and reassure our commitment to the process of elaborating a legally binding instrument in line with resolution 26/9. We look forward to the discussions of the </w:t>
      </w:r>
      <w:r w:rsidR="0057617A"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  <w:t xml:space="preserve">revised </w:t>
      </w:r>
      <w:r w:rsidRPr="001E68D1"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  <w:t>draft text with the view of maintaining and strengthening it. We call on all states to constructively engage and we welcome the participation and inputs from civil society organizations.</w:t>
      </w:r>
    </w:p>
    <w:p w14:paraId="04E0D746" w14:textId="77777777" w:rsidR="0057617A" w:rsidRPr="001E68D1" w:rsidRDefault="0057617A" w:rsidP="001E68D1">
      <w:pPr>
        <w:widowControl w:val="0"/>
        <w:spacing w:after="0" w:line="276" w:lineRule="auto"/>
        <w:jc w:val="both"/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</w:pPr>
    </w:p>
    <w:p w14:paraId="40AF51FA" w14:textId="77777777" w:rsidR="00EC3225" w:rsidRPr="001E68D1" w:rsidRDefault="001E68D1" w:rsidP="001E68D1">
      <w:pPr>
        <w:widowControl w:val="0"/>
        <w:spacing w:after="0" w:line="276" w:lineRule="auto"/>
        <w:jc w:val="both"/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</w:pPr>
      <w:r w:rsidRPr="001E68D1">
        <w:rPr>
          <w:rFonts w:asciiTheme="majorBidi" w:eastAsia="Calibri" w:hAnsiTheme="majorBidi" w:cstheme="majorBidi"/>
          <w:color w:val="000000"/>
          <w:sz w:val="24"/>
          <w:szCs w:val="24"/>
          <w:u w:color="000000"/>
          <w:lang w:val="en-US" w:eastAsia="en-CH"/>
        </w:rPr>
        <w:t>I thank you.</w:t>
      </w:r>
    </w:p>
    <w:sectPr w:rsidR="00EC3225" w:rsidRPr="001E68D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F2F64" w14:textId="77777777" w:rsidR="00014297" w:rsidRDefault="00014297" w:rsidP="00F31606">
      <w:pPr>
        <w:spacing w:after="0" w:line="240" w:lineRule="auto"/>
      </w:pPr>
      <w:r>
        <w:separator/>
      </w:r>
    </w:p>
  </w:endnote>
  <w:endnote w:type="continuationSeparator" w:id="0">
    <w:p w14:paraId="33B96F35" w14:textId="77777777" w:rsidR="00014297" w:rsidRDefault="00014297" w:rsidP="00F3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l-Kharashi Diwani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43029" w14:textId="77777777" w:rsidR="00F31606" w:rsidRPr="00D06FAA" w:rsidRDefault="00F31606" w:rsidP="00F31606">
    <w:pPr>
      <w:pStyle w:val="Footer"/>
      <w:pBdr>
        <w:bottom w:val="single" w:sz="6" w:space="1" w:color="auto"/>
      </w:pBdr>
      <w:ind w:right="-81" w:firstLine="360"/>
      <w:jc w:val="center"/>
      <w:rPr>
        <w:sz w:val="20"/>
        <w:szCs w:val="20"/>
      </w:rPr>
    </w:pPr>
  </w:p>
  <w:p w14:paraId="2AA86BAA" w14:textId="77777777" w:rsidR="00F31606" w:rsidRPr="008D33F0" w:rsidRDefault="00F31606" w:rsidP="00F31606">
    <w:pPr>
      <w:spacing w:line="240" w:lineRule="auto"/>
      <w:jc w:val="center"/>
      <w:rPr>
        <w:sz w:val="20"/>
        <w:szCs w:val="20"/>
      </w:rPr>
    </w:pPr>
    <w:r w:rsidRPr="008D33F0">
      <w:rPr>
        <w:sz w:val="20"/>
        <w:szCs w:val="20"/>
      </w:rPr>
      <w:t>Avenue Edmond Vaucher 10A – 1203 Genève</w:t>
    </w:r>
  </w:p>
  <w:p w14:paraId="1A371946" w14:textId="77777777" w:rsidR="00F31606" w:rsidRPr="00F31606" w:rsidRDefault="00F31606" w:rsidP="00F31606">
    <w:pPr>
      <w:spacing w:line="240" w:lineRule="auto"/>
      <w:jc w:val="center"/>
      <w:rPr>
        <w:sz w:val="20"/>
        <w:szCs w:val="20"/>
        <w:lang w:val="de-CH"/>
      </w:rPr>
    </w:pPr>
    <w:r w:rsidRPr="008D33F0">
      <w:rPr>
        <w:sz w:val="20"/>
        <w:szCs w:val="20"/>
      </w:rPr>
      <w:t xml:space="preserve">Tél + 41 22 796 76 60 – Fax. </w:t>
    </w:r>
    <w:r w:rsidRPr="008D33F0">
      <w:rPr>
        <w:sz w:val="20"/>
        <w:szCs w:val="20"/>
        <w:lang w:val="de-CH"/>
      </w:rPr>
      <w:t>+41 22 796 78 60  E-mail: palestine.un@bluewin.ch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677E2" w14:textId="77777777" w:rsidR="00014297" w:rsidRDefault="00014297" w:rsidP="00F31606">
      <w:pPr>
        <w:spacing w:after="0" w:line="240" w:lineRule="auto"/>
      </w:pPr>
      <w:r>
        <w:separator/>
      </w:r>
    </w:p>
  </w:footnote>
  <w:footnote w:type="continuationSeparator" w:id="0">
    <w:p w14:paraId="2049651F" w14:textId="77777777" w:rsidR="00014297" w:rsidRDefault="00014297" w:rsidP="00F31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10289" w:type="dxa"/>
      <w:jc w:val="center"/>
      <w:tblLook w:val="04A0" w:firstRow="1" w:lastRow="0" w:firstColumn="1" w:lastColumn="0" w:noHBand="0" w:noVBand="1"/>
    </w:tblPr>
    <w:tblGrid>
      <w:gridCol w:w="3841"/>
      <w:gridCol w:w="1843"/>
      <w:gridCol w:w="4605"/>
    </w:tblGrid>
    <w:tr w:rsidR="00F31606" w14:paraId="0C5B3485" w14:textId="77777777" w:rsidTr="00F31606">
      <w:trPr>
        <w:trHeight w:val="714"/>
        <w:jc w:val="center"/>
      </w:trPr>
      <w:tc>
        <w:tcPr>
          <w:tcW w:w="3841" w:type="dxa"/>
        </w:tcPr>
        <w:p w14:paraId="0A4BD778" w14:textId="77777777" w:rsidR="00F31606" w:rsidRDefault="00F31606" w:rsidP="00F31606">
          <w:pPr>
            <w:pStyle w:val="Header"/>
            <w:bidi/>
            <w:rPr>
              <w:b/>
              <w:bCs/>
              <w:sz w:val="16"/>
              <w:szCs w:val="16"/>
              <w:lang w:bidi="ar-AE"/>
            </w:rPr>
          </w:pPr>
        </w:p>
        <w:p w14:paraId="1A95CE7E" w14:textId="77777777" w:rsidR="00F31606" w:rsidRDefault="00F31606" w:rsidP="00F31606">
          <w:pPr>
            <w:pStyle w:val="Header"/>
            <w:bidi/>
            <w:jc w:val="center"/>
            <w:rPr>
              <w:rFonts w:ascii="Edwardian Script ITC" w:hAnsi="Edwardian Script ITC" w:cs="Al-Kharashi Diwani 1"/>
              <w:sz w:val="24"/>
              <w:szCs w:val="24"/>
              <w:rtl/>
              <w:lang w:bidi="ar-AE"/>
            </w:rPr>
          </w:pPr>
        </w:p>
        <w:p w14:paraId="001F7E96" w14:textId="77777777" w:rsidR="00F31606" w:rsidRDefault="00F31606" w:rsidP="00F31606">
          <w:pPr>
            <w:pStyle w:val="Header"/>
            <w:bidi/>
            <w:jc w:val="center"/>
            <w:rPr>
              <w:rFonts w:ascii="Edwardian Script ITC" w:hAnsi="Edwardian Script ITC" w:cs="Al-Kharashi Diwani 1"/>
              <w:i/>
              <w:iCs/>
              <w:sz w:val="40"/>
              <w:szCs w:val="40"/>
              <w:rtl/>
              <w:lang w:bidi="ar-AE"/>
            </w:rPr>
          </w:pPr>
          <w:r>
            <w:rPr>
              <w:rFonts w:ascii="Edwardian Script ITC" w:hAnsi="Edwardian Script ITC" w:cs="Al-Kharashi Diwani 1" w:hint="cs"/>
              <w:i/>
              <w:iCs/>
              <w:sz w:val="52"/>
              <w:szCs w:val="52"/>
              <w:rtl/>
              <w:lang w:bidi="ar-AE"/>
            </w:rPr>
            <w:t>دولة فلسطين</w:t>
          </w:r>
        </w:p>
        <w:p w14:paraId="5347E68E" w14:textId="77777777" w:rsidR="00F31606" w:rsidRDefault="00F31606" w:rsidP="00F31606">
          <w:pPr>
            <w:pStyle w:val="Header"/>
            <w:bidi/>
            <w:jc w:val="center"/>
            <w:rPr>
              <w:rFonts w:ascii="Edwardian Script ITC" w:hAnsi="Edwardian Script ITC" w:cs="Al-Kharashi Diwani 1"/>
              <w:sz w:val="16"/>
              <w:szCs w:val="16"/>
              <w:rtl/>
              <w:lang w:bidi="ar-AE"/>
            </w:rPr>
          </w:pPr>
        </w:p>
        <w:p w14:paraId="0864B9EC" w14:textId="77777777" w:rsidR="00F31606" w:rsidRDefault="00F31606" w:rsidP="00F31606">
          <w:pPr>
            <w:pStyle w:val="Header"/>
            <w:bidi/>
            <w:jc w:val="center"/>
            <w:rPr>
              <w:rFonts w:ascii="Times New Roman" w:hAnsi="Times New Roman" w:cs="Al-Kharashi Diwani 1"/>
              <w:sz w:val="32"/>
              <w:szCs w:val="32"/>
              <w:rtl/>
              <w:lang w:bidi="ar-AE"/>
            </w:rPr>
          </w:pPr>
          <w:r>
            <w:rPr>
              <w:rFonts w:ascii="Edwardian Script ITC" w:hAnsi="Edwardian Script ITC" w:cs="Al-Kharashi Diwani 1" w:hint="cs"/>
              <w:sz w:val="32"/>
              <w:szCs w:val="32"/>
              <w:rtl/>
              <w:lang w:bidi="ar-AE"/>
            </w:rPr>
            <w:t>البعثة المراقبة الدائمة لدى</w:t>
          </w:r>
          <w:r>
            <w:rPr>
              <w:rFonts w:cs="Al-Kharashi Diwani 1" w:hint="cs"/>
              <w:sz w:val="32"/>
              <w:szCs w:val="32"/>
              <w:rtl/>
              <w:lang w:bidi="ar-AE"/>
            </w:rPr>
            <w:t xml:space="preserve"> الأمم المتحدة </w:t>
          </w:r>
        </w:p>
        <w:p w14:paraId="1B3D368D" w14:textId="77777777" w:rsidR="00F31606" w:rsidRDefault="00F31606" w:rsidP="00F31606">
          <w:pPr>
            <w:pStyle w:val="Header"/>
            <w:bidi/>
            <w:jc w:val="center"/>
            <w:rPr>
              <w:rFonts w:cs="Times New Roman"/>
              <w:sz w:val="24"/>
              <w:szCs w:val="24"/>
              <w:rtl/>
              <w:lang w:bidi="ar-AE"/>
            </w:rPr>
          </w:pPr>
          <w:r>
            <w:rPr>
              <w:rFonts w:cs="Al-Kharashi Diwani 1" w:hint="cs"/>
              <w:sz w:val="32"/>
              <w:szCs w:val="32"/>
              <w:rtl/>
            </w:rPr>
            <w:t>جنيف</w:t>
          </w:r>
          <w:r>
            <w:rPr>
              <w:rFonts w:hint="cs"/>
              <w:sz w:val="32"/>
              <w:szCs w:val="32"/>
              <w:rtl/>
            </w:rPr>
            <w:t xml:space="preserve"> </w:t>
          </w:r>
        </w:p>
      </w:tc>
      <w:tc>
        <w:tcPr>
          <w:tcW w:w="1843" w:type="dxa"/>
        </w:tcPr>
        <w:p w14:paraId="16629252" w14:textId="77777777" w:rsidR="00F31606" w:rsidRDefault="00F31606" w:rsidP="00F31606">
          <w:pPr>
            <w:pStyle w:val="Header"/>
            <w:bidi/>
            <w:jc w:val="center"/>
            <w:rPr>
              <w:rtl/>
              <w:lang w:bidi="ar-AE"/>
            </w:rPr>
          </w:pPr>
        </w:p>
        <w:p w14:paraId="5E94181F" w14:textId="77777777" w:rsidR="00F31606" w:rsidRDefault="00F31606" w:rsidP="00F31606">
          <w:pPr>
            <w:pStyle w:val="Header"/>
            <w:bidi/>
            <w:jc w:val="center"/>
            <w:rPr>
              <w:rtl/>
              <w:lang w:bidi="ar-AE"/>
            </w:rPr>
          </w:pPr>
          <w:r>
            <w:rPr>
              <w:noProof/>
            </w:rPr>
            <w:drawing>
              <wp:inline distT="0" distB="0" distL="0" distR="0" wp14:anchorId="7E21DC0D" wp14:editId="7403D1E2">
                <wp:extent cx="774700" cy="1092200"/>
                <wp:effectExtent l="0" t="0" r="6350" b="0"/>
                <wp:docPr id="1" name="Picture 1" descr="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6E5046" w14:textId="77777777" w:rsidR="00F31606" w:rsidRDefault="00F31606" w:rsidP="00F31606">
          <w:pPr>
            <w:pStyle w:val="Header"/>
            <w:bidi/>
            <w:jc w:val="center"/>
            <w:rPr>
              <w:rtl/>
              <w:lang w:bidi="ar-AE"/>
            </w:rPr>
          </w:pPr>
        </w:p>
      </w:tc>
      <w:tc>
        <w:tcPr>
          <w:tcW w:w="4605" w:type="dxa"/>
        </w:tcPr>
        <w:p w14:paraId="0D0A86AB" w14:textId="77777777" w:rsidR="00F31606" w:rsidRDefault="00F31606" w:rsidP="00F31606">
          <w:pPr>
            <w:pStyle w:val="Header"/>
            <w:bidi/>
            <w:spacing w:line="276" w:lineRule="auto"/>
            <w:jc w:val="center"/>
            <w:rPr>
              <w:rFonts w:ascii="Arial" w:hAnsi="Arial"/>
              <w:b/>
              <w:bCs/>
              <w:sz w:val="26"/>
              <w:szCs w:val="26"/>
              <w:rtl/>
            </w:rPr>
          </w:pPr>
        </w:p>
        <w:p w14:paraId="67DCFDB3" w14:textId="77777777" w:rsidR="00F31606" w:rsidRDefault="00F31606" w:rsidP="00F31606">
          <w:pPr>
            <w:pStyle w:val="Header"/>
            <w:bidi/>
            <w:spacing w:line="360" w:lineRule="auto"/>
            <w:jc w:val="center"/>
            <w:rPr>
              <w:rFonts w:ascii="Monotype Corsiva" w:hAnsi="Monotype Corsiva"/>
              <w:b/>
              <w:bCs/>
              <w:sz w:val="16"/>
              <w:szCs w:val="16"/>
              <w:lang w:bidi="ar-AE"/>
            </w:rPr>
          </w:pPr>
        </w:p>
        <w:p w14:paraId="23FDA2FB" w14:textId="77777777" w:rsidR="00F31606" w:rsidRDefault="00F31606" w:rsidP="00F31606">
          <w:pPr>
            <w:pStyle w:val="Header"/>
            <w:bidi/>
            <w:spacing w:line="360" w:lineRule="auto"/>
            <w:jc w:val="center"/>
            <w:rPr>
              <w:rFonts w:ascii="Monotype Corsiva" w:hAnsi="Monotype Corsiva"/>
              <w:b/>
              <w:bCs/>
              <w:sz w:val="32"/>
              <w:szCs w:val="32"/>
            </w:rPr>
          </w:pPr>
          <w:r>
            <w:rPr>
              <w:rFonts w:ascii="Monotype Corsiva" w:hAnsi="Monotype Corsiva"/>
              <w:b/>
              <w:bCs/>
              <w:sz w:val="32"/>
              <w:szCs w:val="32"/>
            </w:rPr>
            <w:t xml:space="preserve">State of Palestine </w:t>
          </w:r>
        </w:p>
        <w:p w14:paraId="546240B0" w14:textId="77777777" w:rsidR="00F31606" w:rsidRDefault="00F31606" w:rsidP="00F31606">
          <w:pPr>
            <w:pStyle w:val="Header"/>
            <w:bidi/>
            <w:spacing w:line="360" w:lineRule="auto"/>
            <w:jc w:val="center"/>
            <w:rPr>
              <w:rFonts w:ascii="Monotype Corsiva" w:hAnsi="Monotype Corsiva"/>
              <w:b/>
              <w:bCs/>
              <w:sz w:val="8"/>
              <w:szCs w:val="8"/>
              <w:lang w:bidi="ar-AE"/>
            </w:rPr>
          </w:pPr>
        </w:p>
        <w:p w14:paraId="5858810B" w14:textId="77777777" w:rsidR="00F31606" w:rsidRDefault="00F31606" w:rsidP="00F31606">
          <w:pPr>
            <w:pStyle w:val="Header"/>
            <w:bidi/>
            <w:spacing w:line="360" w:lineRule="auto"/>
            <w:jc w:val="center"/>
            <w:rPr>
              <w:rFonts w:ascii="Monotype Corsiva" w:hAnsi="Monotype Corsiva"/>
              <w:sz w:val="24"/>
              <w:szCs w:val="24"/>
              <w:rtl/>
            </w:rPr>
          </w:pPr>
          <w:r>
            <w:rPr>
              <w:rFonts w:ascii="Monotype Corsiva" w:hAnsi="Monotype Corsiva"/>
            </w:rPr>
            <w:t>Permanent Observer Mission to the United Nations</w:t>
          </w:r>
        </w:p>
        <w:p w14:paraId="565B6C6B" w14:textId="77777777" w:rsidR="00F31606" w:rsidRDefault="00F31606" w:rsidP="00F31606">
          <w:pPr>
            <w:pStyle w:val="Header"/>
            <w:tabs>
              <w:tab w:val="left" w:pos="205"/>
              <w:tab w:val="left" w:pos="1495"/>
              <w:tab w:val="center" w:pos="1970"/>
              <w:tab w:val="center" w:pos="2360"/>
            </w:tabs>
            <w:bidi/>
            <w:spacing w:line="360" w:lineRule="auto"/>
            <w:jc w:val="center"/>
            <w:rPr>
              <w:rFonts w:ascii="Times New Roman" w:hAnsi="Times New Roman"/>
            </w:rPr>
          </w:pPr>
          <w:r>
            <w:rPr>
              <w:rFonts w:ascii="Monotype Corsiva" w:hAnsi="Monotype Corsiva"/>
            </w:rPr>
            <w:t>Geneva</w:t>
          </w:r>
        </w:p>
      </w:tc>
    </w:tr>
  </w:tbl>
  <w:p w14:paraId="21FA7828" w14:textId="77777777" w:rsidR="00F31606" w:rsidRPr="00F31606" w:rsidRDefault="00F31606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D1"/>
    <w:rsid w:val="00014297"/>
    <w:rsid w:val="000900F5"/>
    <w:rsid w:val="001E68D1"/>
    <w:rsid w:val="00561EF6"/>
    <w:rsid w:val="0057617A"/>
    <w:rsid w:val="006F21B7"/>
    <w:rsid w:val="00853105"/>
    <w:rsid w:val="00B25451"/>
    <w:rsid w:val="00C02D0D"/>
    <w:rsid w:val="00EC3225"/>
    <w:rsid w:val="00F217EB"/>
    <w:rsid w:val="00F3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D74ED"/>
  <w15:chartTrackingRefBased/>
  <w15:docId w15:val="{D9D97B40-664A-4E57-9C56-B5DDD1BE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68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1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606"/>
  </w:style>
  <w:style w:type="paragraph" w:styleId="Footer">
    <w:name w:val="footer"/>
    <w:basedOn w:val="Normal"/>
    <w:link w:val="FooterChar"/>
    <w:uiPriority w:val="99"/>
    <w:unhideWhenUsed/>
    <w:rsid w:val="00F31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673384-9CEE-43BE-86A4-ED299CA02D6B}"/>
</file>

<file path=customXml/itemProps2.xml><?xml version="1.0" encoding="utf-8"?>
<ds:datastoreItem xmlns:ds="http://schemas.openxmlformats.org/officeDocument/2006/customXml" ds:itemID="{5B2192D8-557B-424F-A724-2692AAB056B2}"/>
</file>

<file path=customXml/itemProps3.xml><?xml version="1.0" encoding="utf-8"?>
<ds:datastoreItem xmlns:ds="http://schemas.openxmlformats.org/officeDocument/2006/customXml" ds:itemID="{13A9FBEF-1CE4-4691-A318-4EF989AA7C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Arrabi</dc:creator>
  <cp:keywords/>
  <dc:description/>
  <cp:lastModifiedBy>Rana Arrabi</cp:lastModifiedBy>
  <cp:revision>7</cp:revision>
  <dcterms:created xsi:type="dcterms:W3CDTF">2019-10-08T09:58:00Z</dcterms:created>
  <dcterms:modified xsi:type="dcterms:W3CDTF">2019-10-14T09:20:00Z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