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FB3668" w:rsidRPr="00FB3668">
        <w:rPr>
          <w:b/>
          <w:sz w:val="24"/>
          <w:szCs w:val="24"/>
          <w:u w:val="single"/>
        </w:rPr>
        <w:t>Extension of the</w:t>
      </w:r>
      <w:r w:rsidR="00FB3668" w:rsidRPr="002675D5">
        <w:rPr>
          <w:b/>
          <w:sz w:val="24"/>
          <w:szCs w:val="24"/>
          <w:u w:val="single"/>
        </w:rPr>
        <w:t xml:space="preserve"> </w:t>
      </w:r>
      <w:r w:rsidR="00FB3668">
        <w:rPr>
          <w:b/>
          <w:sz w:val="24"/>
          <w:szCs w:val="24"/>
          <w:u w:val="single"/>
        </w:rPr>
        <w:t xml:space="preserve">deadline </w:t>
      </w:r>
      <w:r w:rsidR="00A209BE" w:rsidRPr="002675D5">
        <w:rPr>
          <w:b/>
          <w:sz w:val="24"/>
          <w:szCs w:val="24"/>
          <w:u w:val="single"/>
        </w:rPr>
        <w:t>for a</w:t>
      </w:r>
      <w:r w:rsidR="009A4B7B" w:rsidRPr="002675D5">
        <w:rPr>
          <w:b/>
          <w:sz w:val="24"/>
          <w:szCs w:val="24"/>
          <w:u w:val="single"/>
        </w:rPr>
        <w:t xml:space="preserve">pplications for </w:t>
      </w:r>
      <w:r w:rsidR="00FB3668">
        <w:rPr>
          <w:b/>
          <w:sz w:val="24"/>
          <w:szCs w:val="24"/>
          <w:u w:val="single"/>
        </w:rPr>
        <w:t xml:space="preserve">eight </w:t>
      </w:r>
      <w:r w:rsidR="00EA6D25">
        <w:rPr>
          <w:b/>
          <w:sz w:val="24"/>
          <w:szCs w:val="24"/>
          <w:u w:val="single"/>
        </w:rPr>
        <w:t>vacancies</w:t>
      </w:r>
      <w:r w:rsidR="002675D5" w:rsidRPr="002675D5">
        <w:rPr>
          <w:b/>
          <w:sz w:val="24"/>
          <w:szCs w:val="24"/>
          <w:u w:val="single"/>
        </w:rPr>
        <w:t xml:space="preserve"> </w:t>
      </w:r>
      <w:r w:rsidR="00B27284">
        <w:rPr>
          <w:b/>
          <w:sz w:val="24"/>
          <w:szCs w:val="24"/>
          <w:u w:val="single"/>
        </w:rPr>
        <w:t xml:space="preserve">of mandate holders </w:t>
      </w:r>
      <w:r w:rsidR="002675D5" w:rsidRPr="002675D5">
        <w:rPr>
          <w:b/>
          <w:sz w:val="24"/>
          <w:szCs w:val="24"/>
          <w:u w:val="single"/>
        </w:rPr>
        <w:t xml:space="preserve">to </w:t>
      </w:r>
      <w:proofErr w:type="gramStart"/>
      <w:r w:rsidR="002675D5" w:rsidRPr="002675D5">
        <w:rPr>
          <w:b/>
          <w:sz w:val="24"/>
          <w:szCs w:val="24"/>
          <w:u w:val="single"/>
        </w:rPr>
        <w:t xml:space="preserve">be </w:t>
      </w:r>
      <w:r w:rsidR="00B27284">
        <w:rPr>
          <w:b/>
          <w:sz w:val="24"/>
          <w:szCs w:val="24"/>
          <w:u w:val="single"/>
        </w:rPr>
        <w:t>appointed</w:t>
      </w:r>
      <w:proofErr w:type="gramEnd"/>
      <w:r w:rsidR="00B27284">
        <w:rPr>
          <w:b/>
          <w:sz w:val="24"/>
          <w:szCs w:val="24"/>
          <w:u w:val="single"/>
        </w:rPr>
        <w:t xml:space="preserve"> </w:t>
      </w:r>
      <w:r w:rsidR="005C4F31" w:rsidRPr="00F47F0B">
        <w:rPr>
          <w:b/>
          <w:sz w:val="24"/>
          <w:szCs w:val="24"/>
          <w:u w:val="single"/>
        </w:rPr>
        <w:t>at</w:t>
      </w:r>
      <w:r w:rsidR="002202EA" w:rsidRPr="00F47F0B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 xml:space="preserve">the </w:t>
      </w:r>
      <w:r w:rsidR="001E7290" w:rsidRPr="009E345D">
        <w:rPr>
          <w:b/>
          <w:sz w:val="24"/>
          <w:szCs w:val="24"/>
          <w:u w:val="single"/>
        </w:rPr>
        <w:t>3</w:t>
      </w:r>
      <w:r w:rsidR="009E3DA8">
        <w:rPr>
          <w:b/>
          <w:sz w:val="24"/>
          <w:szCs w:val="24"/>
          <w:u w:val="single"/>
        </w:rPr>
        <w:t>7</w:t>
      </w:r>
      <w:r w:rsidR="00B27284" w:rsidRPr="00DD2471">
        <w:rPr>
          <w:b/>
          <w:sz w:val="24"/>
          <w:szCs w:val="24"/>
          <w:u w:val="single"/>
          <w:vertAlign w:val="superscript"/>
        </w:rPr>
        <w:t>th</w:t>
      </w:r>
      <w:r w:rsidR="00DD2471">
        <w:rPr>
          <w:b/>
          <w:sz w:val="24"/>
          <w:szCs w:val="24"/>
          <w:u w:val="single"/>
        </w:rPr>
        <w:t xml:space="preserve"> s</w:t>
      </w:r>
      <w:r w:rsidR="005C4F31" w:rsidRPr="009E345D">
        <w:rPr>
          <w:b/>
          <w:sz w:val="24"/>
          <w:szCs w:val="24"/>
          <w:u w:val="single"/>
        </w:rPr>
        <w:t>ession of the Human Rights Council</w:t>
      </w:r>
      <w:r w:rsidR="00B657C5" w:rsidRPr="009E345D">
        <w:rPr>
          <w:b/>
          <w:sz w:val="24"/>
          <w:szCs w:val="24"/>
          <w:u w:val="single"/>
        </w:rPr>
        <w:t xml:space="preserve"> </w:t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4C6638" w:rsidRDefault="00F54784" w:rsidP="00116B96">
      <w:pPr>
        <w:ind w:firstLine="851"/>
        <w:jc w:val="both"/>
        <w:rPr>
          <w:sz w:val="24"/>
          <w:szCs w:val="24"/>
        </w:rPr>
      </w:pPr>
      <w:proofErr w:type="gramStart"/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="003B3C5A">
        <w:rPr>
          <w:sz w:val="24"/>
          <w:szCs w:val="24"/>
        </w:rPr>
        <w:t xml:space="preserve">, further to its notes </w:t>
      </w:r>
      <w:proofErr w:type="spellStart"/>
      <w:r w:rsidR="003B3C5A">
        <w:rPr>
          <w:sz w:val="24"/>
          <w:szCs w:val="24"/>
        </w:rPr>
        <w:t>verbales</w:t>
      </w:r>
      <w:proofErr w:type="spellEnd"/>
      <w:r w:rsidR="003B3C5A">
        <w:rPr>
          <w:sz w:val="24"/>
          <w:szCs w:val="24"/>
        </w:rPr>
        <w:t xml:space="preserve"> dated 16 and 30 October 2017, </w:t>
      </w:r>
      <w:r w:rsidR="00E1451D" w:rsidRPr="008C6282">
        <w:rPr>
          <w:b/>
          <w:sz w:val="24"/>
          <w:szCs w:val="24"/>
          <w:u w:val="single"/>
        </w:rPr>
        <w:t xml:space="preserve">the </w:t>
      </w:r>
      <w:r w:rsidR="003B3C5A" w:rsidRPr="008C6282">
        <w:rPr>
          <w:b/>
          <w:sz w:val="24"/>
          <w:szCs w:val="24"/>
          <w:u w:val="single"/>
        </w:rPr>
        <w:t>deadline to apply</w:t>
      </w:r>
      <w:r w:rsidR="003B3C5A">
        <w:rPr>
          <w:sz w:val="24"/>
          <w:szCs w:val="24"/>
        </w:rPr>
        <w:t xml:space="preserve"> for the </w:t>
      </w:r>
      <w:r w:rsidR="00E1451D" w:rsidRPr="00E1451D">
        <w:rPr>
          <w:sz w:val="24"/>
          <w:szCs w:val="24"/>
        </w:rPr>
        <w:t xml:space="preserve">following </w:t>
      </w:r>
      <w:r w:rsidR="003B3C5A">
        <w:rPr>
          <w:sz w:val="24"/>
          <w:szCs w:val="24"/>
        </w:rPr>
        <w:t xml:space="preserve">eight </w:t>
      </w:r>
      <w:r w:rsidR="008C6282">
        <w:rPr>
          <w:sz w:val="24"/>
          <w:szCs w:val="24"/>
        </w:rPr>
        <w:t>post</w:t>
      </w:r>
      <w:r w:rsidR="00495695">
        <w:rPr>
          <w:sz w:val="24"/>
          <w:szCs w:val="24"/>
        </w:rPr>
        <w:t>s</w:t>
      </w:r>
      <w:r w:rsidR="008C6282">
        <w:rPr>
          <w:sz w:val="24"/>
          <w:szCs w:val="24"/>
        </w:rPr>
        <w:t xml:space="preserve"> of the </w:t>
      </w:r>
      <w:r w:rsidR="00E1451D" w:rsidRPr="00E1451D">
        <w:rPr>
          <w:sz w:val="24"/>
          <w:szCs w:val="24"/>
        </w:rPr>
        <w:t>mandate holder</w:t>
      </w:r>
      <w:r w:rsidR="000512B1">
        <w:rPr>
          <w:sz w:val="24"/>
          <w:szCs w:val="24"/>
        </w:rPr>
        <w:t xml:space="preserve">s </w:t>
      </w:r>
      <w:r w:rsidR="00E1451D" w:rsidRPr="00E1451D">
        <w:rPr>
          <w:sz w:val="24"/>
          <w:szCs w:val="24"/>
        </w:rPr>
        <w:t xml:space="preserve">to be appointed at the </w:t>
      </w:r>
      <w:r w:rsidR="00137853">
        <w:rPr>
          <w:sz w:val="24"/>
          <w:szCs w:val="24"/>
        </w:rPr>
        <w:t>thirt</w:t>
      </w:r>
      <w:r w:rsidR="00EA6D25">
        <w:rPr>
          <w:sz w:val="24"/>
          <w:szCs w:val="24"/>
        </w:rPr>
        <w:t>y-</w:t>
      </w:r>
      <w:r w:rsidR="009E3DA8">
        <w:rPr>
          <w:sz w:val="24"/>
          <w:szCs w:val="24"/>
        </w:rPr>
        <w:t>seventh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54A27">
        <w:rPr>
          <w:sz w:val="24"/>
          <w:szCs w:val="24"/>
        </w:rPr>
        <w:t>sion of the Council</w:t>
      </w:r>
      <w:r w:rsidR="00EA6D25">
        <w:rPr>
          <w:sz w:val="24"/>
          <w:szCs w:val="24"/>
        </w:rPr>
        <w:t xml:space="preserve"> (</w:t>
      </w:r>
      <w:r w:rsidR="009E3DA8" w:rsidRPr="009E3DA8">
        <w:rPr>
          <w:sz w:val="24"/>
          <w:szCs w:val="24"/>
        </w:rPr>
        <w:t>26 February to 23 March 2018</w:t>
      </w:r>
      <w:r w:rsidR="00EA6D25">
        <w:rPr>
          <w:sz w:val="24"/>
          <w:szCs w:val="24"/>
        </w:rPr>
        <w:t>)</w:t>
      </w:r>
      <w:r w:rsidR="003B3C5A">
        <w:rPr>
          <w:sz w:val="24"/>
          <w:szCs w:val="24"/>
        </w:rPr>
        <w:t xml:space="preserve"> </w:t>
      </w:r>
      <w:r w:rsidR="003B3C5A" w:rsidRPr="008C6282">
        <w:rPr>
          <w:b/>
          <w:sz w:val="24"/>
          <w:szCs w:val="24"/>
          <w:u w:val="single"/>
        </w:rPr>
        <w:t>has been extended to 6 December 2017 (12 noon Greenwich Mean Time / GMT)</w:t>
      </w:r>
      <w:r w:rsidR="00307392" w:rsidRPr="0084317C">
        <w:rPr>
          <w:sz w:val="24"/>
          <w:szCs w:val="24"/>
        </w:rPr>
        <w:t>:</w:t>
      </w:r>
      <w:proofErr w:type="gramEnd"/>
    </w:p>
    <w:p w:rsidR="003A3E25" w:rsidRDefault="003A3E2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3B3C5A" w:rsidRPr="009E3DA8" w:rsidRDefault="003B3C5A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Expert Mechanism on the Rights of Indigenous Peoples (EMRIP), member from Africa </w:t>
      </w:r>
      <w:r w:rsidRPr="009E3DA8">
        <w:rPr>
          <w:bCs/>
          <w:sz w:val="24"/>
          <w:szCs w:val="24"/>
          <w:lang w:eastAsia="en-GB"/>
        </w:rPr>
        <w:t>[HRC res. 33/25]</w:t>
      </w:r>
    </w:p>
    <w:p w:rsidR="003B3C5A" w:rsidRPr="009E3DA8" w:rsidRDefault="003B3C5A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Expert Mechanism on the Rights of Indigenous Peoples (EMRIP), member from North America </w:t>
      </w:r>
      <w:r w:rsidRPr="009E3DA8">
        <w:rPr>
          <w:bCs/>
          <w:sz w:val="24"/>
          <w:szCs w:val="24"/>
          <w:lang w:eastAsia="en-GB"/>
        </w:rPr>
        <w:t>[HRC res. 33/25]</w:t>
      </w:r>
    </w:p>
    <w:p w:rsidR="003B3C5A" w:rsidRPr="003B3C5A" w:rsidRDefault="003B3C5A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>Independent Expert o</w:t>
      </w:r>
      <w:bookmarkStart w:id="0" w:name="_GoBack"/>
      <w:bookmarkEnd w:id="0"/>
      <w:r w:rsidRPr="009E3DA8">
        <w:rPr>
          <w:b/>
          <w:bCs/>
          <w:sz w:val="24"/>
          <w:szCs w:val="24"/>
          <w:lang w:eastAsia="en-GB"/>
        </w:rPr>
        <w:t xml:space="preserve">n the promotion of a democratic and equitable international order </w:t>
      </w:r>
      <w:r w:rsidRPr="009E3DA8">
        <w:rPr>
          <w:bCs/>
          <w:sz w:val="24"/>
          <w:szCs w:val="24"/>
          <w:lang w:eastAsia="en-GB"/>
        </w:rPr>
        <w:t>[HRC res. 36/4]</w:t>
      </w:r>
    </w:p>
    <w:p w:rsidR="003B3C5A" w:rsidRPr="003B3C5A" w:rsidRDefault="003B3C5A" w:rsidP="003B3C5A">
      <w:pPr>
        <w:numPr>
          <w:ilvl w:val="0"/>
          <w:numId w:val="35"/>
        </w:numPr>
        <w:shd w:val="clear" w:color="auto" w:fill="FFFFFF"/>
        <w:outlineLvl w:val="3"/>
        <w:rPr>
          <w:bCs/>
          <w:sz w:val="24"/>
          <w:szCs w:val="24"/>
          <w:lang w:eastAsia="en-GB"/>
        </w:rPr>
      </w:pPr>
      <w:r w:rsidRPr="003B3C5A">
        <w:rPr>
          <w:b/>
          <w:bCs/>
          <w:sz w:val="24"/>
          <w:szCs w:val="24"/>
          <w:lang w:eastAsia="en-GB"/>
        </w:rPr>
        <w:t>Independent Expert on the situation of human rights in Mali</w:t>
      </w:r>
      <w:r>
        <w:rPr>
          <w:b/>
          <w:bCs/>
          <w:sz w:val="24"/>
          <w:szCs w:val="24"/>
          <w:lang w:eastAsia="en-GB"/>
        </w:rPr>
        <w:t xml:space="preserve"> </w:t>
      </w:r>
      <w:r w:rsidRPr="003B3C5A">
        <w:rPr>
          <w:bCs/>
          <w:sz w:val="24"/>
          <w:szCs w:val="24"/>
          <w:lang w:eastAsia="en-GB"/>
        </w:rPr>
        <w:t>[HRC res. 34/39</w:t>
      </w:r>
      <w:r>
        <w:rPr>
          <w:bCs/>
          <w:sz w:val="24"/>
          <w:szCs w:val="24"/>
          <w:lang w:eastAsia="en-GB"/>
        </w:rPr>
        <w:t>]</w:t>
      </w:r>
    </w:p>
    <w:p w:rsidR="003B3C5A" w:rsidRPr="009E3DA8" w:rsidRDefault="003B3C5A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Special Rapporteur on the promotion of truth, justice, reparation and guarantees of non-recurrence </w:t>
      </w:r>
      <w:r w:rsidRPr="009E3DA8">
        <w:rPr>
          <w:bCs/>
          <w:sz w:val="24"/>
          <w:szCs w:val="24"/>
          <w:lang w:eastAsia="en-GB"/>
        </w:rPr>
        <w:t>[HRC res. 36/7]</w:t>
      </w:r>
    </w:p>
    <w:p w:rsidR="003B3C5A" w:rsidRPr="009E3DA8" w:rsidRDefault="003B3C5A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Working Group on the use of mercenaries as a means of violating human rights and impeding the exercise of the right of peoples to self-determination, member from African States </w:t>
      </w:r>
      <w:r w:rsidRPr="009E3DA8">
        <w:rPr>
          <w:bCs/>
          <w:sz w:val="24"/>
          <w:szCs w:val="24"/>
          <w:lang w:eastAsia="en-GB"/>
        </w:rPr>
        <w:t>[HRC res. 33/4]</w:t>
      </w:r>
    </w:p>
    <w:p w:rsidR="003B3C5A" w:rsidRPr="009E3DA8" w:rsidRDefault="003B3C5A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Working Group on the use of mercenaries as a means of violating human rights and impeding the exercise of the right of peoples to self-determination, member from  Eastern European States </w:t>
      </w:r>
      <w:r w:rsidRPr="009E3DA8">
        <w:rPr>
          <w:bCs/>
          <w:sz w:val="24"/>
          <w:szCs w:val="24"/>
          <w:lang w:eastAsia="en-GB"/>
        </w:rPr>
        <w:t>[HRC res. 33/4]</w:t>
      </w:r>
    </w:p>
    <w:p w:rsidR="003B3C5A" w:rsidRPr="009E3DA8" w:rsidRDefault="003B3C5A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Working Group on the use of mercenaries as a means of violating human rights and impeding the exercise of the right of peoples to self-determination, member from Latin American and Caribbean States </w:t>
      </w:r>
      <w:r w:rsidRPr="009E3DA8">
        <w:rPr>
          <w:bCs/>
          <w:sz w:val="24"/>
          <w:szCs w:val="24"/>
          <w:lang w:eastAsia="en-GB"/>
        </w:rPr>
        <w:t>[HRC res. 33/4]</w:t>
      </w:r>
    </w:p>
    <w:p w:rsidR="00D97933" w:rsidRPr="0002638F" w:rsidRDefault="00D97933" w:rsidP="0023008B">
      <w:pPr>
        <w:jc w:val="both"/>
        <w:rPr>
          <w:sz w:val="24"/>
          <w:szCs w:val="24"/>
        </w:rPr>
      </w:pPr>
    </w:p>
    <w:p w:rsidR="006943BB" w:rsidRPr="001B6B18" w:rsidRDefault="00BA69B9" w:rsidP="00B27284">
      <w:pPr>
        <w:ind w:firstLine="85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Additional</w:t>
      </w:r>
      <w:r w:rsidR="004C6638" w:rsidRPr="0084317C">
        <w:rPr>
          <w:sz w:val="24"/>
          <w:szCs w:val="24"/>
        </w:rPr>
        <w:t xml:space="preserve"> information on the selection and appointment procedure</w:t>
      </w:r>
      <w:r w:rsidR="00C77F58"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web page:</w:t>
      </w:r>
      <w:r w:rsidR="00B27284">
        <w:rPr>
          <w:sz w:val="24"/>
          <w:szCs w:val="24"/>
        </w:rPr>
        <w:t xml:space="preserve"> </w:t>
      </w:r>
      <w:hyperlink r:id="rId8" w:history="1">
        <w:r w:rsidR="00522E50" w:rsidRPr="001B6B18">
          <w:rPr>
            <w:rStyle w:val="Hyperlink"/>
            <w:sz w:val="24"/>
            <w:szCs w:val="24"/>
          </w:rPr>
          <w:t>http://www.ohchr.org/EN/HRBodies/SP/Pages/Nominations.aspx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9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AC7BE4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28 November</w:t>
      </w:r>
      <w:r w:rsidR="0023008B">
        <w:rPr>
          <w:sz w:val="24"/>
          <w:szCs w:val="24"/>
        </w:rPr>
        <w:t xml:space="preserve"> 2017</w:t>
      </w:r>
    </w:p>
    <w:sectPr w:rsidR="003E7638" w:rsidRPr="0084317C" w:rsidSect="00B35C49">
      <w:headerReference w:type="default" r:id="rId10"/>
      <w:footerReference w:type="default" r:id="rId11"/>
      <w:headerReference w:type="first" r:id="rId12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3B3C5A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1"/>
  </w:num>
  <w:num w:numId="5">
    <w:abstractNumId w:val="25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0"/>
  </w:num>
  <w:num w:numId="13">
    <w:abstractNumId w:val="33"/>
  </w:num>
  <w:num w:numId="14">
    <w:abstractNumId w:val="21"/>
  </w:num>
  <w:num w:numId="15">
    <w:abstractNumId w:val="7"/>
  </w:num>
  <w:num w:numId="16">
    <w:abstractNumId w:val="0"/>
  </w:num>
  <w:num w:numId="17">
    <w:abstractNumId w:val="27"/>
  </w:num>
  <w:num w:numId="18">
    <w:abstractNumId w:val="9"/>
  </w:num>
  <w:num w:numId="19">
    <w:abstractNumId w:val="20"/>
  </w:num>
  <w:num w:numId="20">
    <w:abstractNumId w:val="5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29"/>
  </w:num>
  <w:num w:numId="26">
    <w:abstractNumId w:val="18"/>
  </w:num>
  <w:num w:numId="27">
    <w:abstractNumId w:val="14"/>
  </w:num>
  <w:num w:numId="28">
    <w:abstractNumId w:val="32"/>
  </w:num>
  <w:num w:numId="29">
    <w:abstractNumId w:val="31"/>
  </w:num>
  <w:num w:numId="30">
    <w:abstractNumId w:val="28"/>
  </w:num>
  <w:num w:numId="31">
    <w:abstractNumId w:val="3"/>
  </w:num>
  <w:num w:numId="32">
    <w:abstractNumId w:val="1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B3C5A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95695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78D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790C"/>
    <w:rsid w:val="007109CC"/>
    <w:rsid w:val="00712363"/>
    <w:rsid w:val="007210F6"/>
    <w:rsid w:val="0072113A"/>
    <w:rsid w:val="00723438"/>
    <w:rsid w:val="00733660"/>
    <w:rsid w:val="00733C89"/>
    <w:rsid w:val="00741EBC"/>
    <w:rsid w:val="007432E5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803300"/>
    <w:rsid w:val="008316AA"/>
    <w:rsid w:val="00842220"/>
    <w:rsid w:val="008427AA"/>
    <w:rsid w:val="0084317C"/>
    <w:rsid w:val="008536BA"/>
    <w:rsid w:val="008553DE"/>
    <w:rsid w:val="008568EA"/>
    <w:rsid w:val="008656FA"/>
    <w:rsid w:val="00874280"/>
    <w:rsid w:val="0087585C"/>
    <w:rsid w:val="008774E3"/>
    <w:rsid w:val="008A29E6"/>
    <w:rsid w:val="008B4DD7"/>
    <w:rsid w:val="008C2924"/>
    <w:rsid w:val="008C60C0"/>
    <w:rsid w:val="008C6282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440D"/>
    <w:rsid w:val="00983F2F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C7BE4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A69B9"/>
    <w:rsid w:val="00BC4364"/>
    <w:rsid w:val="00BD6119"/>
    <w:rsid w:val="00BF7242"/>
    <w:rsid w:val="00C04A21"/>
    <w:rsid w:val="00C12BED"/>
    <w:rsid w:val="00C133AD"/>
    <w:rsid w:val="00C162CB"/>
    <w:rsid w:val="00C23DDD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23FC8"/>
    <w:rsid w:val="00E406BD"/>
    <w:rsid w:val="00E47C1C"/>
    <w:rsid w:val="00E563C5"/>
    <w:rsid w:val="00E6005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366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B3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Bodies/HRC/SP/Pages/Nomination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cspecialprocedures@ohch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55339-304E-4F0A-BB6E-9FA6AC57E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1730A-F4E2-4A4D-BCCB-7D571A3793CF}"/>
</file>

<file path=customXml/itemProps3.xml><?xml version="1.0" encoding="utf-8"?>
<ds:datastoreItem xmlns:ds="http://schemas.openxmlformats.org/officeDocument/2006/customXml" ds:itemID="{4B9A5DA4-BF2C-406E-8BFA-18A061B0DBCD}"/>
</file>

<file path=customXml/itemProps4.xml><?xml version="1.0" encoding="utf-8"?>
<ds:datastoreItem xmlns:ds="http://schemas.openxmlformats.org/officeDocument/2006/customXml" ds:itemID="{8300BB32-7323-4CBD-A254-00549912E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2660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2017-10-16T14:44:00Z</dcterms:created>
  <dcterms:modified xsi:type="dcterms:W3CDTF">2017-11-28T11:59:00Z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