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0" w:type="auto"/>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62BA0" w:rsidRPr="00C62BA0" w:rsidRDefault="00C62BA0" w:rsidP="00B44460">
      <w:pPr>
        <w:spacing w:line="240" w:lineRule="atLeast"/>
        <w:ind w:left="851" w:hanging="851"/>
        <w:rPr>
          <w:sz w:val="24"/>
          <w:szCs w:val="24"/>
          <w:lang w:val="fr-FR"/>
        </w:rPr>
      </w:pPr>
    </w:p>
    <w:p w:rsidR="00271A5F" w:rsidRPr="00BD11B5" w:rsidRDefault="00271A5F" w:rsidP="00271A5F">
      <w:pPr>
        <w:ind w:left="851" w:hanging="851"/>
        <w:rPr>
          <w:b/>
          <w:sz w:val="24"/>
          <w:szCs w:val="24"/>
          <w:u w:val="single"/>
          <w:lang w:val="fr-FR"/>
        </w:rPr>
      </w:pPr>
      <w:r w:rsidRPr="00BD11B5">
        <w:rPr>
          <w:b/>
          <w:sz w:val="24"/>
          <w:szCs w:val="24"/>
          <w:lang w:val="fr-FR"/>
        </w:rPr>
        <w:t xml:space="preserve">Objet :  </w:t>
      </w:r>
      <w:r w:rsidRPr="00BD11B5">
        <w:rPr>
          <w:b/>
          <w:sz w:val="24"/>
          <w:szCs w:val="24"/>
          <w:u w:val="single"/>
          <w:lang w:val="fr-FR"/>
        </w:rPr>
        <w:t>Appel à candidatures pour treize titulaires de mandats devant être nommés lors de la 43</w:t>
      </w:r>
      <w:r w:rsidRPr="00BD11B5">
        <w:rPr>
          <w:b/>
          <w:sz w:val="24"/>
          <w:szCs w:val="24"/>
          <w:u w:val="single"/>
          <w:vertAlign w:val="superscript"/>
          <w:lang w:val="fr-FR"/>
        </w:rPr>
        <w:t>e</w:t>
      </w:r>
      <w:r w:rsidRPr="00BD11B5">
        <w:rPr>
          <w:b/>
          <w:sz w:val="24"/>
          <w:szCs w:val="24"/>
          <w:u w:val="single"/>
          <w:lang w:val="fr-FR"/>
        </w:rPr>
        <w:t xml:space="preserve"> session du Conseil des droits de l'homme</w:t>
      </w:r>
    </w:p>
    <w:p w:rsidR="00271A5F" w:rsidRPr="00BD11B5" w:rsidRDefault="00271A5F" w:rsidP="00271A5F">
      <w:pPr>
        <w:rPr>
          <w:sz w:val="24"/>
          <w:szCs w:val="24"/>
          <w:lang w:val="fr-FR"/>
        </w:rPr>
      </w:pPr>
    </w:p>
    <w:p w:rsidR="00271A5F" w:rsidRDefault="00271A5F" w:rsidP="00271A5F">
      <w:pPr>
        <w:spacing w:after="240"/>
        <w:ind w:firstLine="851"/>
        <w:jc w:val="both"/>
        <w:rPr>
          <w:color w:val="000000"/>
          <w:sz w:val="24"/>
          <w:szCs w:val="24"/>
          <w:lang w:val="fr-FR"/>
        </w:rPr>
      </w:pPr>
    </w:p>
    <w:p w:rsidR="00271A5F" w:rsidRPr="00BD11B5" w:rsidRDefault="00271A5F" w:rsidP="00271A5F">
      <w:pPr>
        <w:spacing w:after="240"/>
        <w:ind w:firstLine="851"/>
        <w:jc w:val="both"/>
        <w:rPr>
          <w:sz w:val="24"/>
          <w:szCs w:val="24"/>
          <w:lang w:val="fr-FR"/>
        </w:rPr>
      </w:pPr>
      <w:r w:rsidRPr="00BD11B5">
        <w:rPr>
          <w:color w:val="000000"/>
          <w:sz w:val="24"/>
          <w:szCs w:val="24"/>
          <w:lang w:val="fr-FR"/>
        </w:rPr>
        <w:t xml:space="preserve">Le </w:t>
      </w:r>
      <w:r w:rsidRPr="00BD11B5">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autres organes des droits de l’homme et</w:t>
      </w:r>
      <w:r w:rsidRPr="00BD11B5">
        <w:rPr>
          <w:rStyle w:val="hps"/>
          <w:sz w:val="24"/>
          <w:szCs w:val="24"/>
          <w:lang w:val="fr-FR"/>
        </w:rPr>
        <w:t xml:space="preserve"> a l'honneur</w:t>
      </w:r>
      <w:r w:rsidRPr="00BD11B5">
        <w:rPr>
          <w:sz w:val="24"/>
          <w:szCs w:val="24"/>
          <w:lang w:val="fr-FR"/>
        </w:rPr>
        <w:t xml:space="preserve"> </w:t>
      </w:r>
      <w:r w:rsidRPr="00BD11B5">
        <w:rPr>
          <w:rStyle w:val="hps"/>
          <w:sz w:val="24"/>
          <w:szCs w:val="24"/>
          <w:lang w:val="fr-FR"/>
        </w:rPr>
        <w:t>de les</w:t>
      </w:r>
      <w:r w:rsidRPr="00BD11B5">
        <w:rPr>
          <w:sz w:val="24"/>
          <w:szCs w:val="24"/>
          <w:lang w:val="fr-FR"/>
        </w:rPr>
        <w:t xml:space="preserve"> </w:t>
      </w:r>
      <w:r w:rsidRPr="00BD11B5">
        <w:rPr>
          <w:rStyle w:val="hps"/>
          <w:sz w:val="24"/>
          <w:szCs w:val="24"/>
          <w:lang w:val="fr-FR"/>
        </w:rPr>
        <w:t>informer que les treize titulaires de mandats ci-dessous sont à pourvoir lors de la 43</w:t>
      </w:r>
      <w:r w:rsidRPr="00BD11B5">
        <w:rPr>
          <w:rStyle w:val="hps"/>
          <w:sz w:val="24"/>
          <w:szCs w:val="24"/>
          <w:vertAlign w:val="superscript"/>
          <w:lang w:val="fr-FR"/>
        </w:rPr>
        <w:t>e</w:t>
      </w:r>
      <w:r w:rsidRPr="00BD11B5">
        <w:rPr>
          <w:rStyle w:val="hps"/>
          <w:sz w:val="24"/>
          <w:szCs w:val="24"/>
          <w:lang w:val="fr-FR"/>
        </w:rPr>
        <w:t xml:space="preserve"> </w:t>
      </w:r>
      <w:r w:rsidRPr="00BD11B5">
        <w:rPr>
          <w:sz w:val="24"/>
          <w:szCs w:val="24"/>
          <w:lang w:val="fr-FR"/>
        </w:rPr>
        <w:t xml:space="preserve">session du Conseil des droits de l'homme (24 février au 20 mars 2020): </w:t>
      </w:r>
    </w:p>
    <w:p w:rsidR="00271A5F" w:rsidRPr="00BD11B5" w:rsidRDefault="00271A5F" w:rsidP="00271A5F">
      <w:pPr>
        <w:numPr>
          <w:ilvl w:val="0"/>
          <w:numId w:val="30"/>
        </w:numPr>
        <w:jc w:val="both"/>
        <w:rPr>
          <w:b/>
          <w:sz w:val="24"/>
          <w:szCs w:val="24"/>
          <w:lang w:val="fr-FR"/>
        </w:rPr>
      </w:pPr>
      <w:r w:rsidRPr="00BD11B5">
        <w:rPr>
          <w:b/>
          <w:sz w:val="24"/>
          <w:szCs w:val="24"/>
          <w:lang w:val="fr-FR"/>
        </w:rPr>
        <w:t>Mécanisme d’experts sur les droits des peuples autochtones (MEDPA), membre de l’</w:t>
      </w:r>
      <w:r w:rsidRPr="00BD11B5">
        <w:rPr>
          <w:sz w:val="24"/>
          <w:szCs w:val="24"/>
          <w:lang w:val="fr-FR"/>
        </w:rPr>
        <w:t xml:space="preserve"> </w:t>
      </w:r>
      <w:r w:rsidRPr="00BD11B5">
        <w:rPr>
          <w:b/>
          <w:sz w:val="24"/>
          <w:szCs w:val="24"/>
          <w:lang w:val="fr-FR"/>
        </w:rPr>
        <w:t xml:space="preserve">Arctique </w:t>
      </w:r>
      <w:r w:rsidRPr="00BD11B5">
        <w:rPr>
          <w:sz w:val="24"/>
          <w:szCs w:val="24"/>
          <w:lang w:val="fr-FR"/>
        </w:rPr>
        <w:t>[</w:t>
      </w:r>
      <w:hyperlink r:id="rId11"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33/25</w:t>
        </w:r>
      </w:hyperlink>
      <w:r w:rsidRPr="00BD11B5">
        <w:rPr>
          <w:sz w:val="24"/>
          <w:szCs w:val="24"/>
          <w:lang w:val="fr-FR"/>
        </w:rPr>
        <w:t>]</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Mécanisme d’experts sur les droits des peuples autochtones (MEDPA), membre de l’Asie, </w:t>
      </w:r>
      <w:r w:rsidRPr="00BD11B5">
        <w:rPr>
          <w:bCs/>
          <w:sz w:val="24"/>
          <w:szCs w:val="24"/>
          <w:lang w:val="fr-FR"/>
        </w:rPr>
        <w:t>[</w:t>
      </w:r>
      <w:hyperlink r:id="rId12"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33/25</w:t>
        </w:r>
      </w:hyperlink>
      <w:r w:rsidRPr="00BD11B5">
        <w:rPr>
          <w:sz w:val="24"/>
          <w:szCs w:val="24"/>
          <w:lang w:val="fr-FR"/>
        </w:rPr>
        <w:t>]</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Expert indépendant chargé d’examiner les effets de la dette extérieure et des obligations financières internationales connexes des États sur le plein exercice de tous les droits de l’homme, en particulier des droits économiques, sociaux et culturels </w:t>
      </w:r>
      <w:r w:rsidRPr="00BD11B5">
        <w:rPr>
          <w:sz w:val="24"/>
          <w:szCs w:val="24"/>
          <w:lang w:val="fr-FR"/>
        </w:rPr>
        <w:t>[</w:t>
      </w:r>
      <w:hyperlink r:id="rId13"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34/3</w:t>
        </w:r>
      </w:hyperlink>
      <w:r w:rsidRPr="00BD11B5">
        <w:rPr>
          <w:sz w:val="24"/>
          <w:szCs w:val="24"/>
          <w:lang w:val="fr-FR"/>
        </w:rPr>
        <w:t>]</w:t>
      </w:r>
      <w:r w:rsidRPr="00BD11B5">
        <w:rPr>
          <w:sz w:val="24"/>
          <w:szCs w:val="24"/>
          <w:vertAlign w:val="superscript"/>
          <w:lang w:val="fr-FR"/>
        </w:rPr>
        <w:t>1</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Expert indépendant chargé de promouvoir l’exercice par les personnes âgées de tous les droits de l’homme </w:t>
      </w:r>
      <w:r w:rsidRPr="00BD11B5">
        <w:rPr>
          <w:sz w:val="24"/>
          <w:szCs w:val="24"/>
          <w:lang w:val="fr-FR"/>
        </w:rPr>
        <w:t>[</w:t>
      </w:r>
      <w:hyperlink r:id="rId14"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33/5</w:t>
        </w:r>
      </w:hyperlink>
      <w:r w:rsidRPr="00BD11B5">
        <w:rPr>
          <w:sz w:val="24"/>
          <w:szCs w:val="24"/>
          <w:lang w:val="fr-FR"/>
        </w:rPr>
        <w:t>]</w:t>
      </w:r>
      <w:r w:rsidRPr="00BD11B5">
        <w:rPr>
          <w:sz w:val="24"/>
          <w:szCs w:val="24"/>
          <w:vertAlign w:val="superscript"/>
          <w:lang w:val="fr-FR"/>
        </w:rPr>
        <w:t>1</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Expert indépendant chargé d’examiner la situation des droits de l’homme en Somalie </w:t>
      </w:r>
      <w:r w:rsidRPr="00BD11B5">
        <w:rPr>
          <w:sz w:val="24"/>
          <w:szCs w:val="24"/>
          <w:lang w:val="fr-FR"/>
        </w:rPr>
        <w:t>[</w:t>
      </w:r>
      <w:hyperlink r:id="rId15"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39/23</w:t>
        </w:r>
      </w:hyperlink>
      <w:r w:rsidRPr="00BD11B5">
        <w:rPr>
          <w:sz w:val="24"/>
          <w:szCs w:val="24"/>
          <w:lang w:val="fr-FR"/>
        </w:rPr>
        <w:t>]</w:t>
      </w:r>
      <w:r w:rsidRPr="00BD11B5">
        <w:rPr>
          <w:sz w:val="24"/>
          <w:szCs w:val="24"/>
          <w:vertAlign w:val="superscript"/>
          <w:lang w:val="fr-FR"/>
        </w:rPr>
        <w:t>1</w:t>
      </w:r>
    </w:p>
    <w:p w:rsidR="00271A5F" w:rsidRPr="00BD11B5" w:rsidRDefault="00271A5F" w:rsidP="00271A5F">
      <w:pPr>
        <w:numPr>
          <w:ilvl w:val="0"/>
          <w:numId w:val="30"/>
        </w:numPr>
        <w:jc w:val="both"/>
        <w:rPr>
          <w:sz w:val="24"/>
          <w:szCs w:val="24"/>
          <w:lang w:val="fr-FR"/>
        </w:rPr>
      </w:pPr>
      <w:r w:rsidRPr="00BD11B5">
        <w:rPr>
          <w:b/>
          <w:sz w:val="24"/>
          <w:szCs w:val="24"/>
          <w:lang w:val="fr-FR"/>
        </w:rPr>
        <w:t xml:space="preserve">Rapporteur spécial sur la question du logement convenable en tant qu’élément du droit à un niveau de vie suffisant ainsi que sur le droit à la non-discrimination dans ce domaine </w:t>
      </w:r>
      <w:r w:rsidRPr="00BD11B5">
        <w:rPr>
          <w:sz w:val="24"/>
          <w:szCs w:val="24"/>
          <w:lang w:val="fr-FR"/>
        </w:rPr>
        <w:t>[</w:t>
      </w:r>
      <w:hyperlink r:id="rId16"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34/9</w:t>
        </w:r>
      </w:hyperlink>
      <w:r w:rsidRPr="00BD11B5">
        <w:rPr>
          <w:sz w:val="24"/>
          <w:szCs w:val="24"/>
          <w:lang w:val="fr-FR"/>
        </w:rPr>
        <w:t>]</w:t>
      </w:r>
      <w:r w:rsidRPr="00BD11B5">
        <w:rPr>
          <w:sz w:val="24"/>
          <w:szCs w:val="24"/>
          <w:vertAlign w:val="superscript"/>
          <w:lang w:val="fr-FR"/>
        </w:rPr>
        <w:t>1</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Rapporteur spécial sur les formes contemporaines d’esclavage, y compris leurs causes et leurs conséquences </w:t>
      </w:r>
      <w:r w:rsidRPr="00BD11B5">
        <w:rPr>
          <w:sz w:val="24"/>
          <w:szCs w:val="24"/>
          <w:lang w:val="fr-FR"/>
        </w:rPr>
        <w:t>[</w:t>
      </w:r>
      <w:hyperlink r:id="rId17"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33/1</w:t>
        </w:r>
      </w:hyperlink>
      <w:r w:rsidRPr="00BD11B5">
        <w:rPr>
          <w:sz w:val="24"/>
          <w:szCs w:val="24"/>
          <w:lang w:val="fr-FR"/>
        </w:rPr>
        <w:t>]</w:t>
      </w:r>
      <w:r w:rsidRPr="00BD11B5">
        <w:rPr>
          <w:sz w:val="24"/>
          <w:szCs w:val="24"/>
          <w:vertAlign w:val="superscript"/>
          <w:lang w:val="fr-FR"/>
        </w:rPr>
        <w:t>1</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Rapporteur spécial sur les droits de l’homme et l’extrême pauvreté </w:t>
      </w:r>
      <w:r w:rsidRPr="00BD11B5">
        <w:rPr>
          <w:sz w:val="24"/>
          <w:szCs w:val="24"/>
          <w:lang w:val="fr-FR"/>
        </w:rPr>
        <w:t>[</w:t>
      </w:r>
      <w:hyperlink r:id="rId18"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35/19</w:t>
        </w:r>
      </w:hyperlink>
      <w:r w:rsidRPr="00BD11B5">
        <w:rPr>
          <w:sz w:val="24"/>
          <w:szCs w:val="24"/>
          <w:lang w:val="fr-FR"/>
        </w:rPr>
        <w:t>]</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Rapporteur spécial sur le droit à l’alimentation </w:t>
      </w:r>
      <w:hyperlink r:id="rId19"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40/7</w:t>
        </w:r>
      </w:hyperlink>
      <w:r w:rsidRPr="00BD11B5">
        <w:rPr>
          <w:sz w:val="24"/>
          <w:szCs w:val="24"/>
          <w:lang w:val="fr-FR"/>
        </w:rPr>
        <w:t>]</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Rapporteur spécial sur les droits des peuples autochtones </w:t>
      </w:r>
      <w:r w:rsidRPr="00BD11B5">
        <w:rPr>
          <w:sz w:val="24"/>
          <w:szCs w:val="24"/>
          <w:lang w:val="fr-FR"/>
        </w:rPr>
        <w:t>[</w:t>
      </w:r>
      <w:hyperlink r:id="rId20"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33/12</w:t>
        </w:r>
      </w:hyperlink>
      <w:r w:rsidRPr="00BD11B5">
        <w:rPr>
          <w:sz w:val="24"/>
          <w:szCs w:val="24"/>
          <w:lang w:val="fr-FR"/>
        </w:rPr>
        <w:t>]</w:t>
      </w:r>
      <w:r w:rsidRPr="00BD11B5">
        <w:rPr>
          <w:sz w:val="24"/>
          <w:szCs w:val="24"/>
          <w:vertAlign w:val="superscript"/>
          <w:lang w:val="fr-FR"/>
        </w:rPr>
        <w:t>1</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Rapporteur spécial sur la vente d’enfants, la prostitution des enfants et la pornographie mettant en scène des enfants </w:t>
      </w:r>
      <w:r w:rsidRPr="00BD11B5">
        <w:rPr>
          <w:sz w:val="24"/>
          <w:szCs w:val="24"/>
          <w:lang w:val="fr-FR"/>
        </w:rPr>
        <w:t>[</w:t>
      </w:r>
      <w:hyperlink r:id="rId21"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34/16</w:t>
        </w:r>
      </w:hyperlink>
      <w:r w:rsidRPr="00BD11B5">
        <w:rPr>
          <w:sz w:val="24"/>
          <w:szCs w:val="24"/>
          <w:lang w:val="fr-FR"/>
        </w:rPr>
        <w:t>]</w:t>
      </w:r>
      <w:r w:rsidRPr="00BD11B5">
        <w:rPr>
          <w:sz w:val="24"/>
          <w:szCs w:val="24"/>
          <w:vertAlign w:val="superscript"/>
          <w:lang w:val="fr-FR"/>
        </w:rPr>
        <w:t>1</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Rapporteur spécial sur la situation des défenseurs des droits de l’homme </w:t>
      </w:r>
      <w:r w:rsidRPr="00BD11B5">
        <w:rPr>
          <w:sz w:val="24"/>
          <w:szCs w:val="24"/>
          <w:lang w:val="fr-FR"/>
        </w:rPr>
        <w:t>[</w:t>
      </w:r>
      <w:hyperlink r:id="rId22"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34/5</w:t>
        </w:r>
      </w:hyperlink>
      <w:r w:rsidRPr="00BD11B5">
        <w:rPr>
          <w:sz w:val="24"/>
          <w:szCs w:val="24"/>
          <w:lang w:val="fr-FR"/>
        </w:rPr>
        <w:t>]</w:t>
      </w:r>
      <w:r w:rsidRPr="00BD11B5">
        <w:rPr>
          <w:sz w:val="24"/>
          <w:szCs w:val="24"/>
          <w:vertAlign w:val="superscript"/>
          <w:lang w:val="fr-FR"/>
        </w:rPr>
        <w:t>1</w:t>
      </w:r>
    </w:p>
    <w:p w:rsidR="00271A5F" w:rsidRPr="00BD11B5" w:rsidRDefault="00271A5F" w:rsidP="00271A5F">
      <w:pPr>
        <w:numPr>
          <w:ilvl w:val="0"/>
          <w:numId w:val="30"/>
        </w:numPr>
        <w:jc w:val="both"/>
        <w:rPr>
          <w:b/>
          <w:sz w:val="24"/>
          <w:szCs w:val="24"/>
          <w:lang w:val="fr-FR"/>
        </w:rPr>
      </w:pPr>
      <w:r w:rsidRPr="00BD11B5">
        <w:rPr>
          <w:b/>
          <w:sz w:val="24"/>
          <w:szCs w:val="24"/>
          <w:lang w:val="fr-FR"/>
        </w:rPr>
        <w:t xml:space="preserve">Rapporteur spécial sur la situation des droits de l’homme au Myanmar </w:t>
      </w:r>
      <w:r w:rsidRPr="00BD11B5">
        <w:rPr>
          <w:sz w:val="24"/>
          <w:szCs w:val="24"/>
          <w:lang w:val="fr-FR"/>
        </w:rPr>
        <w:t>[</w:t>
      </w:r>
      <w:hyperlink r:id="rId23" w:history="1">
        <w:r w:rsidRPr="00BD11B5">
          <w:rPr>
            <w:rStyle w:val="Hyperlink"/>
            <w:sz w:val="24"/>
            <w:szCs w:val="24"/>
            <w:lang w:val="fr-FR"/>
          </w:rPr>
          <w:t xml:space="preserve">HRC </w:t>
        </w:r>
        <w:proofErr w:type="spellStart"/>
        <w:r w:rsidRPr="00BD11B5">
          <w:rPr>
            <w:rStyle w:val="Hyperlink"/>
            <w:sz w:val="24"/>
            <w:szCs w:val="24"/>
            <w:lang w:val="fr-FR"/>
          </w:rPr>
          <w:t>res</w:t>
        </w:r>
        <w:proofErr w:type="spellEnd"/>
        <w:r w:rsidRPr="00BD11B5">
          <w:rPr>
            <w:rStyle w:val="Hyperlink"/>
            <w:sz w:val="24"/>
            <w:szCs w:val="24"/>
            <w:lang w:val="fr-FR"/>
          </w:rPr>
          <w:t>. 40/29</w:t>
        </w:r>
      </w:hyperlink>
      <w:r w:rsidRPr="00BD11B5">
        <w:rPr>
          <w:sz w:val="24"/>
          <w:szCs w:val="24"/>
          <w:lang w:val="fr-FR"/>
        </w:rPr>
        <w:t>]</w:t>
      </w:r>
      <w:r w:rsidRPr="00BD11B5">
        <w:rPr>
          <w:sz w:val="24"/>
          <w:szCs w:val="24"/>
          <w:vertAlign w:val="superscript"/>
          <w:lang w:val="fr-FR"/>
        </w:rPr>
        <w:t>1</w:t>
      </w:r>
    </w:p>
    <w:p w:rsidR="00271A5F" w:rsidRDefault="00271A5F" w:rsidP="00271A5F">
      <w:pPr>
        <w:shd w:val="clear" w:color="auto" w:fill="FFFFFF"/>
        <w:outlineLvl w:val="3"/>
        <w:rPr>
          <w:b/>
          <w:bCs/>
          <w:sz w:val="24"/>
          <w:szCs w:val="24"/>
          <w:lang w:val="fr-FR" w:eastAsia="en-GB"/>
        </w:rPr>
      </w:pPr>
    </w:p>
    <w:p w:rsidR="00271A5F" w:rsidRDefault="00271A5F" w:rsidP="00271A5F">
      <w:pPr>
        <w:shd w:val="clear" w:color="auto" w:fill="FFFFFF"/>
        <w:outlineLvl w:val="3"/>
        <w:rPr>
          <w:b/>
          <w:bCs/>
          <w:sz w:val="24"/>
          <w:szCs w:val="24"/>
          <w:lang w:val="fr-FR" w:eastAsia="en-GB"/>
        </w:rPr>
      </w:pPr>
    </w:p>
    <w:p w:rsidR="00271A5F" w:rsidRDefault="00271A5F" w:rsidP="00271A5F">
      <w:pPr>
        <w:shd w:val="clear" w:color="auto" w:fill="FFFFFF"/>
        <w:outlineLvl w:val="3"/>
        <w:rPr>
          <w:b/>
          <w:bCs/>
          <w:sz w:val="24"/>
          <w:szCs w:val="24"/>
          <w:lang w:val="fr-FR" w:eastAsia="en-GB"/>
        </w:rPr>
      </w:pPr>
    </w:p>
    <w:p w:rsidR="00271A5F" w:rsidRPr="00BD11B5" w:rsidRDefault="00271A5F" w:rsidP="00271A5F">
      <w:pPr>
        <w:shd w:val="clear" w:color="auto" w:fill="FFFFFF"/>
        <w:outlineLvl w:val="3"/>
        <w:rPr>
          <w:b/>
          <w:bCs/>
          <w:sz w:val="24"/>
          <w:szCs w:val="24"/>
          <w:lang w:val="fr-FR" w:eastAsia="en-GB"/>
        </w:rPr>
      </w:pPr>
      <w:r w:rsidRPr="00BD11B5">
        <w:rPr>
          <w:sz w:val="22"/>
          <w:szCs w:val="22"/>
          <w:vertAlign w:val="superscript"/>
          <w:lang w:val="fr-CH"/>
        </w:rPr>
        <w:t>1</w:t>
      </w:r>
      <w:r>
        <w:rPr>
          <w:sz w:val="22"/>
          <w:szCs w:val="22"/>
          <w:lang w:val="fr-CH"/>
        </w:rPr>
        <w:t xml:space="preserve"> </w:t>
      </w:r>
      <w:r w:rsidRPr="0081151B">
        <w:rPr>
          <w:sz w:val="22"/>
          <w:szCs w:val="22"/>
          <w:lang w:val="fr-CH"/>
        </w:rPr>
        <w:t>La nomination des titulaires de mandats se fera dans la mesure où les mandats concernés seront renouvelés par le Conseil des droits de l’homme.</w:t>
      </w:r>
    </w:p>
    <w:p w:rsidR="00271A5F" w:rsidRPr="00BD11B5" w:rsidRDefault="00271A5F" w:rsidP="00271A5F">
      <w:pPr>
        <w:ind w:firstLine="851"/>
        <w:jc w:val="both"/>
        <w:rPr>
          <w:sz w:val="24"/>
          <w:szCs w:val="24"/>
          <w:lang w:val="fr-FR"/>
        </w:rPr>
      </w:pPr>
      <w:r w:rsidRPr="00BD11B5">
        <w:rPr>
          <w:sz w:val="24"/>
          <w:szCs w:val="24"/>
          <w:lang w:val="fr-FR"/>
        </w:rPr>
        <w:t xml:space="preserve">Les candidatures individuelles, comprenant une lettre de motivation, devront être soumises et reçues au plus tard </w:t>
      </w:r>
      <w:r w:rsidRPr="00BD11B5">
        <w:rPr>
          <w:b/>
          <w:sz w:val="24"/>
          <w:szCs w:val="24"/>
          <w:u w:val="single"/>
          <w:lang w:val="fr-FR"/>
        </w:rPr>
        <w:t>le 17 octobre 2019 (midi temps moyen de Greenwich / GMT)</w:t>
      </w:r>
      <w:r w:rsidRPr="00BD11B5">
        <w:rPr>
          <w:sz w:val="24"/>
          <w:szCs w:val="24"/>
          <w:lang w:val="fr-FR"/>
        </w:rPr>
        <w:t xml:space="preserve"> via la procédure de candidature en ligne, comprenant (1) un questionnaire à remplir sur internet et (2) un formulaire en format Word à télécharger. </w:t>
      </w:r>
      <w:r w:rsidRPr="00BD11B5">
        <w:rPr>
          <w:rStyle w:val="hps"/>
          <w:sz w:val="24"/>
          <w:szCs w:val="24"/>
          <w:lang w:val="fr-FR"/>
        </w:rPr>
        <w:t>Des informations</w:t>
      </w:r>
      <w:r w:rsidRPr="00BD11B5">
        <w:rPr>
          <w:sz w:val="24"/>
          <w:szCs w:val="24"/>
          <w:lang w:val="fr-FR"/>
        </w:rPr>
        <w:t xml:space="preserve"> supplémentaires concernant la sélection et la nomination des titulaires de mandats sont disponibles au lien électronique suivant : </w:t>
      </w:r>
    </w:p>
    <w:p w:rsidR="00271A5F" w:rsidRPr="00BD11B5" w:rsidRDefault="00271A5F" w:rsidP="00271A5F">
      <w:pPr>
        <w:spacing w:after="120"/>
        <w:jc w:val="both"/>
        <w:rPr>
          <w:sz w:val="24"/>
          <w:szCs w:val="24"/>
          <w:lang w:val="fr-FR"/>
        </w:rPr>
      </w:pPr>
      <w:hyperlink r:id="rId24" w:history="1">
        <w:r w:rsidRPr="00BD11B5">
          <w:rPr>
            <w:rStyle w:val="Hyperlink"/>
            <w:sz w:val="24"/>
            <w:szCs w:val="24"/>
            <w:lang w:val="fr-FR"/>
          </w:rPr>
          <w:t>http://www.ohchr.org/EN/HRBodies/HRC/SP/Pages/Nominations.aspx</w:t>
        </w:r>
      </w:hyperlink>
      <w:r w:rsidRPr="00BD11B5">
        <w:rPr>
          <w:sz w:val="24"/>
          <w:szCs w:val="24"/>
          <w:lang w:val="fr-FR"/>
        </w:rPr>
        <w:t xml:space="preserve"> </w:t>
      </w:r>
    </w:p>
    <w:p w:rsidR="00271A5F" w:rsidRPr="00BD11B5" w:rsidRDefault="00271A5F" w:rsidP="00271A5F">
      <w:pPr>
        <w:spacing w:after="120"/>
        <w:ind w:firstLine="851"/>
        <w:rPr>
          <w:color w:val="000000"/>
          <w:sz w:val="24"/>
          <w:szCs w:val="24"/>
          <w:lang w:val="fr-FR"/>
        </w:rPr>
      </w:pPr>
      <w:r w:rsidRPr="00BD11B5">
        <w:rPr>
          <w:sz w:val="24"/>
          <w:szCs w:val="24"/>
          <w:lang w:val="fr-FR"/>
        </w:rPr>
        <w:t xml:space="preserve">En cas de problèmes techniques, le Secrétariat peut être contacté par courrier électronique à </w:t>
      </w:r>
      <w:hyperlink r:id="rId25" w:history="1">
        <w:r w:rsidRPr="00BD11B5">
          <w:rPr>
            <w:rStyle w:val="Hyperlink"/>
            <w:sz w:val="24"/>
            <w:szCs w:val="24"/>
            <w:lang w:val="fr-FR"/>
          </w:rPr>
          <w:t>hrcspecialprocedures@ohchr.org</w:t>
        </w:r>
      </w:hyperlink>
      <w:r w:rsidRPr="00BD11B5">
        <w:rPr>
          <w:color w:val="000000"/>
          <w:sz w:val="24"/>
          <w:szCs w:val="24"/>
          <w:lang w:val="fr-FR"/>
        </w:rPr>
        <w:t>.</w:t>
      </w:r>
    </w:p>
    <w:p w:rsidR="00271A5F" w:rsidRPr="00BD11B5" w:rsidRDefault="00271A5F" w:rsidP="00271A5F">
      <w:pPr>
        <w:spacing w:after="120"/>
        <w:ind w:firstLine="851"/>
        <w:jc w:val="both"/>
        <w:rPr>
          <w:sz w:val="24"/>
          <w:szCs w:val="24"/>
          <w:lang w:val="fr-FR"/>
        </w:rPr>
      </w:pPr>
      <w:r w:rsidRPr="00BD11B5">
        <w:rPr>
          <w:sz w:val="24"/>
          <w:szCs w:val="24"/>
          <w:lang w:val="fr-FR"/>
        </w:rPr>
        <w:t>Le Secrétariat du Conseil des droits de l’homme saisit cette occasion pour présenter à toutes les Missions permanentes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271A5F" w:rsidRDefault="00271A5F" w:rsidP="00271A5F">
      <w:pPr>
        <w:spacing w:before="240" w:after="120"/>
        <w:jc w:val="right"/>
        <w:rPr>
          <w:sz w:val="24"/>
          <w:szCs w:val="24"/>
          <w:lang w:val="fr-FR"/>
        </w:rPr>
      </w:pPr>
    </w:p>
    <w:p w:rsidR="00271A5F" w:rsidRPr="00BD11B5" w:rsidRDefault="00271A5F" w:rsidP="00271A5F">
      <w:pPr>
        <w:spacing w:before="240" w:after="120"/>
        <w:jc w:val="right"/>
        <w:rPr>
          <w:sz w:val="24"/>
          <w:szCs w:val="24"/>
          <w:lang w:val="fr-FR"/>
        </w:rPr>
      </w:pPr>
      <w:r w:rsidRPr="00BD11B5">
        <w:rPr>
          <w:sz w:val="24"/>
          <w:szCs w:val="24"/>
          <w:lang w:val="fr-FR"/>
        </w:rPr>
        <w:t>6 septembre 2019</w:t>
      </w:r>
    </w:p>
    <w:p w:rsidR="00C62BA0" w:rsidRPr="00C62BA0" w:rsidRDefault="00C62BA0" w:rsidP="00C62BA0">
      <w:pPr>
        <w:spacing w:line="240" w:lineRule="atLeast"/>
        <w:rPr>
          <w:sz w:val="24"/>
          <w:szCs w:val="24"/>
          <w:lang w:val="fr-FR"/>
        </w:rPr>
      </w:pPr>
      <w:bookmarkStart w:id="0" w:name="_GoBack"/>
      <w:bookmarkEnd w:id="0"/>
    </w:p>
    <w:sectPr w:rsidR="00C62BA0" w:rsidRPr="00C62BA0" w:rsidSect="0097060F">
      <w:headerReference w:type="default" r:id="rId26"/>
      <w:footerReference w:type="default" r:id="rId27"/>
      <w:headerReference w:type="first" r:id="rId28"/>
      <w:pgSz w:w="11906" w:h="16838" w:code="9"/>
      <w:pgMar w:top="579" w:right="1558"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15:restartNumberingAfterBreak="0">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41772BD4"/>
    <w:multiLevelType w:val="hybridMultilevel"/>
    <w:tmpl w:val="E5C41CB0"/>
    <w:lvl w:ilvl="0" w:tplc="08526DC4">
      <w:start w:val="1"/>
      <w:numFmt w:val="decimal"/>
      <w:lvlText w:val="%1."/>
      <w:lvlJc w:val="left"/>
      <w:pPr>
        <w:ind w:left="360" w:hanging="360"/>
      </w:pPr>
      <w:rPr>
        <w:b w:val="0"/>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9"/>
  </w:num>
  <w:num w:numId="3">
    <w:abstractNumId w:val="22"/>
  </w:num>
  <w:num w:numId="4">
    <w:abstractNumId w:val="9"/>
  </w:num>
  <w:num w:numId="5">
    <w:abstractNumId w:val="23"/>
  </w:num>
  <w:num w:numId="6">
    <w:abstractNumId w:val="12"/>
  </w:num>
  <w:num w:numId="7">
    <w:abstractNumId w:val="2"/>
  </w:num>
  <w:num w:numId="8">
    <w:abstractNumId w:val="13"/>
  </w:num>
  <w:num w:numId="9">
    <w:abstractNumId w:val="3"/>
  </w:num>
  <w:num w:numId="10">
    <w:abstractNumId w:val="1"/>
  </w:num>
  <w:num w:numId="11">
    <w:abstractNumId w:val="11"/>
  </w:num>
  <w:num w:numId="12">
    <w:abstractNumId w:val="26"/>
  </w:num>
  <w:num w:numId="13">
    <w:abstractNumId w:val="28"/>
  </w:num>
  <w:num w:numId="14">
    <w:abstractNumId w:val="18"/>
  </w:num>
  <w:num w:numId="15">
    <w:abstractNumId w:val="6"/>
  </w:num>
  <w:num w:numId="16">
    <w:abstractNumId w:val="0"/>
  </w:num>
  <w:num w:numId="17">
    <w:abstractNumId w:val="25"/>
  </w:num>
  <w:num w:numId="18">
    <w:abstractNumId w:val="7"/>
  </w:num>
  <w:num w:numId="19">
    <w:abstractNumId w:val="16"/>
  </w:num>
  <w:num w:numId="20">
    <w:abstractNumId w:val="4"/>
  </w:num>
  <w:num w:numId="21">
    <w:abstractNumId w:val="24"/>
  </w:num>
  <w:num w:numId="22">
    <w:abstractNumId w:val="21"/>
  </w:num>
  <w:num w:numId="23">
    <w:abstractNumId w:val="5"/>
  </w:num>
  <w:num w:numId="24">
    <w:abstractNumId w:val="10"/>
  </w:num>
  <w:num w:numId="25">
    <w:abstractNumId w:val="17"/>
  </w:num>
  <w:num w:numId="26">
    <w:abstractNumId w:val="27"/>
  </w:num>
  <w:num w:numId="27">
    <w:abstractNumId w:val="20"/>
  </w:num>
  <w:num w:numId="28">
    <w:abstractNumId w:val="15"/>
  </w:num>
  <w:num w:numId="29">
    <w:abstractNumId w:val="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160F"/>
    <w:rsid w:val="000138F6"/>
    <w:rsid w:val="0001629C"/>
    <w:rsid w:val="00026D1F"/>
    <w:rsid w:val="0007203A"/>
    <w:rsid w:val="00077294"/>
    <w:rsid w:val="0008479D"/>
    <w:rsid w:val="000875C6"/>
    <w:rsid w:val="000A2B89"/>
    <w:rsid w:val="000A6F03"/>
    <w:rsid w:val="000C645C"/>
    <w:rsid w:val="000C6BB9"/>
    <w:rsid w:val="000D34F2"/>
    <w:rsid w:val="000E42EE"/>
    <w:rsid w:val="00106F64"/>
    <w:rsid w:val="00115798"/>
    <w:rsid w:val="001205D6"/>
    <w:rsid w:val="00125DF9"/>
    <w:rsid w:val="00126D6E"/>
    <w:rsid w:val="00126F94"/>
    <w:rsid w:val="001351B6"/>
    <w:rsid w:val="0015594B"/>
    <w:rsid w:val="0015719C"/>
    <w:rsid w:val="00170F4C"/>
    <w:rsid w:val="00194332"/>
    <w:rsid w:val="001A464B"/>
    <w:rsid w:val="001C1756"/>
    <w:rsid w:val="001E1761"/>
    <w:rsid w:val="001E3384"/>
    <w:rsid w:val="00201642"/>
    <w:rsid w:val="002028A9"/>
    <w:rsid w:val="0021296A"/>
    <w:rsid w:val="00221893"/>
    <w:rsid w:val="00223646"/>
    <w:rsid w:val="00227E2F"/>
    <w:rsid w:val="002354A1"/>
    <w:rsid w:val="00235A1A"/>
    <w:rsid w:val="002431DB"/>
    <w:rsid w:val="0025174E"/>
    <w:rsid w:val="002629C4"/>
    <w:rsid w:val="002660CB"/>
    <w:rsid w:val="00266699"/>
    <w:rsid w:val="00271A5F"/>
    <w:rsid w:val="002853F7"/>
    <w:rsid w:val="0028624E"/>
    <w:rsid w:val="002863A2"/>
    <w:rsid w:val="0029436F"/>
    <w:rsid w:val="00297767"/>
    <w:rsid w:val="002A05A2"/>
    <w:rsid w:val="002D0974"/>
    <w:rsid w:val="002E65F4"/>
    <w:rsid w:val="002E7F2E"/>
    <w:rsid w:val="002F004B"/>
    <w:rsid w:val="002F5916"/>
    <w:rsid w:val="00307392"/>
    <w:rsid w:val="00311E91"/>
    <w:rsid w:val="00335FB9"/>
    <w:rsid w:val="00336C0E"/>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10B0"/>
    <w:rsid w:val="00695E57"/>
    <w:rsid w:val="006A3D58"/>
    <w:rsid w:val="006B1101"/>
    <w:rsid w:val="006B5A71"/>
    <w:rsid w:val="006C250F"/>
    <w:rsid w:val="006F790C"/>
    <w:rsid w:val="007024CA"/>
    <w:rsid w:val="00707890"/>
    <w:rsid w:val="007109CC"/>
    <w:rsid w:val="00711852"/>
    <w:rsid w:val="00712363"/>
    <w:rsid w:val="007210F6"/>
    <w:rsid w:val="00723438"/>
    <w:rsid w:val="00733660"/>
    <w:rsid w:val="00740386"/>
    <w:rsid w:val="00741EBC"/>
    <w:rsid w:val="00742436"/>
    <w:rsid w:val="007432E5"/>
    <w:rsid w:val="007442C9"/>
    <w:rsid w:val="007450E8"/>
    <w:rsid w:val="00751D17"/>
    <w:rsid w:val="00771EB2"/>
    <w:rsid w:val="00776BDB"/>
    <w:rsid w:val="00790CBE"/>
    <w:rsid w:val="007A4E2E"/>
    <w:rsid w:val="007C0C2A"/>
    <w:rsid w:val="007C4A8E"/>
    <w:rsid w:val="007C5EE5"/>
    <w:rsid w:val="007D1657"/>
    <w:rsid w:val="007E1D64"/>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71C9"/>
    <w:rsid w:val="008774E3"/>
    <w:rsid w:val="008825FC"/>
    <w:rsid w:val="00883DC4"/>
    <w:rsid w:val="00885AAD"/>
    <w:rsid w:val="00892BAB"/>
    <w:rsid w:val="008A1038"/>
    <w:rsid w:val="008A487D"/>
    <w:rsid w:val="008A7744"/>
    <w:rsid w:val="008B3041"/>
    <w:rsid w:val="008B4DD7"/>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F2F"/>
    <w:rsid w:val="00994409"/>
    <w:rsid w:val="00996E9F"/>
    <w:rsid w:val="009976A3"/>
    <w:rsid w:val="009A4B7B"/>
    <w:rsid w:val="009A5475"/>
    <w:rsid w:val="009B459A"/>
    <w:rsid w:val="009D76A9"/>
    <w:rsid w:val="009D77A2"/>
    <w:rsid w:val="009F18EC"/>
    <w:rsid w:val="009F2043"/>
    <w:rsid w:val="009F4ED2"/>
    <w:rsid w:val="00A01741"/>
    <w:rsid w:val="00A209BE"/>
    <w:rsid w:val="00A21EF1"/>
    <w:rsid w:val="00A33305"/>
    <w:rsid w:val="00A34DA7"/>
    <w:rsid w:val="00A3761B"/>
    <w:rsid w:val="00A439B9"/>
    <w:rsid w:val="00A47A2D"/>
    <w:rsid w:val="00A54482"/>
    <w:rsid w:val="00A61E26"/>
    <w:rsid w:val="00A63977"/>
    <w:rsid w:val="00A81C76"/>
    <w:rsid w:val="00A86B19"/>
    <w:rsid w:val="00A92069"/>
    <w:rsid w:val="00AB5F60"/>
    <w:rsid w:val="00AC50E4"/>
    <w:rsid w:val="00AD3704"/>
    <w:rsid w:val="00AD4CA9"/>
    <w:rsid w:val="00AE0B5D"/>
    <w:rsid w:val="00AF291B"/>
    <w:rsid w:val="00AF601D"/>
    <w:rsid w:val="00B022FE"/>
    <w:rsid w:val="00B04529"/>
    <w:rsid w:val="00B14752"/>
    <w:rsid w:val="00B42B30"/>
    <w:rsid w:val="00B44460"/>
    <w:rsid w:val="00B458F6"/>
    <w:rsid w:val="00B46E7C"/>
    <w:rsid w:val="00B54DD5"/>
    <w:rsid w:val="00B7425B"/>
    <w:rsid w:val="00B74361"/>
    <w:rsid w:val="00B814E1"/>
    <w:rsid w:val="00B84F46"/>
    <w:rsid w:val="00BA597F"/>
    <w:rsid w:val="00BD20FE"/>
    <w:rsid w:val="00BD6119"/>
    <w:rsid w:val="00BE0AC9"/>
    <w:rsid w:val="00BE380F"/>
    <w:rsid w:val="00BF0D31"/>
    <w:rsid w:val="00C12BED"/>
    <w:rsid w:val="00C133AD"/>
    <w:rsid w:val="00C162CB"/>
    <w:rsid w:val="00C23DDD"/>
    <w:rsid w:val="00C35851"/>
    <w:rsid w:val="00C360B8"/>
    <w:rsid w:val="00C37F77"/>
    <w:rsid w:val="00C47340"/>
    <w:rsid w:val="00C5774F"/>
    <w:rsid w:val="00C62873"/>
    <w:rsid w:val="00C62BA0"/>
    <w:rsid w:val="00C64254"/>
    <w:rsid w:val="00C74811"/>
    <w:rsid w:val="00C75E1A"/>
    <w:rsid w:val="00C772EF"/>
    <w:rsid w:val="00C77F58"/>
    <w:rsid w:val="00C82CCE"/>
    <w:rsid w:val="00CA49CB"/>
    <w:rsid w:val="00CA67DC"/>
    <w:rsid w:val="00CB1C6E"/>
    <w:rsid w:val="00CC5BEF"/>
    <w:rsid w:val="00CE507C"/>
    <w:rsid w:val="00CF0445"/>
    <w:rsid w:val="00CF32A0"/>
    <w:rsid w:val="00D00DDC"/>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A7966"/>
    <w:rsid w:val="00DB5616"/>
    <w:rsid w:val="00DC3799"/>
    <w:rsid w:val="00DD1A77"/>
    <w:rsid w:val="00DD32B4"/>
    <w:rsid w:val="00DD4909"/>
    <w:rsid w:val="00DE35CD"/>
    <w:rsid w:val="00DE3CFC"/>
    <w:rsid w:val="00DF58CC"/>
    <w:rsid w:val="00E05430"/>
    <w:rsid w:val="00E15347"/>
    <w:rsid w:val="00E23FC8"/>
    <w:rsid w:val="00E60057"/>
    <w:rsid w:val="00E679E8"/>
    <w:rsid w:val="00EA6B3E"/>
    <w:rsid w:val="00EA6E5A"/>
    <w:rsid w:val="00EB773F"/>
    <w:rsid w:val="00EE5BA8"/>
    <w:rsid w:val="00F006B5"/>
    <w:rsid w:val="00F2678A"/>
    <w:rsid w:val="00F26DC9"/>
    <w:rsid w:val="00F33FC2"/>
    <w:rsid w:val="00F44F23"/>
    <w:rsid w:val="00F46337"/>
    <w:rsid w:val="00F47B64"/>
    <w:rsid w:val="00F54784"/>
    <w:rsid w:val="00F611C6"/>
    <w:rsid w:val="00F80A14"/>
    <w:rsid w:val="00F80D28"/>
    <w:rsid w:val="00F84B6F"/>
    <w:rsid w:val="00F94D92"/>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BC9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docs.org/A/HRC/RES/34/3" TargetMode="External"/><Relationship Id="rId18" Type="http://schemas.openxmlformats.org/officeDocument/2006/relationships/hyperlink" Target="http://undocs.org/A/HRC/RES/35/1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undocs.org/A/HRC/RES/34/16" TargetMode="External"/><Relationship Id="rId7" Type="http://schemas.openxmlformats.org/officeDocument/2006/relationships/settings" Target="settings.xml"/><Relationship Id="rId12" Type="http://schemas.openxmlformats.org/officeDocument/2006/relationships/hyperlink" Target="http://undocs.org/A/HRC/RES/33/25" TargetMode="External"/><Relationship Id="rId17" Type="http://schemas.openxmlformats.org/officeDocument/2006/relationships/hyperlink" Target="http://undocs.org/A/HRC/RES/33/1" TargetMode="External"/><Relationship Id="rId25"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undocs.org/A/HRC/RES/34/9" TargetMode="External"/><Relationship Id="rId20" Type="http://schemas.openxmlformats.org/officeDocument/2006/relationships/hyperlink" Target="http://undocs.org/A/HRC/RES/33/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docs.org/A/HRC/RES/33/25" TargetMode="External"/><Relationship Id="rId24" Type="http://schemas.openxmlformats.org/officeDocument/2006/relationships/hyperlink" Target="http://www.ohchr.org/EN/HRBodies/HRC/SP/Pages/Nominations.aspx" TargetMode="External"/><Relationship Id="rId5" Type="http://schemas.openxmlformats.org/officeDocument/2006/relationships/numbering" Target="numbering.xml"/><Relationship Id="rId15" Type="http://schemas.openxmlformats.org/officeDocument/2006/relationships/hyperlink" Target="http://undocs.org/A/HRC/RES/39/23" TargetMode="External"/><Relationship Id="rId23" Type="http://schemas.openxmlformats.org/officeDocument/2006/relationships/hyperlink" Target="http://undocs.org/A/HRC/RES/40/29"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undocs.org/A/HRC/RES/4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ndocs.org/A/HRC/RES/33/5" TargetMode="External"/><Relationship Id="rId22" Type="http://schemas.openxmlformats.org/officeDocument/2006/relationships/hyperlink" Target="http://undocs.org/A/HRC/RES/34/5"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A4FFF-CCCC-41D1-B4E1-358A0F8C9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4E6C7-6A3F-45B3-B8B1-8F570A58D576}">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CCC1DF1E-F625-4967-89A2-7CB8595183A0}">
  <ds:schemaRefs>
    <ds:schemaRef ds:uri="http://schemas.microsoft.com/sharepoint/v3/contenttype/forms"/>
  </ds:schemaRefs>
</ds:datastoreItem>
</file>

<file path=customXml/itemProps4.xml><?xml version="1.0" encoding="utf-8"?>
<ds:datastoreItem xmlns:ds="http://schemas.openxmlformats.org/officeDocument/2006/customXml" ds:itemID="{671B80B0-8862-4C0D-927A-AB4ADECB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4179</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2019-09-06T15:25:00Z</dcterms:created>
  <dcterms:modified xsi:type="dcterms:W3CDTF">2019-09-06T15:26:00Z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