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6F179" w14:textId="77777777" w:rsidR="00287800" w:rsidRPr="00D56E93" w:rsidRDefault="00287800" w:rsidP="00287800">
      <w:pPr>
        <w:spacing w:before="120" w:after="120" w:line="240" w:lineRule="auto"/>
        <w:jc w:val="center"/>
        <w:rPr>
          <w:b/>
          <w:sz w:val="26"/>
          <w:szCs w:val="26"/>
          <w:lang w:val="en-GB"/>
        </w:rPr>
      </w:pPr>
      <w:bookmarkStart w:id="0" w:name="_GoBack"/>
      <w:bookmarkEnd w:id="0"/>
    </w:p>
    <w:p w14:paraId="28EAA053" w14:textId="77777777" w:rsidR="00A95F9B" w:rsidRPr="00D56E93" w:rsidRDefault="004D67CC" w:rsidP="00287800">
      <w:pPr>
        <w:spacing w:before="120" w:after="120" w:line="240" w:lineRule="auto"/>
        <w:jc w:val="center"/>
        <w:rPr>
          <w:b/>
          <w:sz w:val="26"/>
          <w:szCs w:val="26"/>
          <w:lang w:val="en-GB"/>
        </w:rPr>
      </w:pPr>
      <w:r w:rsidRPr="00D56E93">
        <w:rPr>
          <w:b/>
          <w:sz w:val="26"/>
          <w:szCs w:val="26"/>
          <w:lang w:val="en-GB"/>
        </w:rPr>
        <w:t>R</w:t>
      </w:r>
      <w:r w:rsidR="00480654" w:rsidRPr="00D56E93">
        <w:rPr>
          <w:b/>
          <w:sz w:val="26"/>
          <w:szCs w:val="26"/>
          <w:lang w:val="en-GB"/>
        </w:rPr>
        <w:t>ecommendations for</w:t>
      </w:r>
      <w:r w:rsidR="00FA5668" w:rsidRPr="00D56E93">
        <w:rPr>
          <w:b/>
          <w:sz w:val="26"/>
          <w:szCs w:val="26"/>
          <w:lang w:val="en-GB"/>
        </w:rPr>
        <w:t xml:space="preserve"> how to improve access and simplify reporting for Small States</w:t>
      </w:r>
    </w:p>
    <w:p w14:paraId="4C15632C" w14:textId="77777777" w:rsidR="004D67CC" w:rsidRPr="00D56E93" w:rsidRDefault="004D67CC" w:rsidP="00287800">
      <w:pPr>
        <w:spacing w:before="120" w:after="120" w:line="240" w:lineRule="auto"/>
        <w:jc w:val="center"/>
        <w:rPr>
          <w:b/>
          <w:sz w:val="26"/>
          <w:szCs w:val="26"/>
          <w:lang w:val="en-GB"/>
        </w:rPr>
      </w:pPr>
    </w:p>
    <w:p w14:paraId="6B8A72B6" w14:textId="77777777" w:rsidR="004D67CC" w:rsidRPr="00D56E93" w:rsidRDefault="004D67CC" w:rsidP="00287800">
      <w:pPr>
        <w:spacing w:before="120" w:after="120" w:line="240" w:lineRule="auto"/>
        <w:jc w:val="center"/>
        <w:rPr>
          <w:b/>
          <w:sz w:val="26"/>
          <w:szCs w:val="26"/>
          <w:lang w:val="en-GB"/>
        </w:rPr>
      </w:pPr>
      <w:r w:rsidRPr="00D56E93">
        <w:rPr>
          <w:b/>
          <w:sz w:val="26"/>
          <w:szCs w:val="26"/>
          <w:lang w:val="en-GB"/>
        </w:rPr>
        <w:t>Non-paper for discussion with the UN Committee against Torture</w:t>
      </w:r>
    </w:p>
    <w:p w14:paraId="395FA741" w14:textId="00A28965" w:rsidR="001235C5" w:rsidRPr="00D56E93" w:rsidRDefault="009205E3" w:rsidP="00287800">
      <w:pPr>
        <w:spacing w:before="120" w:after="120" w:line="240" w:lineRule="auto"/>
        <w:jc w:val="center"/>
        <w:rPr>
          <w:b/>
          <w:sz w:val="26"/>
          <w:szCs w:val="26"/>
          <w:lang w:val="en-GB"/>
        </w:rPr>
      </w:pPr>
      <w:r>
        <w:rPr>
          <w:b/>
          <w:sz w:val="26"/>
          <w:szCs w:val="26"/>
          <w:lang w:val="en-GB"/>
        </w:rPr>
        <w:t>Response to the questionnaire in relation to General Assembly resolution 68/268</w:t>
      </w:r>
    </w:p>
    <w:p w14:paraId="25A03B43" w14:textId="77777777" w:rsidR="00287800" w:rsidRPr="00D56E93" w:rsidRDefault="00287800" w:rsidP="00287800">
      <w:pPr>
        <w:spacing w:before="120" w:after="120" w:line="240" w:lineRule="auto"/>
        <w:jc w:val="center"/>
        <w:rPr>
          <w:b/>
          <w:sz w:val="26"/>
          <w:szCs w:val="26"/>
          <w:lang w:val="en-GB"/>
        </w:rPr>
      </w:pPr>
    </w:p>
    <w:p w14:paraId="0F0E3A3B" w14:textId="77777777" w:rsidR="00A95F9B" w:rsidRPr="00D56E93" w:rsidRDefault="00FA5668" w:rsidP="00F1596E">
      <w:pPr>
        <w:spacing w:before="120" w:after="120" w:line="240" w:lineRule="auto"/>
        <w:jc w:val="both"/>
        <w:rPr>
          <w:b/>
          <w:lang w:val="en-GB"/>
        </w:rPr>
      </w:pPr>
      <w:r w:rsidRPr="00D56E93">
        <w:rPr>
          <w:b/>
          <w:lang w:val="en-GB"/>
        </w:rPr>
        <w:t>Purpose</w:t>
      </w:r>
    </w:p>
    <w:p w14:paraId="2FDCA873" w14:textId="77777777" w:rsidR="00DD733C" w:rsidRPr="00D56E93" w:rsidRDefault="00480654" w:rsidP="00DD733C">
      <w:pPr>
        <w:pStyle w:val="ListParagraph"/>
        <w:numPr>
          <w:ilvl w:val="0"/>
          <w:numId w:val="2"/>
        </w:numPr>
        <w:spacing w:before="120" w:after="120" w:line="240" w:lineRule="auto"/>
        <w:ind w:left="360"/>
        <w:contextualSpacing w:val="0"/>
        <w:jc w:val="both"/>
        <w:rPr>
          <w:b/>
          <w:lang w:val="en-GB"/>
        </w:rPr>
      </w:pPr>
      <w:r w:rsidRPr="00D56E93">
        <w:rPr>
          <w:lang w:val="en-GB"/>
        </w:rPr>
        <w:t xml:space="preserve">This non-paper has been prepared with the purpose to offer some suggestions </w:t>
      </w:r>
      <w:r w:rsidR="0054122C" w:rsidRPr="00D56E93">
        <w:rPr>
          <w:lang w:val="en-GB"/>
        </w:rPr>
        <w:t xml:space="preserve">from Small States, taking into account their particular experiences and challenges, </w:t>
      </w:r>
      <w:r w:rsidRPr="00D56E93">
        <w:rPr>
          <w:lang w:val="en-GB"/>
        </w:rPr>
        <w:t>for the UN Committee against Torture</w:t>
      </w:r>
      <w:r w:rsidR="00EE3F66" w:rsidRPr="00D56E93">
        <w:rPr>
          <w:lang w:val="en-GB"/>
        </w:rPr>
        <w:t xml:space="preserve"> (CAT)</w:t>
      </w:r>
      <w:r w:rsidRPr="00D56E93">
        <w:rPr>
          <w:lang w:val="en-GB"/>
        </w:rPr>
        <w:t xml:space="preserve">, and for other </w:t>
      </w:r>
      <w:r w:rsidR="00C1432E" w:rsidRPr="00D56E93">
        <w:rPr>
          <w:lang w:val="en-GB"/>
        </w:rPr>
        <w:t>UN human rights Treaty Bodies (TBs)</w:t>
      </w:r>
      <w:r w:rsidRPr="00D56E93">
        <w:rPr>
          <w:lang w:val="en-GB"/>
        </w:rPr>
        <w:t xml:space="preserve"> as part of the 2020 treaty body reform process, on how to improve access and simplify reporting for Small States. </w:t>
      </w:r>
    </w:p>
    <w:p w14:paraId="3F371467" w14:textId="77777777" w:rsidR="00DD733C" w:rsidRPr="00D56E93" w:rsidRDefault="00DD733C" w:rsidP="00DD733C">
      <w:pPr>
        <w:spacing w:before="120" w:after="120" w:line="240" w:lineRule="auto"/>
        <w:jc w:val="both"/>
        <w:rPr>
          <w:b/>
          <w:lang w:val="en-GB"/>
        </w:rPr>
      </w:pPr>
      <w:r w:rsidRPr="00D56E93">
        <w:rPr>
          <w:b/>
          <w:lang w:val="en-GB"/>
        </w:rPr>
        <w:t>Background</w:t>
      </w:r>
    </w:p>
    <w:p w14:paraId="3F1677FA" w14:textId="77777777" w:rsidR="00DD733C" w:rsidRPr="00D56E93" w:rsidRDefault="00FA5668" w:rsidP="00DD733C">
      <w:pPr>
        <w:pStyle w:val="ListParagraph"/>
        <w:numPr>
          <w:ilvl w:val="0"/>
          <w:numId w:val="2"/>
        </w:numPr>
        <w:spacing w:before="120" w:after="120" w:line="240" w:lineRule="auto"/>
        <w:ind w:left="360"/>
        <w:contextualSpacing w:val="0"/>
        <w:jc w:val="both"/>
        <w:rPr>
          <w:b/>
          <w:lang w:val="en-GB"/>
        </w:rPr>
      </w:pPr>
      <w:r w:rsidRPr="00D56E93">
        <w:rPr>
          <w:lang w:val="en-GB"/>
        </w:rPr>
        <w:t xml:space="preserve">During the CTI’s annual briefing to the UN Committee against Torture in May 2018, </w:t>
      </w:r>
      <w:r w:rsidR="001235C5" w:rsidRPr="00D56E93">
        <w:rPr>
          <w:lang w:val="en-GB"/>
        </w:rPr>
        <w:t xml:space="preserve">the CTI Ambassadors </w:t>
      </w:r>
      <w:r w:rsidRPr="00D56E93">
        <w:rPr>
          <w:lang w:val="en-GB"/>
        </w:rPr>
        <w:t>mention</w:t>
      </w:r>
      <w:r w:rsidR="001235C5" w:rsidRPr="00D56E93">
        <w:rPr>
          <w:lang w:val="en-GB"/>
        </w:rPr>
        <w:t>ed</w:t>
      </w:r>
      <w:r w:rsidRPr="00D56E93">
        <w:rPr>
          <w:lang w:val="en-GB"/>
        </w:rPr>
        <w:t xml:space="preserve"> </w:t>
      </w:r>
      <w:r w:rsidR="00D518DB" w:rsidRPr="00D56E93">
        <w:rPr>
          <w:lang w:val="en-GB"/>
        </w:rPr>
        <w:t>the ‘reporting burden’</w:t>
      </w:r>
      <w:r w:rsidRPr="00D56E93">
        <w:rPr>
          <w:lang w:val="en-GB"/>
        </w:rPr>
        <w:t xml:space="preserve"> on Small States, in particular how the human and financial resource implications of reporting are regularly stated as the </w:t>
      </w:r>
      <w:r w:rsidR="001235C5" w:rsidRPr="00D56E93">
        <w:rPr>
          <w:lang w:val="en-GB"/>
        </w:rPr>
        <w:t>principal</w:t>
      </w:r>
      <w:r w:rsidRPr="00D56E93">
        <w:rPr>
          <w:lang w:val="en-GB"/>
        </w:rPr>
        <w:t xml:space="preserve"> reasons for </w:t>
      </w:r>
      <w:r w:rsidR="001235C5" w:rsidRPr="00D56E93">
        <w:rPr>
          <w:lang w:val="en-GB"/>
        </w:rPr>
        <w:t xml:space="preserve">States </w:t>
      </w:r>
      <w:r w:rsidRPr="00D56E93">
        <w:rPr>
          <w:lang w:val="en-GB"/>
        </w:rPr>
        <w:t>not</w:t>
      </w:r>
      <w:r w:rsidR="001235C5" w:rsidRPr="00D56E93">
        <w:rPr>
          <w:lang w:val="en-GB"/>
        </w:rPr>
        <w:t xml:space="preserve"> </w:t>
      </w:r>
      <w:r w:rsidRPr="00D56E93">
        <w:rPr>
          <w:lang w:val="en-GB"/>
        </w:rPr>
        <w:t>signing up t</w:t>
      </w:r>
      <w:r w:rsidR="00D3767D" w:rsidRPr="00D56E93">
        <w:rPr>
          <w:lang w:val="en-GB"/>
        </w:rPr>
        <w:t>o additional human rights treaties</w:t>
      </w:r>
      <w:r w:rsidRPr="00D56E93">
        <w:rPr>
          <w:lang w:val="en-GB"/>
        </w:rPr>
        <w:t>, including the UN Convention against Torture and Other Cruel, Inhuman or Degrading Treatment or Punishment (UNCAT)</w:t>
      </w:r>
      <w:r w:rsidR="001235C5" w:rsidRPr="00D56E93">
        <w:rPr>
          <w:lang w:val="en-GB"/>
        </w:rPr>
        <w:t>, and that reporting</w:t>
      </w:r>
      <w:r w:rsidRPr="00D56E93">
        <w:rPr>
          <w:lang w:val="en-GB"/>
        </w:rPr>
        <w:t xml:space="preserve"> often stood in the way of otherwise political willingness to ratify. Since the CTI started its work in 2014, reporting has been an important part of </w:t>
      </w:r>
      <w:r w:rsidR="00D518DB" w:rsidRPr="00D56E93">
        <w:rPr>
          <w:lang w:val="en-GB"/>
        </w:rPr>
        <w:t xml:space="preserve">CTI’s </w:t>
      </w:r>
      <w:r w:rsidRPr="00D56E93">
        <w:rPr>
          <w:lang w:val="en-GB"/>
        </w:rPr>
        <w:t xml:space="preserve">objectives </w:t>
      </w:r>
      <w:r w:rsidR="00D518DB" w:rsidRPr="00D56E93">
        <w:rPr>
          <w:lang w:val="en-GB"/>
        </w:rPr>
        <w:t>towards achieving universal ratification and active implementation of UNCAT</w:t>
      </w:r>
      <w:r w:rsidRPr="00D56E93">
        <w:rPr>
          <w:lang w:val="en-GB"/>
        </w:rPr>
        <w:t xml:space="preserve"> </w:t>
      </w:r>
      <w:r w:rsidR="00D518DB" w:rsidRPr="00D56E93">
        <w:rPr>
          <w:lang w:val="en-GB"/>
        </w:rPr>
        <w:t xml:space="preserve">by 2024.  </w:t>
      </w:r>
    </w:p>
    <w:p w14:paraId="5C059360" w14:textId="77777777" w:rsidR="00DD733C" w:rsidRPr="00D56E93" w:rsidRDefault="00D3767D" w:rsidP="00DD733C">
      <w:pPr>
        <w:pStyle w:val="ListParagraph"/>
        <w:numPr>
          <w:ilvl w:val="0"/>
          <w:numId w:val="2"/>
        </w:numPr>
        <w:spacing w:before="120" w:after="120" w:line="240" w:lineRule="auto"/>
        <w:ind w:left="360"/>
        <w:contextualSpacing w:val="0"/>
        <w:jc w:val="both"/>
        <w:rPr>
          <w:b/>
          <w:lang w:val="en-GB"/>
        </w:rPr>
      </w:pPr>
      <w:r w:rsidRPr="00D56E93">
        <w:rPr>
          <w:lang w:val="en-GB"/>
        </w:rPr>
        <w:t>T</w:t>
      </w:r>
      <w:r w:rsidR="00D518DB" w:rsidRPr="00D56E93">
        <w:rPr>
          <w:lang w:val="en-GB"/>
        </w:rPr>
        <w:t xml:space="preserve">he Committee against Torture </w:t>
      </w:r>
      <w:r w:rsidR="00FA5668" w:rsidRPr="00D56E93">
        <w:rPr>
          <w:lang w:val="en-GB"/>
        </w:rPr>
        <w:t xml:space="preserve">indicated it would welcome </w:t>
      </w:r>
      <w:r w:rsidR="001235C5" w:rsidRPr="00D56E93">
        <w:rPr>
          <w:lang w:val="en-GB"/>
        </w:rPr>
        <w:t xml:space="preserve">the views of Small States, to inform their own </w:t>
      </w:r>
      <w:r w:rsidR="00D518DB" w:rsidRPr="00D56E93">
        <w:rPr>
          <w:lang w:val="en-GB"/>
        </w:rPr>
        <w:t xml:space="preserve">procedures </w:t>
      </w:r>
      <w:r w:rsidR="001235C5" w:rsidRPr="00D56E93">
        <w:rPr>
          <w:lang w:val="en-GB"/>
        </w:rPr>
        <w:t xml:space="preserve">as well as the wider </w:t>
      </w:r>
      <w:r w:rsidR="005B260D" w:rsidRPr="00D56E93">
        <w:rPr>
          <w:lang w:val="en-GB"/>
        </w:rPr>
        <w:t>TB</w:t>
      </w:r>
      <w:r w:rsidR="001235C5" w:rsidRPr="00D56E93">
        <w:rPr>
          <w:lang w:val="en-GB"/>
        </w:rPr>
        <w:t xml:space="preserve"> reform process, with the hope </w:t>
      </w:r>
      <w:r w:rsidR="00D518DB" w:rsidRPr="00D56E93">
        <w:rPr>
          <w:lang w:val="en-GB"/>
        </w:rPr>
        <w:t>to encourage timely reporting</w:t>
      </w:r>
      <w:r w:rsidR="005B260D" w:rsidRPr="00D56E93">
        <w:rPr>
          <w:lang w:val="en-GB"/>
        </w:rPr>
        <w:t xml:space="preserve"> and to minimis</w:t>
      </w:r>
      <w:r w:rsidR="001235C5" w:rsidRPr="00D56E93">
        <w:rPr>
          <w:lang w:val="en-GB"/>
        </w:rPr>
        <w:t>e the inadvertent obstacles to additional ratifications</w:t>
      </w:r>
      <w:r w:rsidR="00D518DB" w:rsidRPr="00D56E93">
        <w:rPr>
          <w:lang w:val="en-GB"/>
        </w:rPr>
        <w:t xml:space="preserve">. </w:t>
      </w:r>
      <w:r w:rsidR="00480654" w:rsidRPr="00D56E93">
        <w:rPr>
          <w:lang w:val="en-GB"/>
        </w:rPr>
        <w:t>As o</w:t>
      </w:r>
      <w:r w:rsidR="001235C5" w:rsidRPr="00D56E93">
        <w:rPr>
          <w:lang w:val="en-GB"/>
        </w:rPr>
        <w:t>ver 50% of the non-States-parties to UNCAT are Small States (</w:t>
      </w:r>
      <w:r w:rsidR="005B260D" w:rsidRPr="00D56E93">
        <w:rPr>
          <w:lang w:val="en-GB"/>
        </w:rPr>
        <w:t>many of which</w:t>
      </w:r>
      <w:r w:rsidR="00805ED8" w:rsidRPr="00D56E93">
        <w:rPr>
          <w:lang w:val="en-GB"/>
        </w:rPr>
        <w:t xml:space="preserve"> S</w:t>
      </w:r>
      <w:r w:rsidR="00EE3F66" w:rsidRPr="00D56E93">
        <w:rPr>
          <w:lang w:val="en-GB"/>
        </w:rPr>
        <w:t xml:space="preserve">mall Island Developing States </w:t>
      </w:r>
      <w:r w:rsidR="005B260D" w:rsidRPr="00D56E93">
        <w:rPr>
          <w:lang w:val="en-GB"/>
        </w:rPr>
        <w:t>(SIDS)</w:t>
      </w:r>
      <w:r w:rsidR="00EE3F66" w:rsidRPr="00D56E93">
        <w:rPr>
          <w:lang w:val="en-GB"/>
        </w:rPr>
        <w:t xml:space="preserve"> </w:t>
      </w:r>
      <w:r w:rsidR="00805ED8" w:rsidRPr="00D56E93">
        <w:rPr>
          <w:lang w:val="en-GB"/>
        </w:rPr>
        <w:t>and</w:t>
      </w:r>
      <w:r w:rsidR="005B260D" w:rsidRPr="00D56E93">
        <w:rPr>
          <w:lang w:val="en-GB"/>
        </w:rPr>
        <w:t>/or</w:t>
      </w:r>
      <w:r w:rsidR="00805ED8" w:rsidRPr="00D56E93">
        <w:rPr>
          <w:lang w:val="en-GB"/>
        </w:rPr>
        <w:t xml:space="preserve"> </w:t>
      </w:r>
      <w:r w:rsidR="001235C5" w:rsidRPr="00D56E93">
        <w:rPr>
          <w:lang w:val="en-GB"/>
        </w:rPr>
        <w:t>L</w:t>
      </w:r>
      <w:r w:rsidR="00EE3F66" w:rsidRPr="00D56E93">
        <w:rPr>
          <w:lang w:val="en-GB"/>
        </w:rPr>
        <w:t xml:space="preserve">east Developed Countries </w:t>
      </w:r>
      <w:r w:rsidR="005B260D" w:rsidRPr="00D56E93">
        <w:rPr>
          <w:lang w:val="en-GB"/>
        </w:rPr>
        <w:t>(LDCs)</w:t>
      </w:r>
      <w:r w:rsidR="001235C5" w:rsidRPr="00D56E93">
        <w:rPr>
          <w:lang w:val="en-GB"/>
        </w:rPr>
        <w:t>)</w:t>
      </w:r>
      <w:r w:rsidR="00480654" w:rsidRPr="00D56E93">
        <w:rPr>
          <w:lang w:val="en-GB"/>
        </w:rPr>
        <w:t xml:space="preserve">, this is a fundamental </w:t>
      </w:r>
      <w:r w:rsidR="00355525" w:rsidRPr="00D56E93">
        <w:rPr>
          <w:lang w:val="en-GB"/>
        </w:rPr>
        <w:t xml:space="preserve">and recurring </w:t>
      </w:r>
      <w:r w:rsidR="00480654" w:rsidRPr="00D56E93">
        <w:rPr>
          <w:lang w:val="en-GB"/>
        </w:rPr>
        <w:t>issue</w:t>
      </w:r>
      <w:r w:rsidR="001235C5" w:rsidRPr="00D56E93">
        <w:rPr>
          <w:lang w:val="en-GB"/>
        </w:rPr>
        <w:t xml:space="preserve">. </w:t>
      </w:r>
    </w:p>
    <w:p w14:paraId="5CF3B6BF" w14:textId="77777777" w:rsidR="00DD733C" w:rsidRPr="00D56E93" w:rsidRDefault="00480654" w:rsidP="00DD733C">
      <w:pPr>
        <w:pStyle w:val="ListParagraph"/>
        <w:numPr>
          <w:ilvl w:val="0"/>
          <w:numId w:val="2"/>
        </w:numPr>
        <w:spacing w:before="120" w:after="120" w:line="240" w:lineRule="auto"/>
        <w:ind w:left="360"/>
        <w:contextualSpacing w:val="0"/>
        <w:jc w:val="both"/>
        <w:rPr>
          <w:b/>
          <w:lang w:val="en-GB"/>
        </w:rPr>
      </w:pPr>
      <w:r w:rsidRPr="00D56E93">
        <w:rPr>
          <w:lang w:val="en-GB"/>
        </w:rPr>
        <w:t>In order to hear and compile the views of Small States</w:t>
      </w:r>
      <w:r w:rsidR="00D518DB" w:rsidRPr="00D56E93">
        <w:rPr>
          <w:lang w:val="en-GB"/>
        </w:rPr>
        <w:t xml:space="preserve">, CTI </w:t>
      </w:r>
      <w:r w:rsidRPr="00D56E93">
        <w:rPr>
          <w:lang w:val="en-GB"/>
        </w:rPr>
        <w:t>convened</w:t>
      </w:r>
      <w:r w:rsidR="00D518DB" w:rsidRPr="00D56E93">
        <w:rPr>
          <w:lang w:val="en-GB"/>
        </w:rPr>
        <w:t xml:space="preserve"> a half</w:t>
      </w:r>
      <w:r w:rsidRPr="00D56E93">
        <w:rPr>
          <w:lang w:val="en-GB"/>
        </w:rPr>
        <w:t>-</w:t>
      </w:r>
      <w:r w:rsidR="00D518DB" w:rsidRPr="00D56E93">
        <w:rPr>
          <w:lang w:val="en-GB"/>
        </w:rPr>
        <w:t>day closed discussion</w:t>
      </w:r>
      <w:r w:rsidR="00F11662" w:rsidRPr="00D56E93">
        <w:rPr>
          <w:lang w:val="en-GB"/>
        </w:rPr>
        <w:t xml:space="preserve"> </w:t>
      </w:r>
      <w:r w:rsidRPr="00D56E93">
        <w:rPr>
          <w:lang w:val="en-GB"/>
        </w:rPr>
        <w:t>on</w:t>
      </w:r>
      <w:r w:rsidR="00F11662" w:rsidRPr="00D56E93">
        <w:rPr>
          <w:lang w:val="en-GB"/>
        </w:rPr>
        <w:t xml:space="preserve"> </w:t>
      </w:r>
      <w:r w:rsidR="00D518DB" w:rsidRPr="00D56E93">
        <w:rPr>
          <w:lang w:val="en-GB"/>
        </w:rPr>
        <w:t xml:space="preserve">good practices, </w:t>
      </w:r>
      <w:r w:rsidRPr="00D56E93">
        <w:rPr>
          <w:lang w:val="en-GB"/>
        </w:rPr>
        <w:t xml:space="preserve">as well as </w:t>
      </w:r>
      <w:r w:rsidR="00D518DB" w:rsidRPr="00D56E93">
        <w:rPr>
          <w:lang w:val="en-GB"/>
        </w:rPr>
        <w:t xml:space="preserve">challenges and recommendations regarding the reporting process to </w:t>
      </w:r>
      <w:r w:rsidR="006C6AD9" w:rsidRPr="00D56E93">
        <w:rPr>
          <w:lang w:val="en-GB"/>
        </w:rPr>
        <w:t>the TBs</w:t>
      </w:r>
      <w:r w:rsidR="0054122C" w:rsidRPr="00D56E93">
        <w:rPr>
          <w:lang w:val="en-GB"/>
        </w:rPr>
        <w:t xml:space="preserve"> generally</w:t>
      </w:r>
      <w:r w:rsidR="00D518DB" w:rsidRPr="00D56E93">
        <w:rPr>
          <w:lang w:val="en-GB"/>
        </w:rPr>
        <w:t xml:space="preserve">, with a focus on the Committee against Torture. The event, co-sponsored by </w:t>
      </w:r>
      <w:r w:rsidR="009F4289" w:rsidRPr="00D56E93">
        <w:rPr>
          <w:lang w:val="en-GB"/>
        </w:rPr>
        <w:t>Costa Rica and Switzerland,</w:t>
      </w:r>
      <w:r w:rsidR="007C14C9" w:rsidRPr="00D56E93">
        <w:rPr>
          <w:lang w:val="en-GB"/>
        </w:rPr>
        <w:t xml:space="preserve"> </w:t>
      </w:r>
      <w:r w:rsidR="00D518DB" w:rsidRPr="00D56E93">
        <w:rPr>
          <w:lang w:val="en-GB"/>
        </w:rPr>
        <w:t xml:space="preserve">and organised </w:t>
      </w:r>
      <w:r w:rsidR="007C14C9" w:rsidRPr="00D56E93">
        <w:rPr>
          <w:lang w:val="en-GB"/>
        </w:rPr>
        <w:t xml:space="preserve">in partnership with the </w:t>
      </w:r>
      <w:hyperlink r:id="rId11" w:history="1">
        <w:r w:rsidR="007C14C9" w:rsidRPr="00D56E93">
          <w:rPr>
            <w:rStyle w:val="Hyperlink"/>
            <w:lang w:val="en-GB"/>
          </w:rPr>
          <w:t>Commonwealth Secretariat</w:t>
        </w:r>
      </w:hyperlink>
      <w:r w:rsidR="007C14C9" w:rsidRPr="00D56E93">
        <w:rPr>
          <w:lang w:val="en-GB"/>
        </w:rPr>
        <w:t xml:space="preserve"> and the </w:t>
      </w:r>
      <w:hyperlink r:id="rId12" w:history="1">
        <w:r w:rsidR="007C14C9" w:rsidRPr="00D56E93">
          <w:rPr>
            <w:rStyle w:val="Hyperlink"/>
            <w:lang w:val="en-GB"/>
          </w:rPr>
          <w:t>Universal Rights Group</w:t>
        </w:r>
        <w:r w:rsidR="009F4289" w:rsidRPr="00D56E93">
          <w:rPr>
            <w:rStyle w:val="Hyperlink"/>
            <w:lang w:val="en-GB"/>
          </w:rPr>
          <w:t xml:space="preserve"> (URG)</w:t>
        </w:r>
      </w:hyperlink>
      <w:r w:rsidR="007C14C9" w:rsidRPr="00D56E93">
        <w:rPr>
          <w:lang w:val="en-GB"/>
        </w:rPr>
        <w:t>,</w:t>
      </w:r>
      <w:r w:rsidR="00D518DB" w:rsidRPr="00D56E93">
        <w:rPr>
          <w:lang w:val="en-GB"/>
        </w:rPr>
        <w:t xml:space="preserve"> took place on 4 April 2019 at the Commonwealth Small States Office in Geneva</w:t>
      </w:r>
      <w:r w:rsidR="00780B16" w:rsidRPr="00D56E93">
        <w:rPr>
          <w:lang w:val="en-GB"/>
        </w:rPr>
        <w:t xml:space="preserve">. </w:t>
      </w:r>
      <w:r w:rsidR="00D518DB" w:rsidRPr="00D56E93">
        <w:rPr>
          <w:lang w:val="en-GB"/>
        </w:rPr>
        <w:t xml:space="preserve">It </w:t>
      </w:r>
      <w:r w:rsidR="00DD304C" w:rsidRPr="00D56E93">
        <w:rPr>
          <w:lang w:val="en-GB"/>
        </w:rPr>
        <w:t>was attended by repres</w:t>
      </w:r>
      <w:r w:rsidR="00925982" w:rsidRPr="00D56E93">
        <w:rPr>
          <w:lang w:val="en-GB"/>
        </w:rPr>
        <w:t>entatives from the Permanent Missions to the UN in Geneva of 12 Small States</w:t>
      </w:r>
      <w:r w:rsidR="00925982" w:rsidRPr="00D56E93">
        <w:rPr>
          <w:rStyle w:val="FootnoteReference"/>
          <w:lang w:val="en-GB"/>
        </w:rPr>
        <w:footnoteReference w:id="1"/>
      </w:r>
      <w:r w:rsidR="00925982" w:rsidRPr="00D56E93">
        <w:rPr>
          <w:lang w:val="en-GB"/>
        </w:rPr>
        <w:t xml:space="preserve">, along with representation from the CTI </w:t>
      </w:r>
      <w:r w:rsidRPr="00D56E93">
        <w:rPr>
          <w:lang w:val="en-GB"/>
        </w:rPr>
        <w:t>C</w:t>
      </w:r>
      <w:r w:rsidR="00925982" w:rsidRPr="00D56E93">
        <w:rPr>
          <w:lang w:val="en-GB"/>
        </w:rPr>
        <w:t>ore States,</w:t>
      </w:r>
      <w:r w:rsidR="00805ED8" w:rsidRPr="00D56E93">
        <w:rPr>
          <w:rStyle w:val="FootnoteReference"/>
          <w:lang w:val="en-GB"/>
        </w:rPr>
        <w:footnoteReference w:id="2"/>
      </w:r>
      <w:r w:rsidR="00925982" w:rsidRPr="00D56E93">
        <w:rPr>
          <w:lang w:val="en-GB"/>
        </w:rPr>
        <w:t xml:space="preserve"> Costa Rica, Switzerland and the United Kingdom. </w:t>
      </w:r>
    </w:p>
    <w:p w14:paraId="0CB6944F" w14:textId="77777777" w:rsidR="00DD733C" w:rsidRPr="00D56E93" w:rsidRDefault="009F4289" w:rsidP="00DD733C">
      <w:pPr>
        <w:pStyle w:val="ListParagraph"/>
        <w:numPr>
          <w:ilvl w:val="0"/>
          <w:numId w:val="2"/>
        </w:numPr>
        <w:spacing w:before="120" w:after="120" w:line="240" w:lineRule="auto"/>
        <w:ind w:left="360"/>
        <w:contextualSpacing w:val="0"/>
        <w:jc w:val="both"/>
        <w:rPr>
          <w:b/>
          <w:lang w:val="en-GB"/>
        </w:rPr>
      </w:pPr>
      <w:r w:rsidRPr="00D56E93">
        <w:rPr>
          <w:lang w:val="en-GB"/>
        </w:rPr>
        <w:lastRenderedPageBreak/>
        <w:t xml:space="preserve">This </w:t>
      </w:r>
      <w:r w:rsidR="00780B16" w:rsidRPr="00D56E93">
        <w:rPr>
          <w:lang w:val="en-GB"/>
        </w:rPr>
        <w:t xml:space="preserve">summary </w:t>
      </w:r>
      <w:r w:rsidRPr="00D56E93">
        <w:rPr>
          <w:lang w:val="en-GB"/>
        </w:rPr>
        <w:t>non-paper capture</w:t>
      </w:r>
      <w:r w:rsidR="00780B16" w:rsidRPr="00D56E93">
        <w:rPr>
          <w:lang w:val="en-GB"/>
        </w:rPr>
        <w:t>s</w:t>
      </w:r>
      <w:r w:rsidRPr="00D56E93">
        <w:rPr>
          <w:lang w:val="en-GB"/>
        </w:rPr>
        <w:t xml:space="preserve"> the good practices, challenges and recommendations put forward by </w:t>
      </w:r>
      <w:r w:rsidR="00E35115" w:rsidRPr="00D56E93">
        <w:rPr>
          <w:lang w:val="en-GB"/>
        </w:rPr>
        <w:t>participants</w:t>
      </w:r>
      <w:r w:rsidRPr="00D56E93">
        <w:rPr>
          <w:lang w:val="en-GB"/>
        </w:rPr>
        <w:t xml:space="preserve">. </w:t>
      </w:r>
      <w:r w:rsidR="00780B16" w:rsidRPr="00D56E93">
        <w:rPr>
          <w:lang w:val="en-GB"/>
        </w:rPr>
        <w:t xml:space="preserve">The meeting was held under the </w:t>
      </w:r>
      <w:hyperlink r:id="rId13" w:history="1">
        <w:r w:rsidR="00780B16" w:rsidRPr="00D56E93">
          <w:rPr>
            <w:rStyle w:val="Hyperlink"/>
            <w:lang w:val="en-GB"/>
          </w:rPr>
          <w:t>Chatham House</w:t>
        </w:r>
      </w:hyperlink>
      <w:r w:rsidR="00780B16" w:rsidRPr="00D56E93">
        <w:rPr>
          <w:lang w:val="en-GB"/>
        </w:rPr>
        <w:t xml:space="preserve"> rule of non-attribution</w:t>
      </w:r>
      <w:r w:rsidR="00480654" w:rsidRPr="00D56E93">
        <w:rPr>
          <w:lang w:val="en-GB"/>
        </w:rPr>
        <w:t>, such that</w:t>
      </w:r>
      <w:r w:rsidR="00780B16" w:rsidRPr="00D56E93">
        <w:rPr>
          <w:lang w:val="en-GB"/>
        </w:rPr>
        <w:t xml:space="preserve"> </w:t>
      </w:r>
      <w:r w:rsidR="00480654" w:rsidRPr="00D56E93">
        <w:rPr>
          <w:lang w:val="en-GB"/>
        </w:rPr>
        <w:t xml:space="preserve">neither </w:t>
      </w:r>
      <w:r w:rsidR="00780B16" w:rsidRPr="00D56E93">
        <w:rPr>
          <w:lang w:val="en-GB"/>
        </w:rPr>
        <w:t>t</w:t>
      </w:r>
      <w:r w:rsidRPr="00D56E93">
        <w:rPr>
          <w:lang w:val="en-GB"/>
        </w:rPr>
        <w:t xml:space="preserve">he individual views of participants </w:t>
      </w:r>
      <w:r w:rsidR="00480654" w:rsidRPr="00D56E93">
        <w:rPr>
          <w:lang w:val="en-GB"/>
        </w:rPr>
        <w:t>n</w:t>
      </w:r>
      <w:r w:rsidRPr="00D56E93">
        <w:rPr>
          <w:lang w:val="en-GB"/>
        </w:rPr>
        <w:t>or the States they represent are attributed</w:t>
      </w:r>
      <w:r w:rsidR="00480654" w:rsidRPr="00D56E93">
        <w:rPr>
          <w:lang w:val="en-GB"/>
        </w:rPr>
        <w:t xml:space="preserve"> in this report</w:t>
      </w:r>
      <w:r w:rsidRPr="00D56E93">
        <w:rPr>
          <w:lang w:val="en-GB"/>
        </w:rPr>
        <w:t xml:space="preserve">. </w:t>
      </w:r>
    </w:p>
    <w:p w14:paraId="536442C9" w14:textId="77777777" w:rsidR="00DD733C" w:rsidRPr="00D56E93" w:rsidRDefault="00355525" w:rsidP="00DD733C">
      <w:pPr>
        <w:pStyle w:val="ListParagraph"/>
        <w:numPr>
          <w:ilvl w:val="0"/>
          <w:numId w:val="2"/>
        </w:numPr>
        <w:spacing w:before="120" w:after="120" w:line="240" w:lineRule="auto"/>
        <w:ind w:left="360"/>
        <w:contextualSpacing w:val="0"/>
        <w:jc w:val="both"/>
        <w:rPr>
          <w:b/>
          <w:lang w:val="en-GB"/>
        </w:rPr>
      </w:pPr>
      <w:r w:rsidRPr="00D56E93">
        <w:rPr>
          <w:lang w:val="en-GB"/>
        </w:rPr>
        <w:t xml:space="preserve">The CTI Ambassadors will brief the UN Committee against Torture on the aforementioned discussion and share the content of this non-paper at its next briefing, on </w:t>
      </w:r>
      <w:r w:rsidR="00E442F2" w:rsidRPr="00D56E93">
        <w:rPr>
          <w:lang w:val="en-GB"/>
        </w:rPr>
        <w:t>2</w:t>
      </w:r>
      <w:r w:rsidRPr="00D56E93">
        <w:rPr>
          <w:lang w:val="en-GB"/>
        </w:rPr>
        <w:t xml:space="preserve"> May 2019. </w:t>
      </w:r>
      <w:r w:rsidR="004D67CC" w:rsidRPr="00D56E93">
        <w:rPr>
          <w:lang w:val="en-GB"/>
        </w:rPr>
        <w:t xml:space="preserve">This non-paper will also </w:t>
      </w:r>
      <w:r w:rsidR="00935A53" w:rsidRPr="00D56E93">
        <w:rPr>
          <w:lang w:val="en-GB"/>
        </w:rPr>
        <w:t xml:space="preserve">be </w:t>
      </w:r>
      <w:r w:rsidR="004D67CC" w:rsidRPr="00D56E93">
        <w:rPr>
          <w:lang w:val="en-GB"/>
        </w:rPr>
        <w:t xml:space="preserve">submitted to help inform the 2020 treaty body reform process. </w:t>
      </w:r>
    </w:p>
    <w:p w14:paraId="4862F9AD" w14:textId="77777777" w:rsidR="00DD733C" w:rsidRPr="00D56E93" w:rsidRDefault="00DD733C" w:rsidP="00DD733C">
      <w:pPr>
        <w:spacing w:before="120" w:after="120" w:line="240" w:lineRule="auto"/>
        <w:jc w:val="both"/>
        <w:rPr>
          <w:b/>
          <w:lang w:val="en-GB"/>
        </w:rPr>
      </w:pPr>
      <w:r w:rsidRPr="00D56E93">
        <w:rPr>
          <w:b/>
          <w:lang w:val="en-GB"/>
        </w:rPr>
        <w:t>Strong willingness, yet significant challenges</w:t>
      </w:r>
    </w:p>
    <w:p w14:paraId="181147D4" w14:textId="77777777" w:rsidR="00DD733C" w:rsidRPr="00D56E93" w:rsidRDefault="004D67CC" w:rsidP="00DD733C">
      <w:pPr>
        <w:pStyle w:val="ListParagraph"/>
        <w:numPr>
          <w:ilvl w:val="0"/>
          <w:numId w:val="2"/>
        </w:numPr>
        <w:spacing w:before="120" w:after="120" w:line="240" w:lineRule="auto"/>
        <w:ind w:left="360"/>
        <w:contextualSpacing w:val="0"/>
        <w:jc w:val="both"/>
        <w:rPr>
          <w:b/>
          <w:lang w:val="en-GB"/>
        </w:rPr>
      </w:pPr>
      <w:r w:rsidRPr="00D56E93">
        <w:rPr>
          <w:lang w:val="en-GB"/>
        </w:rPr>
        <w:t>P</w:t>
      </w:r>
      <w:r w:rsidR="00F75B4C" w:rsidRPr="00D56E93">
        <w:rPr>
          <w:lang w:val="en-GB"/>
        </w:rPr>
        <w:t xml:space="preserve">articipating </w:t>
      </w:r>
      <w:r w:rsidR="007C6D77" w:rsidRPr="00D56E93">
        <w:rPr>
          <w:lang w:val="en-GB"/>
        </w:rPr>
        <w:t xml:space="preserve">Small States </w:t>
      </w:r>
      <w:r w:rsidRPr="00D56E93">
        <w:rPr>
          <w:lang w:val="en-GB"/>
        </w:rPr>
        <w:t>reminded each other of the fundamental value of human rights</w:t>
      </w:r>
      <w:r w:rsidR="00CD2A19" w:rsidRPr="00D56E93">
        <w:rPr>
          <w:lang w:val="en-GB"/>
        </w:rPr>
        <w:t xml:space="preserve"> to just and peaceful societies</w:t>
      </w:r>
      <w:r w:rsidR="00786127" w:rsidRPr="00D56E93">
        <w:rPr>
          <w:lang w:val="en-GB"/>
        </w:rPr>
        <w:t>,</w:t>
      </w:r>
      <w:r w:rsidRPr="00D56E93">
        <w:rPr>
          <w:lang w:val="en-GB"/>
        </w:rPr>
        <w:t xml:space="preserve"> </w:t>
      </w:r>
      <w:r w:rsidR="00786127" w:rsidRPr="00D56E93">
        <w:rPr>
          <w:lang w:val="en-GB"/>
        </w:rPr>
        <w:t xml:space="preserve">emphasising </w:t>
      </w:r>
      <w:r w:rsidR="007C6D77" w:rsidRPr="00D56E93">
        <w:rPr>
          <w:lang w:val="en-GB"/>
        </w:rPr>
        <w:t xml:space="preserve">their </w:t>
      </w:r>
      <w:r w:rsidR="00786127" w:rsidRPr="00D56E93">
        <w:rPr>
          <w:lang w:val="en-GB"/>
        </w:rPr>
        <w:t xml:space="preserve">desire </w:t>
      </w:r>
      <w:r w:rsidR="00EF0797" w:rsidRPr="00D56E93">
        <w:rPr>
          <w:lang w:val="en-GB"/>
        </w:rPr>
        <w:t xml:space="preserve">to </w:t>
      </w:r>
      <w:r w:rsidRPr="00D56E93">
        <w:rPr>
          <w:lang w:val="en-GB"/>
        </w:rPr>
        <w:t xml:space="preserve">comply with </w:t>
      </w:r>
      <w:r w:rsidR="00935A53" w:rsidRPr="00D56E93">
        <w:rPr>
          <w:lang w:val="en-GB"/>
        </w:rPr>
        <w:t xml:space="preserve">all </w:t>
      </w:r>
      <w:r w:rsidRPr="00D56E93">
        <w:rPr>
          <w:lang w:val="en-GB"/>
        </w:rPr>
        <w:t>reporting procedures and deadlines</w:t>
      </w:r>
      <w:r w:rsidR="00786127" w:rsidRPr="00D56E93">
        <w:rPr>
          <w:lang w:val="en-GB"/>
        </w:rPr>
        <w:t xml:space="preserve"> and</w:t>
      </w:r>
      <w:r w:rsidRPr="00D56E93">
        <w:rPr>
          <w:lang w:val="en-GB"/>
        </w:rPr>
        <w:t xml:space="preserve"> </w:t>
      </w:r>
      <w:r w:rsidR="00EF0797" w:rsidRPr="00D56E93">
        <w:rPr>
          <w:lang w:val="en-GB"/>
        </w:rPr>
        <w:t xml:space="preserve">to </w:t>
      </w:r>
      <w:r w:rsidR="007C6D77" w:rsidRPr="00D56E93">
        <w:rPr>
          <w:lang w:val="en-GB"/>
        </w:rPr>
        <w:t xml:space="preserve">play a meaningful role in the UN human rights </w:t>
      </w:r>
      <w:r w:rsidRPr="00D56E93">
        <w:rPr>
          <w:lang w:val="en-GB"/>
        </w:rPr>
        <w:t>treaty body system</w:t>
      </w:r>
      <w:r w:rsidR="00786127" w:rsidRPr="00D56E93">
        <w:rPr>
          <w:lang w:val="en-GB"/>
        </w:rPr>
        <w:t xml:space="preserve">. They noted that the </w:t>
      </w:r>
      <w:r w:rsidRPr="00D56E93">
        <w:rPr>
          <w:lang w:val="en-GB"/>
        </w:rPr>
        <w:t xml:space="preserve">periodic review process </w:t>
      </w:r>
      <w:r w:rsidR="00786127" w:rsidRPr="00D56E93">
        <w:rPr>
          <w:lang w:val="en-GB"/>
        </w:rPr>
        <w:t xml:space="preserve">can help </w:t>
      </w:r>
      <w:r w:rsidR="00916AA6" w:rsidRPr="00D56E93">
        <w:rPr>
          <w:lang w:val="en-GB"/>
        </w:rPr>
        <w:t xml:space="preserve">strengthen </w:t>
      </w:r>
      <w:r w:rsidR="00935A53" w:rsidRPr="00D56E93">
        <w:rPr>
          <w:lang w:val="en-GB"/>
        </w:rPr>
        <w:t xml:space="preserve">domestic </w:t>
      </w:r>
      <w:r w:rsidR="00A9664E" w:rsidRPr="00D56E93">
        <w:rPr>
          <w:lang w:val="en-GB"/>
        </w:rPr>
        <w:t>implementation</w:t>
      </w:r>
      <w:r w:rsidR="00786127" w:rsidRPr="00D56E93">
        <w:rPr>
          <w:lang w:val="en-GB"/>
        </w:rPr>
        <w:t xml:space="preserve"> by identifying areas of good practice or where domestic reforms and improvements are needed, yet they stressed that</w:t>
      </w:r>
      <w:r w:rsidR="00D56E93" w:rsidRPr="00D56E93">
        <w:rPr>
          <w:lang w:val="en-GB"/>
        </w:rPr>
        <w:t xml:space="preserve"> this could only be fully realis</w:t>
      </w:r>
      <w:r w:rsidR="00786127" w:rsidRPr="00D56E93">
        <w:rPr>
          <w:lang w:val="en-GB"/>
        </w:rPr>
        <w:t>ed through real changes</w:t>
      </w:r>
      <w:r w:rsidR="00935A53" w:rsidRPr="00D56E93">
        <w:rPr>
          <w:lang w:val="en-GB"/>
        </w:rPr>
        <w:t xml:space="preserve"> </w:t>
      </w:r>
      <w:r w:rsidR="00D56E93" w:rsidRPr="00D56E93">
        <w:rPr>
          <w:lang w:val="en-GB"/>
        </w:rPr>
        <w:t>to domestic organis</w:t>
      </w:r>
      <w:r w:rsidR="00935A53" w:rsidRPr="00D56E93">
        <w:rPr>
          <w:lang w:val="en-GB"/>
        </w:rPr>
        <w:t>ation</w:t>
      </w:r>
      <w:r w:rsidR="00D56E93" w:rsidRPr="00D56E93">
        <w:rPr>
          <w:lang w:val="en-GB"/>
        </w:rPr>
        <w:t xml:space="preserve"> and the TB</w:t>
      </w:r>
      <w:r w:rsidR="00935A53" w:rsidRPr="00D56E93">
        <w:rPr>
          <w:lang w:val="en-GB"/>
        </w:rPr>
        <w:t xml:space="preserve"> review processes</w:t>
      </w:r>
      <w:r w:rsidR="00786127" w:rsidRPr="00D56E93">
        <w:rPr>
          <w:lang w:val="en-GB"/>
        </w:rPr>
        <w:t>.</w:t>
      </w:r>
      <w:r w:rsidR="00D44245" w:rsidRPr="00D56E93">
        <w:rPr>
          <w:lang w:val="en-GB"/>
        </w:rPr>
        <w:t xml:space="preserve"> The growth in TB reporting </w:t>
      </w:r>
      <w:r w:rsidR="004B00EC" w:rsidRPr="00D56E93">
        <w:rPr>
          <w:lang w:val="en-GB"/>
        </w:rPr>
        <w:t xml:space="preserve">and the many procedural requirements </w:t>
      </w:r>
      <w:r w:rsidR="00D44245" w:rsidRPr="00D56E93">
        <w:rPr>
          <w:lang w:val="en-GB"/>
        </w:rPr>
        <w:t>ha</w:t>
      </w:r>
      <w:r w:rsidR="00805ED8" w:rsidRPr="00D56E93">
        <w:rPr>
          <w:lang w:val="en-GB"/>
        </w:rPr>
        <w:t>s</w:t>
      </w:r>
      <w:r w:rsidR="00D44245" w:rsidRPr="00D56E93">
        <w:rPr>
          <w:lang w:val="en-GB"/>
        </w:rPr>
        <w:t xml:space="preserve"> led, in some in</w:t>
      </w:r>
      <w:r w:rsidR="00D56E93" w:rsidRPr="00D56E93">
        <w:rPr>
          <w:lang w:val="en-GB"/>
        </w:rPr>
        <w:t>stances, to an over-bureaucratis</w:t>
      </w:r>
      <w:r w:rsidR="00D44245" w:rsidRPr="00D56E93">
        <w:rPr>
          <w:lang w:val="en-GB"/>
        </w:rPr>
        <w:t>ation of the process, whereas States encouraged each</w:t>
      </w:r>
      <w:r w:rsidR="00D56E93">
        <w:rPr>
          <w:lang w:val="en-GB"/>
        </w:rPr>
        <w:t xml:space="preserve"> other to promote the democratis</w:t>
      </w:r>
      <w:r w:rsidR="00D44245" w:rsidRPr="00D56E93">
        <w:rPr>
          <w:lang w:val="en-GB"/>
        </w:rPr>
        <w:t>ation of human rights reporting</w:t>
      </w:r>
      <w:r w:rsidR="004B00EC" w:rsidRPr="00D56E93">
        <w:rPr>
          <w:lang w:val="en-GB"/>
        </w:rPr>
        <w:t xml:space="preserve"> as a way to </w:t>
      </w:r>
      <w:r w:rsidR="00D56E93">
        <w:rPr>
          <w:lang w:val="en-GB"/>
        </w:rPr>
        <w:t xml:space="preserve">foster </w:t>
      </w:r>
      <w:r w:rsidR="004B00EC" w:rsidRPr="00D56E93">
        <w:rPr>
          <w:lang w:val="en-GB"/>
        </w:rPr>
        <w:t>and improve the human rights situation domestically</w:t>
      </w:r>
      <w:r w:rsidR="00D44245" w:rsidRPr="00D56E93">
        <w:rPr>
          <w:lang w:val="en-GB"/>
        </w:rPr>
        <w:t xml:space="preserve">. </w:t>
      </w:r>
    </w:p>
    <w:p w14:paraId="69FD4BA8" w14:textId="061416CA" w:rsidR="00DD733C" w:rsidRPr="00D56E93" w:rsidRDefault="0049394C" w:rsidP="00DD733C">
      <w:pPr>
        <w:pStyle w:val="ListParagraph"/>
        <w:numPr>
          <w:ilvl w:val="0"/>
          <w:numId w:val="2"/>
        </w:numPr>
        <w:spacing w:before="120" w:after="120" w:line="240" w:lineRule="auto"/>
        <w:ind w:left="360"/>
        <w:contextualSpacing w:val="0"/>
        <w:jc w:val="both"/>
        <w:rPr>
          <w:b/>
          <w:lang w:val="en-GB"/>
        </w:rPr>
      </w:pPr>
      <w:r w:rsidRPr="00D56E93">
        <w:rPr>
          <w:lang w:val="en-GB"/>
        </w:rPr>
        <w:t xml:space="preserve">Some participants highlighted that the technical advice received from </w:t>
      </w:r>
      <w:r w:rsidR="009B3FFD" w:rsidRPr="00D56E93">
        <w:rPr>
          <w:lang w:val="en-GB"/>
        </w:rPr>
        <w:t>the Office of the United Nations High Commissioner for Human Rights (OHCHR)</w:t>
      </w:r>
      <w:r w:rsidRPr="00D56E93">
        <w:rPr>
          <w:lang w:val="en-GB"/>
        </w:rPr>
        <w:t xml:space="preserve">’s capacity building programme had allowed them to establish </w:t>
      </w:r>
      <w:r w:rsidR="00A40B49">
        <w:rPr>
          <w:lang w:val="en-GB"/>
        </w:rPr>
        <w:t xml:space="preserve">specific entities or mechanisms to coordinate reporting, implementation and follow-up on recommendations </w:t>
      </w:r>
      <w:r w:rsidR="00A40B49" w:rsidRPr="00A40B49">
        <w:rPr>
          <w:lang w:val="en-GB"/>
        </w:rPr>
        <w:t>(known as “</w:t>
      </w:r>
      <w:r w:rsidRPr="00A40B49">
        <w:rPr>
          <w:lang w:val="en-GB"/>
        </w:rPr>
        <w:t>N</w:t>
      </w:r>
      <w:r w:rsidR="00A40B49" w:rsidRPr="00A40B49">
        <w:rPr>
          <w:lang w:val="en-GB"/>
        </w:rPr>
        <w:t>ational Mechanisms for Reporting, Implementation and Follow-up” (N</w:t>
      </w:r>
      <w:r w:rsidRPr="00A40B49">
        <w:rPr>
          <w:lang w:val="en-GB"/>
        </w:rPr>
        <w:t>MRIFs</w:t>
      </w:r>
      <w:r w:rsidR="00A40B49" w:rsidRPr="00A40B49">
        <w:rPr>
          <w:lang w:val="en-GB"/>
        </w:rPr>
        <w:t>))</w:t>
      </w:r>
      <w:r w:rsidRPr="00A40B49">
        <w:rPr>
          <w:lang w:val="en-GB"/>
        </w:rPr>
        <w:t>,</w:t>
      </w:r>
      <w:r w:rsidRPr="00D56E93">
        <w:rPr>
          <w:lang w:val="en-GB"/>
        </w:rPr>
        <w:t xml:space="preserve"> to sensitise government officials through workshops on TB reporting, as well as to strengthen the implementation of human rights policies. However, participants were of the view that TBs and other bodies, such as</w:t>
      </w:r>
      <w:r w:rsidR="009B3FFD">
        <w:rPr>
          <w:lang w:val="en-GB"/>
        </w:rPr>
        <w:t xml:space="preserve"> the OHCHR,</w:t>
      </w:r>
      <w:r w:rsidRPr="00D56E93">
        <w:rPr>
          <w:lang w:val="en-GB"/>
        </w:rPr>
        <w:t xml:space="preserve"> could do more to assist Small States in complying with their reporting obligations.</w:t>
      </w:r>
    </w:p>
    <w:p w14:paraId="354C5C5A" w14:textId="77777777" w:rsidR="00DD733C" w:rsidRPr="00D56E93" w:rsidRDefault="00DD733C" w:rsidP="00DD733C">
      <w:pPr>
        <w:spacing w:before="120" w:after="120" w:line="240" w:lineRule="auto"/>
        <w:jc w:val="both"/>
        <w:rPr>
          <w:b/>
          <w:lang w:val="en-GB"/>
        </w:rPr>
      </w:pPr>
      <w:r w:rsidRPr="00D56E93">
        <w:rPr>
          <w:b/>
          <w:lang w:val="en-GB"/>
        </w:rPr>
        <w:t>Domestic good practices</w:t>
      </w:r>
    </w:p>
    <w:p w14:paraId="4D7FA6E3" w14:textId="77777777" w:rsidR="00DD733C" w:rsidRPr="00D56E93" w:rsidRDefault="00DD733C" w:rsidP="00DD733C">
      <w:pPr>
        <w:spacing w:before="120" w:after="120" w:line="240" w:lineRule="auto"/>
        <w:jc w:val="both"/>
        <w:rPr>
          <w:i/>
          <w:lang w:val="en-GB"/>
        </w:rPr>
      </w:pPr>
      <w:r w:rsidRPr="00D56E93">
        <w:rPr>
          <w:i/>
          <w:lang w:val="en-GB"/>
        </w:rPr>
        <w:t xml:space="preserve">National mechanisms </w:t>
      </w:r>
    </w:p>
    <w:p w14:paraId="3532232A" w14:textId="1F0443B2" w:rsidR="00DD733C" w:rsidRPr="00D56E93" w:rsidRDefault="00F75B4C" w:rsidP="007303ED">
      <w:pPr>
        <w:pStyle w:val="ListParagraph"/>
        <w:numPr>
          <w:ilvl w:val="0"/>
          <w:numId w:val="2"/>
        </w:numPr>
        <w:spacing w:before="120" w:after="120" w:line="240" w:lineRule="auto"/>
        <w:ind w:left="360" w:hanging="357"/>
        <w:contextualSpacing w:val="0"/>
        <w:jc w:val="both"/>
        <w:rPr>
          <w:b/>
          <w:lang w:val="en-GB"/>
        </w:rPr>
      </w:pPr>
      <w:r w:rsidRPr="00D56E93">
        <w:rPr>
          <w:lang w:val="en-GB"/>
        </w:rPr>
        <w:t xml:space="preserve">In light of </w:t>
      </w:r>
      <w:r w:rsidR="005B4732" w:rsidRPr="00D56E93">
        <w:rPr>
          <w:lang w:val="en-GB"/>
        </w:rPr>
        <w:t xml:space="preserve">various </w:t>
      </w:r>
      <w:r w:rsidR="00EF0797" w:rsidRPr="00D56E93">
        <w:rPr>
          <w:lang w:val="en-GB"/>
        </w:rPr>
        <w:t>reporting obligations</w:t>
      </w:r>
      <w:r w:rsidR="005B4732" w:rsidRPr="00D56E93">
        <w:rPr>
          <w:lang w:val="en-GB"/>
        </w:rPr>
        <w:t xml:space="preserve"> generating a </w:t>
      </w:r>
      <w:r w:rsidRPr="00D56E93">
        <w:rPr>
          <w:lang w:val="en-GB"/>
        </w:rPr>
        <w:t xml:space="preserve">significant number of </w:t>
      </w:r>
      <w:r w:rsidR="00EF0797" w:rsidRPr="00D56E93">
        <w:rPr>
          <w:lang w:val="en-GB"/>
        </w:rPr>
        <w:t xml:space="preserve">recommendations </w:t>
      </w:r>
      <w:r w:rsidR="005B4732" w:rsidRPr="00D56E93">
        <w:rPr>
          <w:lang w:val="en-GB"/>
        </w:rPr>
        <w:t>for domestic action</w:t>
      </w:r>
      <w:r w:rsidR="00EF0797" w:rsidRPr="00D56E93">
        <w:rPr>
          <w:lang w:val="en-GB"/>
        </w:rPr>
        <w:t>,</w:t>
      </w:r>
      <w:r w:rsidR="005B4732" w:rsidRPr="00D56E93">
        <w:rPr>
          <w:lang w:val="en-GB"/>
        </w:rPr>
        <w:t xml:space="preserve"> alongside</w:t>
      </w:r>
      <w:r w:rsidR="00EF0797" w:rsidRPr="00D56E93">
        <w:rPr>
          <w:lang w:val="en-GB"/>
        </w:rPr>
        <w:t xml:space="preserve"> </w:t>
      </w:r>
      <w:r w:rsidR="005B4732" w:rsidRPr="00D56E93">
        <w:rPr>
          <w:lang w:val="en-GB"/>
        </w:rPr>
        <w:t>the need for coordination and sustainability, participants</w:t>
      </w:r>
      <w:r w:rsidR="00BE062F" w:rsidRPr="00D56E93">
        <w:rPr>
          <w:lang w:val="en-GB"/>
        </w:rPr>
        <w:t xml:space="preserve"> shared </w:t>
      </w:r>
      <w:r w:rsidR="005B4732" w:rsidRPr="00D56E93">
        <w:rPr>
          <w:lang w:val="en-GB"/>
        </w:rPr>
        <w:t xml:space="preserve">the positive impact of establishing or designating </w:t>
      </w:r>
      <w:r w:rsidRPr="00D56E93">
        <w:rPr>
          <w:lang w:val="en-GB"/>
        </w:rPr>
        <w:t xml:space="preserve">a </w:t>
      </w:r>
      <w:r w:rsidR="00777D2E" w:rsidRPr="00D56E93">
        <w:rPr>
          <w:lang w:val="en-GB"/>
        </w:rPr>
        <w:t xml:space="preserve">permanent (rather than </w:t>
      </w:r>
      <w:r w:rsidR="00777D2E" w:rsidRPr="00D56E93">
        <w:rPr>
          <w:i/>
          <w:lang w:val="en-GB"/>
        </w:rPr>
        <w:t>ad hoc</w:t>
      </w:r>
      <w:r w:rsidR="00777D2E" w:rsidRPr="00D56E93">
        <w:rPr>
          <w:lang w:val="en-GB"/>
        </w:rPr>
        <w:t xml:space="preserve">) </w:t>
      </w:r>
      <w:r w:rsidR="00CF3B67" w:rsidRPr="00D56E93">
        <w:rPr>
          <w:lang w:val="en-GB"/>
        </w:rPr>
        <w:t>NM</w:t>
      </w:r>
      <w:r w:rsidR="00FB7401" w:rsidRPr="00D56E93">
        <w:rPr>
          <w:lang w:val="en-GB"/>
        </w:rPr>
        <w:t>R</w:t>
      </w:r>
      <w:r w:rsidR="00516865" w:rsidRPr="00D56E93">
        <w:rPr>
          <w:lang w:val="en-GB"/>
        </w:rPr>
        <w:t>I</w:t>
      </w:r>
      <w:r w:rsidR="00693F0C" w:rsidRPr="00D56E93">
        <w:rPr>
          <w:lang w:val="en-GB"/>
        </w:rPr>
        <w:t>F</w:t>
      </w:r>
      <w:r w:rsidRPr="00D56E93">
        <w:rPr>
          <w:lang w:val="en-GB"/>
        </w:rPr>
        <w:t xml:space="preserve">. This </w:t>
      </w:r>
      <w:r w:rsidR="00516865" w:rsidRPr="00D56E93">
        <w:rPr>
          <w:lang w:val="en-GB"/>
        </w:rPr>
        <w:t xml:space="preserve">mechanism </w:t>
      </w:r>
      <w:r w:rsidRPr="00D56E93">
        <w:rPr>
          <w:lang w:val="en-GB"/>
        </w:rPr>
        <w:t>can</w:t>
      </w:r>
      <w:r w:rsidR="00BE062F" w:rsidRPr="00D56E93">
        <w:rPr>
          <w:lang w:val="en-GB"/>
        </w:rPr>
        <w:t xml:space="preserve"> tak</w:t>
      </w:r>
      <w:r w:rsidRPr="00D56E93">
        <w:rPr>
          <w:lang w:val="en-GB"/>
        </w:rPr>
        <w:t>e</w:t>
      </w:r>
      <w:r w:rsidR="00BE062F" w:rsidRPr="00D56E93">
        <w:rPr>
          <w:lang w:val="en-GB"/>
        </w:rPr>
        <w:t xml:space="preserve"> a variety</w:t>
      </w:r>
      <w:r w:rsidR="00CF3B67" w:rsidRPr="00D56E93">
        <w:rPr>
          <w:lang w:val="en-GB"/>
        </w:rPr>
        <w:t xml:space="preserve"> of forms, with examples being given of NMR</w:t>
      </w:r>
      <w:r w:rsidR="00D3767D" w:rsidRPr="00D56E93">
        <w:rPr>
          <w:lang w:val="en-GB"/>
        </w:rPr>
        <w:t>I</w:t>
      </w:r>
      <w:r w:rsidR="00CF3B67" w:rsidRPr="00D56E93">
        <w:rPr>
          <w:lang w:val="en-GB"/>
        </w:rPr>
        <w:t>Fs</w:t>
      </w:r>
      <w:r w:rsidR="00BA317A" w:rsidRPr="00D56E93">
        <w:rPr>
          <w:lang w:val="en-GB"/>
        </w:rPr>
        <w:t xml:space="preserve"> that were</w:t>
      </w:r>
      <w:r w:rsidR="00CF3B67" w:rsidRPr="00D56E93">
        <w:rPr>
          <w:lang w:val="en-GB"/>
        </w:rPr>
        <w:t xml:space="preserve"> based within a ministry or inter-ministerial</w:t>
      </w:r>
      <w:r w:rsidR="00BE062F" w:rsidRPr="00D56E93">
        <w:rPr>
          <w:lang w:val="en-GB"/>
        </w:rPr>
        <w:t>:</w:t>
      </w:r>
    </w:p>
    <w:p w14:paraId="5F7BCDC9" w14:textId="77777777" w:rsidR="007303ED" w:rsidRPr="007303ED" w:rsidRDefault="00026D36" w:rsidP="007303ED">
      <w:pPr>
        <w:pStyle w:val="ListParagraph"/>
        <w:numPr>
          <w:ilvl w:val="0"/>
          <w:numId w:val="30"/>
        </w:numPr>
        <w:spacing w:before="120" w:after="120" w:line="240" w:lineRule="auto"/>
        <w:contextualSpacing w:val="0"/>
        <w:jc w:val="both"/>
        <w:rPr>
          <w:b/>
          <w:lang w:val="en-GB"/>
        </w:rPr>
      </w:pPr>
      <w:r w:rsidRPr="007303ED">
        <w:rPr>
          <w:b/>
          <w:lang w:val="en-GB"/>
        </w:rPr>
        <w:t xml:space="preserve">Based within a ministry: </w:t>
      </w:r>
      <w:r w:rsidRPr="007303ED">
        <w:rPr>
          <w:lang w:val="en-GB"/>
        </w:rPr>
        <w:t>Examples were given of (a) the assignment of a specific ministry to be responsible for a specific treaty body report including coordinating with other relevant departments and agencies; (b) the creation of a specific human rights Ministry; or (c) establishing a human rights division within the Prime Minister’s Office. In the example given</w:t>
      </w:r>
      <w:r w:rsidR="00FC5761" w:rsidRPr="007303ED">
        <w:rPr>
          <w:lang w:val="en-GB"/>
        </w:rPr>
        <w:t xml:space="preserve">, involving </w:t>
      </w:r>
      <w:r w:rsidRPr="007303ED">
        <w:rPr>
          <w:lang w:val="en-GB"/>
        </w:rPr>
        <w:t xml:space="preserve">the creation of a specific human rights Ministry, the mechanism was composed of a permanent Secretariat with members from the judiciary, Parliament, the Department of Public Prosecutions and civil society organisations. It was reported that the mechanism’s members meet on a regular basis and coordinate and prepare reports, engage with international and regional human rights bodies and monitor, track, compile and implement recommendations received. </w:t>
      </w:r>
    </w:p>
    <w:p w14:paraId="2B927575" w14:textId="77777777" w:rsidR="00026D36" w:rsidRPr="007303ED" w:rsidRDefault="00026D36" w:rsidP="007303ED">
      <w:pPr>
        <w:pStyle w:val="ListParagraph"/>
        <w:numPr>
          <w:ilvl w:val="0"/>
          <w:numId w:val="30"/>
        </w:numPr>
        <w:spacing w:before="120" w:after="120" w:line="240" w:lineRule="auto"/>
        <w:contextualSpacing w:val="0"/>
        <w:jc w:val="both"/>
        <w:rPr>
          <w:b/>
          <w:lang w:val="en-GB"/>
        </w:rPr>
      </w:pPr>
      <w:r w:rsidRPr="007303ED">
        <w:rPr>
          <w:b/>
          <w:lang w:val="en-GB"/>
        </w:rPr>
        <w:t xml:space="preserve">Inter-ministerial: </w:t>
      </w:r>
      <w:r w:rsidRPr="007303ED">
        <w:rPr>
          <w:lang w:val="en-GB"/>
        </w:rPr>
        <w:t xml:space="preserve">Participating States shared examples of the creation of inter-governmental or cross-ministerial mechanisms or committees. In the cases shared, the NMRIF also included the participation of several national institutions and civil society organisations and </w:t>
      </w:r>
      <w:r w:rsidRPr="007303ED">
        <w:rPr>
          <w:lang w:val="en-GB"/>
        </w:rPr>
        <w:lastRenderedPageBreak/>
        <w:t>it was presided either by the Attorney General, the Prime Minister and/or the Ministry of Foreign Affairs.</w:t>
      </w:r>
    </w:p>
    <w:p w14:paraId="2CB0D063" w14:textId="77777777" w:rsidR="007303ED" w:rsidRPr="007303ED" w:rsidRDefault="00DD733C" w:rsidP="007303ED">
      <w:pPr>
        <w:pStyle w:val="ListParagraph"/>
        <w:numPr>
          <w:ilvl w:val="0"/>
          <w:numId w:val="2"/>
        </w:numPr>
        <w:spacing w:before="120" w:after="120" w:line="240" w:lineRule="auto"/>
        <w:ind w:left="360" w:hanging="357"/>
        <w:contextualSpacing w:val="0"/>
        <w:jc w:val="both"/>
        <w:rPr>
          <w:b/>
          <w:lang w:val="en-GB"/>
        </w:rPr>
      </w:pPr>
      <w:r w:rsidRPr="00D56E93">
        <w:rPr>
          <w:lang w:val="en-GB"/>
        </w:rPr>
        <w:t>Based on the experiences of States that have set up a NMRIF, the following key issues were shared:</w:t>
      </w:r>
    </w:p>
    <w:p w14:paraId="1637395D" w14:textId="77777777" w:rsidR="007303ED" w:rsidRPr="007303ED" w:rsidRDefault="00026D36" w:rsidP="007303ED">
      <w:pPr>
        <w:pStyle w:val="ListParagraph"/>
        <w:numPr>
          <w:ilvl w:val="0"/>
          <w:numId w:val="29"/>
        </w:numPr>
        <w:spacing w:before="120" w:after="120" w:line="240" w:lineRule="auto"/>
        <w:contextualSpacing w:val="0"/>
        <w:jc w:val="both"/>
        <w:rPr>
          <w:b/>
          <w:lang w:val="en-GB"/>
        </w:rPr>
      </w:pPr>
      <w:r w:rsidRPr="007303ED">
        <w:rPr>
          <w:lang w:val="en-GB"/>
        </w:rPr>
        <w:t>A preference to invite members of civil society organisations to either form part of the mechanism itself or to attend regular meetings, so that their perspectives could be fed into the drafting of treaty body reports;</w:t>
      </w:r>
    </w:p>
    <w:p w14:paraId="5FA05EA1" w14:textId="77777777" w:rsidR="007303ED" w:rsidRPr="007303ED" w:rsidRDefault="00026D36" w:rsidP="007303ED">
      <w:pPr>
        <w:pStyle w:val="ListParagraph"/>
        <w:numPr>
          <w:ilvl w:val="0"/>
          <w:numId w:val="29"/>
        </w:numPr>
        <w:spacing w:before="120" w:after="120" w:line="240" w:lineRule="auto"/>
        <w:contextualSpacing w:val="0"/>
        <w:jc w:val="both"/>
        <w:rPr>
          <w:b/>
          <w:lang w:val="en-GB"/>
        </w:rPr>
      </w:pPr>
      <w:r w:rsidRPr="007303ED">
        <w:rPr>
          <w:lang w:val="en-GB"/>
        </w:rPr>
        <w:t>The usefulness of creating thematic working groups within the mechanisms that link the specific recommendations received to the governmental institutions entrusted with coordination and follow-up;</w:t>
      </w:r>
    </w:p>
    <w:p w14:paraId="265B2905" w14:textId="77777777" w:rsidR="007303ED" w:rsidRPr="007303ED" w:rsidRDefault="00026D36" w:rsidP="007303ED">
      <w:pPr>
        <w:pStyle w:val="ListParagraph"/>
        <w:numPr>
          <w:ilvl w:val="0"/>
          <w:numId w:val="29"/>
        </w:numPr>
        <w:spacing w:before="120" w:after="120" w:line="240" w:lineRule="auto"/>
        <w:contextualSpacing w:val="0"/>
        <w:jc w:val="both"/>
        <w:rPr>
          <w:b/>
          <w:lang w:val="en-GB"/>
        </w:rPr>
      </w:pPr>
      <w:r w:rsidRPr="007303ED">
        <w:rPr>
          <w:lang w:val="en-GB"/>
        </w:rPr>
        <w:t>The need for adequate training and technical support of members of mechanisms in light of the technical expertise required to respond to TB recommendations and putting together reports, with regional seminars (including those being run by the OHCHR, or by the Commonwealth) highlighted as good opportunities to develop and exchange relevant expertise and experiences;</w:t>
      </w:r>
    </w:p>
    <w:p w14:paraId="12417930" w14:textId="77777777" w:rsidR="007303ED" w:rsidRPr="007303ED" w:rsidRDefault="00026D36" w:rsidP="007303ED">
      <w:pPr>
        <w:pStyle w:val="ListParagraph"/>
        <w:numPr>
          <w:ilvl w:val="0"/>
          <w:numId w:val="29"/>
        </w:numPr>
        <w:spacing w:before="120" w:after="120" w:line="240" w:lineRule="auto"/>
        <w:contextualSpacing w:val="0"/>
        <w:jc w:val="both"/>
        <w:rPr>
          <w:b/>
          <w:lang w:val="en-GB"/>
        </w:rPr>
      </w:pPr>
      <w:r w:rsidRPr="007303ED">
        <w:rPr>
          <w:lang w:val="en-GB"/>
        </w:rPr>
        <w:t>Allocating adequate resources for and securing political support of the mechanism, including by integrating it within the government’s budget and priorities, and informing and sensitising Parliamentarians about the mechanism and the reports produced, so that they can endorse implementation of the TB findings and recommendations.</w:t>
      </w:r>
    </w:p>
    <w:p w14:paraId="4BBAF283" w14:textId="21D69C93" w:rsidR="009B3FFD" w:rsidRPr="009B3FFD" w:rsidRDefault="00026D36" w:rsidP="009B3FFD">
      <w:pPr>
        <w:pStyle w:val="ListParagraph"/>
        <w:numPr>
          <w:ilvl w:val="0"/>
          <w:numId w:val="29"/>
        </w:numPr>
        <w:spacing w:before="120" w:after="120" w:line="240" w:lineRule="auto"/>
        <w:contextualSpacing w:val="0"/>
        <w:jc w:val="both"/>
        <w:rPr>
          <w:b/>
          <w:lang w:val="en-GB"/>
        </w:rPr>
      </w:pPr>
      <w:r w:rsidRPr="007303ED">
        <w:rPr>
          <w:lang w:val="en-GB"/>
        </w:rPr>
        <w:t xml:space="preserve">Regular meetings, including “in-between” treaty body reporting to keep recommendations on the government’s agenda. </w:t>
      </w:r>
    </w:p>
    <w:p w14:paraId="3CDF2533" w14:textId="77777777" w:rsidR="009B3FFD" w:rsidRPr="00D56E93" w:rsidRDefault="009B3FFD" w:rsidP="009B3FFD">
      <w:pPr>
        <w:spacing w:before="120" w:after="120" w:line="240" w:lineRule="auto"/>
        <w:ind w:left="3"/>
        <w:jc w:val="both"/>
        <w:rPr>
          <w:b/>
          <w:lang w:val="en-GB"/>
        </w:rPr>
      </w:pPr>
      <w:r w:rsidRPr="00D56E93">
        <w:rPr>
          <w:i/>
          <w:lang w:val="en-GB"/>
        </w:rPr>
        <w:t>Databases</w:t>
      </w:r>
    </w:p>
    <w:p w14:paraId="6AE723E9" w14:textId="570140B4" w:rsidR="009B3FFD" w:rsidRPr="009B3FFD" w:rsidRDefault="009B3FFD" w:rsidP="009B3FFD">
      <w:pPr>
        <w:pStyle w:val="ListParagraph"/>
        <w:numPr>
          <w:ilvl w:val="0"/>
          <w:numId w:val="26"/>
        </w:numPr>
        <w:spacing w:before="120" w:after="120" w:line="240" w:lineRule="auto"/>
        <w:contextualSpacing w:val="0"/>
        <w:jc w:val="both"/>
        <w:rPr>
          <w:b/>
          <w:lang w:val="en-GB"/>
        </w:rPr>
      </w:pPr>
      <w:r w:rsidRPr="00D56E93">
        <w:rPr>
          <w:lang w:val="en-GB"/>
        </w:rPr>
        <w:t>The use of electronic databases or portals such as SIMORE (</w:t>
      </w:r>
      <w:r w:rsidRPr="00D56E93">
        <w:rPr>
          <w:i/>
          <w:lang w:val="en-GB"/>
        </w:rPr>
        <w:t>Sistema de Monitoreo de Recomendaciones</w:t>
      </w:r>
      <w:r w:rsidRPr="00D56E93">
        <w:rPr>
          <w:lang w:val="en-GB"/>
        </w:rPr>
        <w:t>, in Spanish), which allows States to compile all recommendations received from the Universal Periodic Review (UPR) and the TBs and to identify the institutions responsible for follow-up to their implementation. This also ensures transparency and scrutiny, as public institutions and civil society organizations can monitor the status of implementation of recommendations.</w:t>
      </w:r>
    </w:p>
    <w:p w14:paraId="5B06D4C3" w14:textId="77777777" w:rsidR="00026D36" w:rsidRPr="00D56E93" w:rsidRDefault="00026D36" w:rsidP="007303ED">
      <w:pPr>
        <w:pStyle w:val="ListParagraph"/>
        <w:numPr>
          <w:ilvl w:val="0"/>
          <w:numId w:val="2"/>
        </w:numPr>
        <w:spacing w:before="120" w:after="120" w:line="240" w:lineRule="auto"/>
        <w:ind w:left="360" w:hanging="357"/>
        <w:contextualSpacing w:val="0"/>
        <w:jc w:val="both"/>
        <w:rPr>
          <w:b/>
          <w:lang w:val="en-GB"/>
        </w:rPr>
      </w:pPr>
      <w:r w:rsidRPr="00D56E93">
        <w:rPr>
          <w:lang w:val="en-GB"/>
        </w:rPr>
        <w:t xml:space="preserve">A number of participants underlined how modern technology and the use of databases can support the collection of data required for reporting, and assist with the implementation of recommendations received. </w:t>
      </w:r>
    </w:p>
    <w:p w14:paraId="7608825D" w14:textId="77777777" w:rsidR="00026D36" w:rsidRPr="00D56E93" w:rsidRDefault="00026D36" w:rsidP="00026D36">
      <w:pPr>
        <w:spacing w:before="120" w:after="120" w:line="240" w:lineRule="auto"/>
        <w:rPr>
          <w:b/>
          <w:lang w:val="en-GB"/>
        </w:rPr>
      </w:pPr>
      <w:r w:rsidRPr="00D56E93">
        <w:rPr>
          <w:b/>
          <w:lang w:val="en-GB"/>
        </w:rPr>
        <w:t>Challenges</w:t>
      </w:r>
    </w:p>
    <w:p w14:paraId="3F7E1B60" w14:textId="77777777" w:rsidR="00B80EA1" w:rsidRPr="00D56E93" w:rsidRDefault="00641321" w:rsidP="00026D36">
      <w:pPr>
        <w:pStyle w:val="ListParagraph"/>
        <w:numPr>
          <w:ilvl w:val="0"/>
          <w:numId w:val="2"/>
        </w:numPr>
        <w:spacing w:before="120" w:after="120" w:line="240" w:lineRule="auto"/>
        <w:ind w:left="363" w:hanging="357"/>
        <w:contextualSpacing w:val="0"/>
        <w:jc w:val="both"/>
        <w:rPr>
          <w:b/>
          <w:lang w:val="en-GB"/>
        </w:rPr>
      </w:pPr>
      <w:r w:rsidRPr="00D56E93">
        <w:rPr>
          <w:lang w:val="en-GB"/>
        </w:rPr>
        <w:t>The</w:t>
      </w:r>
      <w:r w:rsidR="00E15CB4" w:rsidRPr="00D56E93">
        <w:rPr>
          <w:lang w:val="en-GB"/>
        </w:rPr>
        <w:t xml:space="preserve"> majority of participating</w:t>
      </w:r>
      <w:r w:rsidR="007C6D77" w:rsidRPr="00D56E93">
        <w:rPr>
          <w:lang w:val="en-GB"/>
        </w:rPr>
        <w:t xml:space="preserve"> </w:t>
      </w:r>
      <w:r w:rsidRPr="00D56E93">
        <w:rPr>
          <w:lang w:val="en-GB"/>
        </w:rPr>
        <w:t xml:space="preserve">Small </w:t>
      </w:r>
      <w:r w:rsidR="007C6D77" w:rsidRPr="00D56E93">
        <w:rPr>
          <w:lang w:val="en-GB"/>
        </w:rPr>
        <w:t xml:space="preserve">States </w:t>
      </w:r>
      <w:r w:rsidR="00D3767D" w:rsidRPr="00D56E93">
        <w:rPr>
          <w:lang w:val="en-GB"/>
        </w:rPr>
        <w:t xml:space="preserve">acknowledged </w:t>
      </w:r>
      <w:r w:rsidRPr="00D56E93">
        <w:rPr>
          <w:lang w:val="en-GB"/>
        </w:rPr>
        <w:t xml:space="preserve">that </w:t>
      </w:r>
      <w:r w:rsidR="00E442F2" w:rsidRPr="00D56E93">
        <w:rPr>
          <w:lang w:val="en-GB"/>
        </w:rPr>
        <w:t xml:space="preserve">there had been considerable efforts to simplify </w:t>
      </w:r>
      <w:r w:rsidRPr="00D56E93">
        <w:rPr>
          <w:lang w:val="en-GB"/>
        </w:rPr>
        <w:t xml:space="preserve">TB reporting </w:t>
      </w:r>
      <w:r w:rsidR="00E15CB4" w:rsidRPr="00D56E93">
        <w:rPr>
          <w:lang w:val="en-GB"/>
        </w:rPr>
        <w:t>over the years through</w:t>
      </w:r>
      <w:r w:rsidR="00E442F2" w:rsidRPr="00D56E93">
        <w:rPr>
          <w:lang w:val="en-GB"/>
        </w:rPr>
        <w:t>, for example,</w:t>
      </w:r>
      <w:r w:rsidR="00E15CB4" w:rsidRPr="00D56E93">
        <w:rPr>
          <w:lang w:val="en-GB"/>
        </w:rPr>
        <w:t xml:space="preserve"> the </w:t>
      </w:r>
      <w:r w:rsidRPr="00D56E93">
        <w:rPr>
          <w:lang w:val="en-GB"/>
        </w:rPr>
        <w:t xml:space="preserve">issuance of the Common Core Document, the </w:t>
      </w:r>
      <w:r w:rsidR="00E15CB4" w:rsidRPr="00D56E93">
        <w:rPr>
          <w:lang w:val="en-GB"/>
        </w:rPr>
        <w:t>adoption of the</w:t>
      </w:r>
      <w:r w:rsidR="00B42F98" w:rsidRPr="00D56E93">
        <w:rPr>
          <w:lang w:val="en-GB"/>
        </w:rPr>
        <w:t xml:space="preserve"> List of Issues Prior to Reporting (LOIPRs) as part of the new</w:t>
      </w:r>
      <w:r w:rsidR="00E15CB4" w:rsidRPr="00D56E93">
        <w:rPr>
          <w:lang w:val="en-GB"/>
        </w:rPr>
        <w:t xml:space="preserve"> simplified reporting procedure</w:t>
      </w:r>
      <w:r w:rsidR="00D92A2B" w:rsidRPr="00D56E93">
        <w:rPr>
          <w:lang w:val="en-GB"/>
        </w:rPr>
        <w:t>,</w:t>
      </w:r>
      <w:r w:rsidRPr="00D56E93">
        <w:rPr>
          <w:lang w:val="en-GB"/>
        </w:rPr>
        <w:t xml:space="preserve"> </w:t>
      </w:r>
      <w:r w:rsidR="00D92A2B" w:rsidRPr="00D56E93">
        <w:rPr>
          <w:lang w:val="en-GB"/>
        </w:rPr>
        <w:t>or</w:t>
      </w:r>
      <w:r w:rsidRPr="00D56E93">
        <w:rPr>
          <w:lang w:val="en-GB"/>
        </w:rPr>
        <w:t xml:space="preserve"> the follow-up procedure. However, all </w:t>
      </w:r>
      <w:r w:rsidR="00DE6A45" w:rsidRPr="00D56E93">
        <w:rPr>
          <w:lang w:val="en-GB"/>
        </w:rPr>
        <w:t>participants</w:t>
      </w:r>
      <w:r w:rsidRPr="00D56E93">
        <w:rPr>
          <w:lang w:val="en-GB"/>
        </w:rPr>
        <w:t xml:space="preserve"> highlighted th</w:t>
      </w:r>
      <w:r w:rsidR="00DE6A45" w:rsidRPr="00D56E93">
        <w:rPr>
          <w:lang w:val="en-GB"/>
        </w:rPr>
        <w:t xml:space="preserve">at notwithstanding these reforms, Small States still encounter a range of </w:t>
      </w:r>
      <w:r w:rsidRPr="00D56E93">
        <w:rPr>
          <w:lang w:val="en-GB"/>
        </w:rPr>
        <w:t xml:space="preserve">particular challenges </w:t>
      </w:r>
      <w:r w:rsidR="00DE6A45" w:rsidRPr="00D56E93">
        <w:rPr>
          <w:lang w:val="en-GB"/>
        </w:rPr>
        <w:t xml:space="preserve">as a result of </w:t>
      </w:r>
      <w:r w:rsidR="00F1596E" w:rsidRPr="00D56E93">
        <w:rPr>
          <w:lang w:val="en-GB"/>
        </w:rPr>
        <w:t>‘Small-</w:t>
      </w:r>
      <w:r w:rsidR="00DE6A45" w:rsidRPr="00D56E93">
        <w:rPr>
          <w:lang w:val="en-GB"/>
        </w:rPr>
        <w:t xml:space="preserve">State specific’ </w:t>
      </w:r>
      <w:r w:rsidRPr="00D56E93">
        <w:rPr>
          <w:lang w:val="en-GB"/>
        </w:rPr>
        <w:t xml:space="preserve">constraints. </w:t>
      </w:r>
    </w:p>
    <w:p w14:paraId="63ED19CC" w14:textId="77777777" w:rsidR="00026D36" w:rsidRPr="00D56E93" w:rsidRDefault="00026D36" w:rsidP="00026D36">
      <w:pPr>
        <w:spacing w:before="120" w:after="120" w:line="240" w:lineRule="auto"/>
        <w:jc w:val="both"/>
        <w:rPr>
          <w:i/>
          <w:lang w:val="en-GB"/>
        </w:rPr>
      </w:pPr>
      <w:r w:rsidRPr="00D56E93">
        <w:rPr>
          <w:i/>
          <w:lang w:val="en-GB"/>
        </w:rPr>
        <w:t xml:space="preserve">Phase I: Preparation of the report </w:t>
      </w:r>
    </w:p>
    <w:p w14:paraId="1A03A4D7" w14:textId="77777777" w:rsidR="00026D36" w:rsidRPr="00D56E93" w:rsidRDefault="00026D36" w:rsidP="007303ED">
      <w:pPr>
        <w:pStyle w:val="ListParagraph"/>
        <w:numPr>
          <w:ilvl w:val="0"/>
          <w:numId w:val="24"/>
        </w:numPr>
        <w:spacing w:before="120" w:after="120" w:line="240" w:lineRule="auto"/>
        <w:contextualSpacing w:val="0"/>
        <w:jc w:val="both"/>
        <w:rPr>
          <w:b/>
          <w:lang w:val="en-GB"/>
        </w:rPr>
      </w:pPr>
      <w:r w:rsidRPr="00D56E93">
        <w:rPr>
          <w:lang w:val="en-GB"/>
        </w:rPr>
        <w:t>Limited human resources mean that most Small States have few, and at times only one, staff in the relevant Ministry in charge of reporting. This prevents them from timely responses to a growing list of competing reporting obligations that arise out of the UPR process, the TB reviews and follow-up process, the Special Procedures requests, the voluntary national reviews under the 2030 Agenda, and, if applicable, any other regional human rights mechanisms.</w:t>
      </w:r>
    </w:p>
    <w:p w14:paraId="18D79E01" w14:textId="77777777" w:rsidR="00026D36" w:rsidRPr="00D56E93" w:rsidRDefault="00026D36" w:rsidP="007303ED">
      <w:pPr>
        <w:pStyle w:val="ListParagraph"/>
        <w:numPr>
          <w:ilvl w:val="0"/>
          <w:numId w:val="18"/>
        </w:numPr>
        <w:spacing w:before="120" w:after="120" w:line="240" w:lineRule="auto"/>
        <w:contextualSpacing w:val="0"/>
        <w:jc w:val="both"/>
        <w:rPr>
          <w:b/>
          <w:lang w:val="en-GB"/>
        </w:rPr>
      </w:pPr>
      <w:r w:rsidRPr="00D56E93">
        <w:rPr>
          <w:lang w:val="en-GB"/>
        </w:rPr>
        <w:t xml:space="preserve">A lack of funds and technical support to establish a NMRIF.  </w:t>
      </w:r>
    </w:p>
    <w:p w14:paraId="22D5544C" w14:textId="77777777" w:rsidR="00026D36" w:rsidRPr="00D56E93" w:rsidRDefault="00026D36" w:rsidP="007303ED">
      <w:pPr>
        <w:pStyle w:val="ListParagraph"/>
        <w:numPr>
          <w:ilvl w:val="0"/>
          <w:numId w:val="18"/>
        </w:numPr>
        <w:spacing w:before="120" w:after="120" w:line="240" w:lineRule="auto"/>
        <w:contextualSpacing w:val="0"/>
        <w:jc w:val="both"/>
        <w:rPr>
          <w:b/>
          <w:lang w:val="en-GB"/>
        </w:rPr>
      </w:pPr>
      <w:r w:rsidRPr="00D56E93">
        <w:rPr>
          <w:lang w:val="en-GB"/>
        </w:rPr>
        <w:t xml:space="preserve">In the absence of a NMIRF, the lack of coordination between different Ministries additionally exacerbates reporting on issues that affect a range of Ministries and departments. </w:t>
      </w:r>
    </w:p>
    <w:p w14:paraId="6D0FA978" w14:textId="77777777" w:rsidR="00026D36" w:rsidRPr="00D56E93" w:rsidRDefault="00026D36" w:rsidP="007303ED">
      <w:pPr>
        <w:pStyle w:val="ListParagraph"/>
        <w:numPr>
          <w:ilvl w:val="0"/>
          <w:numId w:val="18"/>
        </w:numPr>
        <w:spacing w:before="120" w:after="120" w:line="240" w:lineRule="auto"/>
        <w:contextualSpacing w:val="0"/>
        <w:jc w:val="both"/>
        <w:rPr>
          <w:b/>
          <w:lang w:val="en-GB"/>
        </w:rPr>
      </w:pPr>
      <w:r w:rsidRPr="00D56E93">
        <w:rPr>
          <w:lang w:val="en-GB"/>
        </w:rPr>
        <w:t>The existence of competing timelines for the submission of reports before different TBs and the growing number of reports to be submitted with newly ratified treaties;</w:t>
      </w:r>
    </w:p>
    <w:p w14:paraId="0CE553D6" w14:textId="77777777" w:rsidR="00026D36" w:rsidRPr="00D56E93" w:rsidRDefault="00026D36" w:rsidP="007303ED">
      <w:pPr>
        <w:pStyle w:val="ListParagraph"/>
        <w:numPr>
          <w:ilvl w:val="0"/>
          <w:numId w:val="18"/>
        </w:numPr>
        <w:spacing w:before="120" w:after="120" w:line="240" w:lineRule="auto"/>
        <w:contextualSpacing w:val="0"/>
        <w:jc w:val="both"/>
        <w:rPr>
          <w:b/>
          <w:lang w:val="en-GB"/>
        </w:rPr>
      </w:pPr>
      <w:r w:rsidRPr="00D56E93">
        <w:rPr>
          <w:lang w:val="en-GB"/>
        </w:rPr>
        <w:t>Different submission requirements, requiring Small States to spend time and resources understanding the different requirements and adjusting reports accordingly.</w:t>
      </w:r>
    </w:p>
    <w:p w14:paraId="54CDFA4E" w14:textId="77777777" w:rsidR="007E4F60" w:rsidRPr="00BC4689" w:rsidRDefault="00026D36" w:rsidP="00BC4689">
      <w:pPr>
        <w:pStyle w:val="ListParagraph"/>
        <w:numPr>
          <w:ilvl w:val="0"/>
          <w:numId w:val="18"/>
        </w:numPr>
        <w:spacing w:before="120" w:after="120" w:line="240" w:lineRule="auto"/>
        <w:contextualSpacing w:val="0"/>
        <w:jc w:val="both"/>
        <w:rPr>
          <w:b/>
          <w:lang w:val="en-GB"/>
        </w:rPr>
      </w:pPr>
      <w:r w:rsidRPr="00D56E93">
        <w:rPr>
          <w:lang w:val="en-GB"/>
        </w:rPr>
        <w:t xml:space="preserve">Insufficient electronic data compilation tools, making it difficult to compile data, and the inability to provide data in a disaggregated manner, as is often requested by the TBs. There was hesitation from some States based on political sensitivities regarding collecting data on a race/ethnicity-disaggregated basis, especially in countries recovering from race/ethnic violence or tensions. It was felt that the TBs did not take account of these factors in their requests. </w:t>
      </w:r>
    </w:p>
    <w:p w14:paraId="7D0859B3" w14:textId="77777777" w:rsidR="00026D36" w:rsidRPr="00D56E93" w:rsidRDefault="00026D36" w:rsidP="007303ED">
      <w:pPr>
        <w:spacing w:before="120" w:after="120" w:line="240" w:lineRule="auto"/>
        <w:jc w:val="both"/>
        <w:rPr>
          <w:i/>
          <w:lang w:val="en-GB"/>
        </w:rPr>
      </w:pPr>
      <w:r w:rsidRPr="00D56E93">
        <w:rPr>
          <w:i/>
          <w:lang w:val="en-GB"/>
        </w:rPr>
        <w:t>Phase II: Participating in the review in Geneva</w:t>
      </w:r>
    </w:p>
    <w:p w14:paraId="4466204A" w14:textId="77777777" w:rsidR="00026D36" w:rsidRPr="00D56E93" w:rsidRDefault="00026D36" w:rsidP="007303ED">
      <w:pPr>
        <w:pStyle w:val="ListParagraph"/>
        <w:numPr>
          <w:ilvl w:val="0"/>
          <w:numId w:val="19"/>
        </w:numPr>
        <w:spacing w:before="120" w:after="120" w:line="240" w:lineRule="auto"/>
        <w:contextualSpacing w:val="0"/>
        <w:jc w:val="both"/>
        <w:rPr>
          <w:b/>
          <w:lang w:val="en-GB"/>
        </w:rPr>
      </w:pPr>
      <w:r w:rsidRPr="00D56E93">
        <w:rPr>
          <w:lang w:val="en-GB"/>
        </w:rPr>
        <w:t>The financial burden associated with sending a State delegation to Geneva to attend the TB reviews;</w:t>
      </w:r>
    </w:p>
    <w:p w14:paraId="1CF17EE4" w14:textId="77777777" w:rsidR="00026D36" w:rsidRPr="00D56E93" w:rsidRDefault="00026D36" w:rsidP="007303ED">
      <w:pPr>
        <w:pStyle w:val="ListParagraph"/>
        <w:numPr>
          <w:ilvl w:val="0"/>
          <w:numId w:val="19"/>
        </w:numPr>
        <w:spacing w:before="120" w:after="120" w:line="240" w:lineRule="auto"/>
        <w:contextualSpacing w:val="0"/>
        <w:jc w:val="both"/>
        <w:rPr>
          <w:b/>
          <w:lang w:val="en-GB"/>
        </w:rPr>
      </w:pPr>
      <w:r w:rsidRPr="00D56E93">
        <w:rPr>
          <w:lang w:val="en-GB"/>
        </w:rPr>
        <w:t xml:space="preserve">Limited time given to delegations travelling to Geneva to respond to often more than 100 questions by the following day (especially relating to the CAT reviews). Participating States pointed out the great frustration and difficulty in responding to so many questions. This is particularly due to the lack of necessary support and/or technical expertise from their small missions in Geneva (many small States do not have missions in Geneva), which, coupled with the time difference, makes it difficult to get responses from their colleagues in capital in such short period of time. Also, there was limited time to ask advice from the committees. </w:t>
      </w:r>
    </w:p>
    <w:p w14:paraId="779DB9A8" w14:textId="77777777" w:rsidR="00026D36" w:rsidRPr="00D56E93" w:rsidRDefault="00026D36" w:rsidP="007303ED">
      <w:pPr>
        <w:pStyle w:val="ListParagraph"/>
        <w:numPr>
          <w:ilvl w:val="0"/>
          <w:numId w:val="19"/>
        </w:numPr>
        <w:spacing w:before="120" w:after="120" w:line="240" w:lineRule="auto"/>
        <w:contextualSpacing w:val="0"/>
        <w:jc w:val="both"/>
        <w:rPr>
          <w:b/>
          <w:lang w:val="en-GB"/>
        </w:rPr>
      </w:pPr>
      <w:r w:rsidRPr="00D56E93">
        <w:rPr>
          <w:lang w:val="en-GB"/>
        </w:rPr>
        <w:t xml:space="preserve">The different working methods and approaches to the TB review (face-to-face) process.  </w:t>
      </w:r>
    </w:p>
    <w:p w14:paraId="78E85126" w14:textId="77777777" w:rsidR="007E4F60" w:rsidRPr="00BC4689" w:rsidRDefault="00026D36" w:rsidP="00BC4689">
      <w:pPr>
        <w:pStyle w:val="ListParagraph"/>
        <w:numPr>
          <w:ilvl w:val="0"/>
          <w:numId w:val="19"/>
        </w:numPr>
        <w:spacing w:before="120" w:after="120" w:line="240" w:lineRule="auto"/>
        <w:contextualSpacing w:val="0"/>
        <w:jc w:val="both"/>
        <w:rPr>
          <w:b/>
          <w:lang w:val="en-GB"/>
        </w:rPr>
      </w:pPr>
      <w:r w:rsidRPr="00D56E93">
        <w:rPr>
          <w:lang w:val="en-GB"/>
        </w:rPr>
        <w:t xml:space="preserve">Related to this, a lack of clarity as to when the simplified reporting procedure could be used, due to the fact that TBs have not harmonised in which cases it is offered. </w:t>
      </w:r>
    </w:p>
    <w:p w14:paraId="037E0709" w14:textId="77777777" w:rsidR="00026D36" w:rsidRPr="00D56E93" w:rsidRDefault="00026D36" w:rsidP="007303ED">
      <w:pPr>
        <w:spacing w:before="120" w:after="120" w:line="240" w:lineRule="auto"/>
        <w:jc w:val="both"/>
        <w:rPr>
          <w:i/>
          <w:lang w:val="en-GB"/>
        </w:rPr>
      </w:pPr>
      <w:r w:rsidRPr="00D56E93">
        <w:rPr>
          <w:i/>
          <w:lang w:val="en-GB"/>
        </w:rPr>
        <w:t>Phase III: TB Concluding observations, recommendations and follow-up</w:t>
      </w:r>
    </w:p>
    <w:p w14:paraId="14E08ADC" w14:textId="77777777" w:rsidR="00026D36" w:rsidRPr="00D56E93" w:rsidRDefault="00026D36" w:rsidP="007303ED">
      <w:pPr>
        <w:pStyle w:val="ListParagraph"/>
        <w:numPr>
          <w:ilvl w:val="0"/>
          <w:numId w:val="20"/>
        </w:numPr>
        <w:spacing w:before="120" w:after="120" w:line="240" w:lineRule="auto"/>
        <w:contextualSpacing w:val="0"/>
        <w:jc w:val="both"/>
        <w:rPr>
          <w:i/>
          <w:lang w:val="en-GB"/>
        </w:rPr>
      </w:pPr>
      <w:r w:rsidRPr="00D56E93">
        <w:rPr>
          <w:lang w:val="en-GB"/>
        </w:rPr>
        <w:t>The absence of advice or assistance on how to implement specific recommendations, despite requests for such advice or assistance by Small States.</w:t>
      </w:r>
    </w:p>
    <w:p w14:paraId="053BE24E" w14:textId="77777777" w:rsidR="00026D36" w:rsidRPr="00D56E93" w:rsidRDefault="00026D36" w:rsidP="007303ED">
      <w:pPr>
        <w:pStyle w:val="ListParagraph"/>
        <w:spacing w:before="120" w:after="120" w:line="240" w:lineRule="auto"/>
        <w:contextualSpacing w:val="0"/>
        <w:jc w:val="both"/>
        <w:rPr>
          <w:i/>
          <w:lang w:val="en-GB"/>
        </w:rPr>
      </w:pPr>
    </w:p>
    <w:p w14:paraId="65658FA5" w14:textId="77777777" w:rsidR="00A95F9B" w:rsidRPr="00D56E93" w:rsidRDefault="00A95F9B" w:rsidP="007303ED">
      <w:pPr>
        <w:spacing w:before="120" w:after="120" w:line="240" w:lineRule="auto"/>
        <w:jc w:val="both"/>
        <w:rPr>
          <w:b/>
          <w:lang w:val="en-GB"/>
        </w:rPr>
      </w:pPr>
      <w:r w:rsidRPr="00D56E93">
        <w:rPr>
          <w:b/>
          <w:lang w:val="en-GB"/>
        </w:rPr>
        <w:t>Recommendations</w:t>
      </w:r>
    </w:p>
    <w:p w14:paraId="04448775" w14:textId="77777777" w:rsidR="00633EB9" w:rsidRDefault="00CB6F2B" w:rsidP="007303ED">
      <w:pPr>
        <w:pStyle w:val="ListParagraph"/>
        <w:numPr>
          <w:ilvl w:val="0"/>
          <w:numId w:val="25"/>
        </w:numPr>
        <w:spacing w:before="120" w:after="120" w:line="240" w:lineRule="auto"/>
        <w:contextualSpacing w:val="0"/>
        <w:jc w:val="both"/>
        <w:rPr>
          <w:lang w:val="en-GB"/>
        </w:rPr>
      </w:pPr>
      <w:r w:rsidRPr="00D56E93">
        <w:rPr>
          <w:lang w:val="en-GB"/>
        </w:rPr>
        <w:t>Participants highlighted that the 2020 Treaty Body reform</w:t>
      </w:r>
      <w:r w:rsidR="0099576E" w:rsidRPr="00D56E93">
        <w:rPr>
          <w:lang w:val="en-GB"/>
        </w:rPr>
        <w:t xml:space="preserve"> process</w:t>
      </w:r>
      <w:r w:rsidRPr="00D56E93">
        <w:rPr>
          <w:lang w:val="en-GB"/>
        </w:rPr>
        <w:t xml:space="preserve"> </w:t>
      </w:r>
      <w:r w:rsidR="00B051DE" w:rsidRPr="00D56E93">
        <w:rPr>
          <w:lang w:val="en-GB"/>
        </w:rPr>
        <w:t xml:space="preserve">and CTI’s briefing to the UN Committee against Torture, </w:t>
      </w:r>
      <w:r w:rsidRPr="00D56E93">
        <w:rPr>
          <w:lang w:val="en-GB"/>
        </w:rPr>
        <w:t xml:space="preserve">present </w:t>
      </w:r>
      <w:r w:rsidR="00B051DE" w:rsidRPr="00D56E93">
        <w:rPr>
          <w:lang w:val="en-GB"/>
        </w:rPr>
        <w:t xml:space="preserve">two </w:t>
      </w:r>
      <w:r w:rsidR="0099576E" w:rsidRPr="00D56E93">
        <w:rPr>
          <w:lang w:val="en-GB"/>
        </w:rPr>
        <w:t>opportunities</w:t>
      </w:r>
      <w:r w:rsidRPr="00D56E93">
        <w:rPr>
          <w:lang w:val="en-GB"/>
        </w:rPr>
        <w:t xml:space="preserve"> to </w:t>
      </w:r>
      <w:r w:rsidR="00B051DE" w:rsidRPr="00D56E93">
        <w:rPr>
          <w:lang w:val="en-GB"/>
        </w:rPr>
        <w:t xml:space="preserve">raise </w:t>
      </w:r>
      <w:r w:rsidRPr="00D56E93">
        <w:rPr>
          <w:lang w:val="en-GB"/>
        </w:rPr>
        <w:t xml:space="preserve">Small States’ concerns and constraints, and </w:t>
      </w:r>
      <w:r w:rsidR="008D563A" w:rsidRPr="00D56E93">
        <w:rPr>
          <w:lang w:val="en-GB"/>
        </w:rPr>
        <w:t xml:space="preserve">share a number of recommendations </w:t>
      </w:r>
      <w:r w:rsidRPr="00D56E93">
        <w:rPr>
          <w:lang w:val="en-GB"/>
        </w:rPr>
        <w:t xml:space="preserve">on how </w:t>
      </w:r>
      <w:r w:rsidR="008D563A" w:rsidRPr="00D56E93">
        <w:rPr>
          <w:lang w:val="en-GB"/>
        </w:rPr>
        <w:t>to ease their reporting burden, streamline TBs reporting procedures and make them more accessible</w:t>
      </w:r>
      <w:r w:rsidRPr="00D56E93">
        <w:rPr>
          <w:lang w:val="en-GB"/>
        </w:rPr>
        <w:t xml:space="preserve"> for Small States</w:t>
      </w:r>
      <w:r w:rsidR="008D563A" w:rsidRPr="00D56E93">
        <w:rPr>
          <w:lang w:val="en-GB"/>
        </w:rPr>
        <w:t xml:space="preserve">. </w:t>
      </w:r>
    </w:p>
    <w:p w14:paraId="540D572A" w14:textId="77777777" w:rsidR="009D1203" w:rsidRPr="00D56E93" w:rsidRDefault="00BB07B6" w:rsidP="007303ED">
      <w:pPr>
        <w:spacing w:before="120" w:after="120" w:line="240" w:lineRule="auto"/>
        <w:jc w:val="both"/>
        <w:rPr>
          <w:i/>
          <w:lang w:val="en-GB"/>
        </w:rPr>
      </w:pPr>
      <w:r w:rsidRPr="00D56E93">
        <w:rPr>
          <w:i/>
          <w:lang w:val="en-GB"/>
        </w:rPr>
        <w:t>Phase I: Preparation of the report</w:t>
      </w:r>
    </w:p>
    <w:p w14:paraId="1ED5C0EC" w14:textId="77777777" w:rsidR="007303ED" w:rsidRDefault="009D1203" w:rsidP="007303ED">
      <w:pPr>
        <w:pStyle w:val="ListParagraph"/>
        <w:numPr>
          <w:ilvl w:val="0"/>
          <w:numId w:val="20"/>
        </w:numPr>
        <w:spacing w:before="120" w:after="120" w:line="240" w:lineRule="auto"/>
        <w:contextualSpacing w:val="0"/>
        <w:jc w:val="both"/>
        <w:rPr>
          <w:lang w:val="en-GB"/>
        </w:rPr>
      </w:pPr>
      <w:r w:rsidRPr="007303ED">
        <w:rPr>
          <w:lang w:val="en-GB"/>
        </w:rPr>
        <w:t>S</w:t>
      </w:r>
      <w:r w:rsidR="00FC5761" w:rsidRPr="007303ED">
        <w:rPr>
          <w:lang w:val="en-GB"/>
        </w:rPr>
        <w:t xml:space="preserve">implify </w:t>
      </w:r>
      <w:r w:rsidR="00B051DE" w:rsidRPr="007303ED">
        <w:rPr>
          <w:lang w:val="en-GB"/>
        </w:rPr>
        <w:t xml:space="preserve">even further </w:t>
      </w:r>
      <w:r w:rsidR="00FC5761" w:rsidRPr="007303ED">
        <w:rPr>
          <w:lang w:val="en-GB"/>
        </w:rPr>
        <w:t>and harmonise</w:t>
      </w:r>
      <w:r w:rsidR="00CB6F2B" w:rsidRPr="007303ED">
        <w:rPr>
          <w:lang w:val="en-GB"/>
        </w:rPr>
        <w:t xml:space="preserve"> </w:t>
      </w:r>
      <w:r w:rsidRPr="007303ED">
        <w:rPr>
          <w:lang w:val="en-GB"/>
        </w:rPr>
        <w:t>the reporting procedures</w:t>
      </w:r>
      <w:r w:rsidR="00CB6F2B" w:rsidRPr="007303ED">
        <w:rPr>
          <w:lang w:val="en-GB"/>
        </w:rPr>
        <w:t xml:space="preserve"> of the different TBs</w:t>
      </w:r>
      <w:r w:rsidRPr="007303ED">
        <w:rPr>
          <w:lang w:val="en-GB"/>
        </w:rPr>
        <w:t>, with the possibility of providing States with a template to ease the drafting of the report</w:t>
      </w:r>
      <w:r w:rsidR="00CB6F2B" w:rsidRPr="007303ED">
        <w:rPr>
          <w:lang w:val="en-GB"/>
        </w:rPr>
        <w:t xml:space="preserve">, </w:t>
      </w:r>
      <w:r w:rsidRPr="007303ED">
        <w:rPr>
          <w:lang w:val="en-GB"/>
        </w:rPr>
        <w:t>to ensure better coordination with one another</w:t>
      </w:r>
      <w:r w:rsidR="00835CC2" w:rsidRPr="007303ED">
        <w:rPr>
          <w:lang w:val="en-GB"/>
        </w:rPr>
        <w:t xml:space="preserve"> and</w:t>
      </w:r>
      <w:r w:rsidRPr="007303ED">
        <w:rPr>
          <w:lang w:val="en-GB"/>
        </w:rPr>
        <w:t xml:space="preserve"> to avoid </w:t>
      </w:r>
      <w:r w:rsidR="00D3767D" w:rsidRPr="007303ED">
        <w:rPr>
          <w:lang w:val="en-GB"/>
        </w:rPr>
        <w:t xml:space="preserve">unnecessary </w:t>
      </w:r>
      <w:r w:rsidRPr="007303ED">
        <w:rPr>
          <w:lang w:val="en-GB"/>
        </w:rPr>
        <w:t>duplication of questi</w:t>
      </w:r>
      <w:r w:rsidR="001C6EC6" w:rsidRPr="007303ED">
        <w:rPr>
          <w:lang w:val="en-GB"/>
        </w:rPr>
        <w:t>ons, themes and recommendations.</w:t>
      </w:r>
      <w:r w:rsidR="00777D2E" w:rsidRPr="007303ED">
        <w:rPr>
          <w:lang w:val="en-GB"/>
        </w:rPr>
        <w:t xml:space="preserve"> </w:t>
      </w:r>
    </w:p>
    <w:p w14:paraId="0956EF56" w14:textId="77777777" w:rsidR="007303ED" w:rsidRDefault="00777D2E" w:rsidP="007303ED">
      <w:pPr>
        <w:pStyle w:val="ListParagraph"/>
        <w:numPr>
          <w:ilvl w:val="0"/>
          <w:numId w:val="20"/>
        </w:numPr>
        <w:spacing w:before="120" w:after="120" w:line="240" w:lineRule="auto"/>
        <w:contextualSpacing w:val="0"/>
        <w:jc w:val="both"/>
        <w:rPr>
          <w:lang w:val="en-GB"/>
        </w:rPr>
      </w:pPr>
      <w:r w:rsidRPr="007303ED">
        <w:rPr>
          <w:lang w:val="en-GB"/>
        </w:rPr>
        <w:t xml:space="preserve">It was suggested that TBs could select up to five areas for discussion, rather than the full spectrum of issues (especially for periodic reports). </w:t>
      </w:r>
      <w:r w:rsidR="001E0837" w:rsidRPr="007303ED">
        <w:rPr>
          <w:lang w:val="en-GB"/>
        </w:rPr>
        <w:t xml:space="preserve">Another suggestion was that reporting focus on the macro-issues. </w:t>
      </w:r>
    </w:p>
    <w:p w14:paraId="6728624C" w14:textId="77777777" w:rsidR="007303ED" w:rsidRDefault="00D44245" w:rsidP="007303ED">
      <w:pPr>
        <w:pStyle w:val="ListParagraph"/>
        <w:numPr>
          <w:ilvl w:val="0"/>
          <w:numId w:val="20"/>
        </w:numPr>
        <w:spacing w:before="120" w:after="120" w:line="240" w:lineRule="auto"/>
        <w:contextualSpacing w:val="0"/>
        <w:jc w:val="both"/>
        <w:rPr>
          <w:lang w:val="en-GB"/>
        </w:rPr>
      </w:pPr>
      <w:r w:rsidRPr="007303ED">
        <w:rPr>
          <w:lang w:val="en-GB"/>
        </w:rPr>
        <w:t xml:space="preserve">LOIPR should be available across-the-board, including for initial reports. </w:t>
      </w:r>
    </w:p>
    <w:p w14:paraId="134FF652" w14:textId="77777777" w:rsidR="007303ED" w:rsidRDefault="00FC5761" w:rsidP="007303ED">
      <w:pPr>
        <w:pStyle w:val="ListParagraph"/>
        <w:numPr>
          <w:ilvl w:val="0"/>
          <w:numId w:val="20"/>
        </w:numPr>
        <w:spacing w:before="120" w:after="120" w:line="240" w:lineRule="auto"/>
        <w:contextualSpacing w:val="0"/>
        <w:jc w:val="both"/>
        <w:rPr>
          <w:lang w:val="en-GB"/>
        </w:rPr>
      </w:pPr>
      <w:r w:rsidRPr="007303ED">
        <w:rPr>
          <w:lang w:val="en-GB"/>
        </w:rPr>
        <w:t>Allow</w:t>
      </w:r>
      <w:r w:rsidR="0034099F" w:rsidRPr="007303ED">
        <w:rPr>
          <w:lang w:val="en-GB"/>
        </w:rPr>
        <w:t xml:space="preserve"> States to request the LOIPR only once, applicable for all TBs (rather than separate requests to each TB) and thereafter for it to be applied automatically.</w:t>
      </w:r>
    </w:p>
    <w:p w14:paraId="7DA9732A" w14:textId="77777777" w:rsidR="007303ED" w:rsidRDefault="00FC5761" w:rsidP="007303ED">
      <w:pPr>
        <w:pStyle w:val="ListParagraph"/>
        <w:numPr>
          <w:ilvl w:val="0"/>
          <w:numId w:val="20"/>
        </w:numPr>
        <w:spacing w:before="120" w:after="120" w:line="240" w:lineRule="auto"/>
        <w:contextualSpacing w:val="0"/>
        <w:jc w:val="both"/>
        <w:rPr>
          <w:lang w:val="en-GB"/>
        </w:rPr>
      </w:pPr>
      <w:r w:rsidRPr="007303ED">
        <w:rPr>
          <w:lang w:val="en-GB"/>
        </w:rPr>
        <w:t>Offer</w:t>
      </w:r>
      <w:r w:rsidR="0028746D" w:rsidRPr="007303ED">
        <w:rPr>
          <w:lang w:val="en-GB"/>
        </w:rPr>
        <w:t xml:space="preserve"> greater flexibility in arranging the calendar of TB reviews, including with the possibility of allowing the State to request an extension for submission of the report, particularly in cases where the report was drafted by a previous Government</w:t>
      </w:r>
      <w:r w:rsidR="007268D4" w:rsidRPr="007303ED">
        <w:rPr>
          <w:lang w:val="en-GB"/>
        </w:rPr>
        <w:t xml:space="preserve">, or where multiple reports are scheduled </w:t>
      </w:r>
      <w:r w:rsidR="00D3767D" w:rsidRPr="007303ED">
        <w:rPr>
          <w:lang w:val="en-GB"/>
        </w:rPr>
        <w:t>in</w:t>
      </w:r>
      <w:r w:rsidR="007268D4" w:rsidRPr="007303ED">
        <w:rPr>
          <w:lang w:val="en-GB"/>
        </w:rPr>
        <w:t xml:space="preserve"> a single year</w:t>
      </w:r>
      <w:r w:rsidR="001C6EC6" w:rsidRPr="007303ED">
        <w:rPr>
          <w:lang w:val="en-GB"/>
        </w:rPr>
        <w:t>.</w:t>
      </w:r>
      <w:r w:rsidR="007268D4" w:rsidRPr="007303ED">
        <w:rPr>
          <w:lang w:val="en-GB"/>
        </w:rPr>
        <w:t xml:space="preserve"> </w:t>
      </w:r>
    </w:p>
    <w:p w14:paraId="68B4081E" w14:textId="77777777" w:rsidR="007303ED" w:rsidRDefault="00D3767D" w:rsidP="007303ED">
      <w:pPr>
        <w:pStyle w:val="ListParagraph"/>
        <w:numPr>
          <w:ilvl w:val="0"/>
          <w:numId w:val="20"/>
        </w:numPr>
        <w:spacing w:before="120" w:after="120" w:line="240" w:lineRule="auto"/>
        <w:contextualSpacing w:val="0"/>
        <w:jc w:val="both"/>
        <w:rPr>
          <w:lang w:val="en-GB"/>
        </w:rPr>
      </w:pPr>
      <w:r w:rsidRPr="007303ED">
        <w:rPr>
          <w:lang w:val="en-GB"/>
        </w:rPr>
        <w:t xml:space="preserve">Request </w:t>
      </w:r>
      <w:r w:rsidR="0028746D" w:rsidRPr="007303ED">
        <w:rPr>
          <w:lang w:val="en-GB"/>
        </w:rPr>
        <w:t xml:space="preserve">for TBs </w:t>
      </w:r>
      <w:r w:rsidRPr="007303ED">
        <w:rPr>
          <w:lang w:val="en-GB"/>
        </w:rPr>
        <w:t xml:space="preserve">or their Secretariats </w:t>
      </w:r>
      <w:r w:rsidR="0028746D" w:rsidRPr="007303ED">
        <w:rPr>
          <w:lang w:val="en-GB"/>
        </w:rPr>
        <w:t xml:space="preserve">to hold briefings </w:t>
      </w:r>
      <w:r w:rsidRPr="007303ED">
        <w:rPr>
          <w:lang w:val="en-GB"/>
        </w:rPr>
        <w:t xml:space="preserve">in Geneva on TB reporting, </w:t>
      </w:r>
      <w:r w:rsidR="0028746D" w:rsidRPr="007303ED">
        <w:rPr>
          <w:lang w:val="en-GB"/>
        </w:rPr>
        <w:t xml:space="preserve">or to </w:t>
      </w:r>
      <w:r w:rsidRPr="007303ED">
        <w:rPr>
          <w:lang w:val="en-GB"/>
        </w:rPr>
        <w:t xml:space="preserve">prepare </w:t>
      </w:r>
      <w:r w:rsidR="0028746D" w:rsidRPr="007303ED">
        <w:rPr>
          <w:lang w:val="en-GB"/>
        </w:rPr>
        <w:t xml:space="preserve">a tool (in written or video format) that practically informs delegations about what to expect during the review. </w:t>
      </w:r>
    </w:p>
    <w:p w14:paraId="5DA85C76" w14:textId="77777777" w:rsidR="00ED2DFF" w:rsidRPr="00BC4689" w:rsidRDefault="00FC5761" w:rsidP="00BC4689">
      <w:pPr>
        <w:pStyle w:val="ListParagraph"/>
        <w:numPr>
          <w:ilvl w:val="0"/>
          <w:numId w:val="20"/>
        </w:numPr>
        <w:spacing w:before="120" w:after="120" w:line="240" w:lineRule="auto"/>
        <w:contextualSpacing w:val="0"/>
        <w:jc w:val="both"/>
        <w:rPr>
          <w:lang w:val="en-GB"/>
        </w:rPr>
      </w:pPr>
      <w:r w:rsidRPr="007303ED">
        <w:rPr>
          <w:lang w:val="en-GB"/>
        </w:rPr>
        <w:t>Put</w:t>
      </w:r>
      <w:r w:rsidR="00266952" w:rsidRPr="007303ED">
        <w:rPr>
          <w:lang w:val="en-GB"/>
        </w:rPr>
        <w:t xml:space="preserve"> in place a single </w:t>
      </w:r>
      <w:r w:rsidRPr="007303ED">
        <w:rPr>
          <w:lang w:val="en-GB"/>
        </w:rPr>
        <w:t>“</w:t>
      </w:r>
      <w:r w:rsidR="00266952" w:rsidRPr="007303ED">
        <w:rPr>
          <w:lang w:val="en-GB"/>
        </w:rPr>
        <w:t xml:space="preserve">TB </w:t>
      </w:r>
      <w:r w:rsidR="00E35115" w:rsidRPr="007303ED">
        <w:rPr>
          <w:lang w:val="en-GB"/>
        </w:rPr>
        <w:t xml:space="preserve">Reporting </w:t>
      </w:r>
      <w:r w:rsidR="00266952" w:rsidRPr="007303ED">
        <w:rPr>
          <w:lang w:val="en-GB"/>
        </w:rPr>
        <w:t>Secretariat</w:t>
      </w:r>
      <w:r w:rsidRPr="007303ED">
        <w:rPr>
          <w:lang w:val="en-GB"/>
        </w:rPr>
        <w:t>”</w:t>
      </w:r>
      <w:r w:rsidR="00266952" w:rsidRPr="007303ED">
        <w:rPr>
          <w:lang w:val="en-GB"/>
        </w:rPr>
        <w:t xml:space="preserve"> that coordinates scheduling and calendaring for all TBs to ensure greater predictability of country </w:t>
      </w:r>
      <w:r w:rsidR="001C6EC6" w:rsidRPr="007303ED">
        <w:rPr>
          <w:lang w:val="en-GB"/>
        </w:rPr>
        <w:t>reviews</w:t>
      </w:r>
      <w:r w:rsidR="00E93CF8" w:rsidRPr="007303ED">
        <w:rPr>
          <w:lang w:val="en-GB"/>
        </w:rPr>
        <w:t xml:space="preserve"> and avoids Small States from having to report to multiple TBs within a short timeframe. Scheduling should also take into account a country’s UPR review. </w:t>
      </w:r>
    </w:p>
    <w:p w14:paraId="1EEFF47C" w14:textId="77777777" w:rsidR="009D1203" w:rsidRPr="00D56E93" w:rsidRDefault="009D1203" w:rsidP="007303ED">
      <w:pPr>
        <w:spacing w:before="120" w:after="120" w:line="240" w:lineRule="auto"/>
        <w:jc w:val="both"/>
        <w:rPr>
          <w:lang w:val="en-GB"/>
        </w:rPr>
      </w:pPr>
      <w:r w:rsidRPr="00D56E93">
        <w:rPr>
          <w:i/>
          <w:lang w:val="en-GB"/>
        </w:rPr>
        <w:t xml:space="preserve">Phase II: </w:t>
      </w:r>
      <w:r w:rsidR="00BB07B6" w:rsidRPr="00D56E93">
        <w:rPr>
          <w:i/>
          <w:lang w:val="en-GB"/>
        </w:rPr>
        <w:t>Participating in the review</w:t>
      </w:r>
      <w:r w:rsidR="00E41F13" w:rsidRPr="00D56E93">
        <w:rPr>
          <w:i/>
          <w:lang w:val="en-GB"/>
        </w:rPr>
        <w:t xml:space="preserve"> in</w:t>
      </w:r>
      <w:r w:rsidR="004D4C0A" w:rsidRPr="00D56E93">
        <w:rPr>
          <w:i/>
          <w:lang w:val="en-GB"/>
        </w:rPr>
        <w:t xml:space="preserve"> Geneva </w:t>
      </w:r>
      <w:r w:rsidRPr="00D56E93">
        <w:rPr>
          <w:i/>
          <w:lang w:val="en-GB"/>
        </w:rPr>
        <w:t xml:space="preserve"> </w:t>
      </w:r>
    </w:p>
    <w:p w14:paraId="7682F5D0" w14:textId="409287B8" w:rsidR="007303ED" w:rsidRDefault="005355DC" w:rsidP="007303ED">
      <w:pPr>
        <w:pStyle w:val="ListParagraph"/>
        <w:numPr>
          <w:ilvl w:val="0"/>
          <w:numId w:val="27"/>
        </w:numPr>
        <w:spacing w:before="120" w:after="120" w:line="240" w:lineRule="auto"/>
        <w:contextualSpacing w:val="0"/>
        <w:jc w:val="both"/>
        <w:rPr>
          <w:lang w:val="en-GB"/>
        </w:rPr>
      </w:pPr>
      <w:r w:rsidRPr="007303ED">
        <w:rPr>
          <w:lang w:val="en-GB"/>
        </w:rPr>
        <w:t>Expand the mandate of the</w:t>
      </w:r>
      <w:r w:rsidR="00D13C96">
        <w:rPr>
          <w:lang w:val="en-GB"/>
        </w:rPr>
        <w:t xml:space="preserve"> “</w:t>
      </w:r>
      <w:r w:rsidR="00915104" w:rsidRPr="007303ED">
        <w:rPr>
          <w:lang w:val="en-GB"/>
        </w:rPr>
        <w:t>Trust Fund to Support the Participation of Least Developed Countries (LDCs) and Small Island Developing State</w:t>
      </w:r>
      <w:r w:rsidR="00D13C96">
        <w:rPr>
          <w:lang w:val="en-GB"/>
        </w:rPr>
        <w:t>s (SIDS) in the work of the HRC”</w:t>
      </w:r>
      <w:r w:rsidR="00915104" w:rsidRPr="007303ED">
        <w:rPr>
          <w:lang w:val="en-GB"/>
        </w:rPr>
        <w:t xml:space="preserve"> to include spec</w:t>
      </w:r>
      <w:r w:rsidR="00BB07B6" w:rsidRPr="007303ED">
        <w:rPr>
          <w:lang w:val="en-GB"/>
        </w:rPr>
        <w:t>ific support to facilitate LDCs/</w:t>
      </w:r>
      <w:r w:rsidR="00915104" w:rsidRPr="007303ED">
        <w:rPr>
          <w:lang w:val="en-GB"/>
        </w:rPr>
        <w:t xml:space="preserve">SIDS reporting to TBs in Geneva. This would help address financial constraints of Small States to send </w:t>
      </w:r>
      <w:r w:rsidR="00E41F13" w:rsidRPr="007303ED">
        <w:rPr>
          <w:lang w:val="en-GB"/>
        </w:rPr>
        <w:t>representation</w:t>
      </w:r>
      <w:r w:rsidR="00915104" w:rsidRPr="007303ED">
        <w:rPr>
          <w:lang w:val="en-GB"/>
        </w:rPr>
        <w:t xml:space="preserve"> to Geneva for TB reporting. </w:t>
      </w:r>
    </w:p>
    <w:p w14:paraId="191D1251" w14:textId="77777777" w:rsidR="007303ED" w:rsidRDefault="005355DC" w:rsidP="007303ED">
      <w:pPr>
        <w:pStyle w:val="ListParagraph"/>
        <w:numPr>
          <w:ilvl w:val="0"/>
          <w:numId w:val="27"/>
        </w:numPr>
        <w:spacing w:before="120" w:after="120" w:line="240" w:lineRule="auto"/>
        <w:contextualSpacing w:val="0"/>
        <w:jc w:val="both"/>
        <w:rPr>
          <w:lang w:val="en-GB"/>
        </w:rPr>
      </w:pPr>
      <w:r w:rsidRPr="007303ED">
        <w:rPr>
          <w:lang w:val="en-GB"/>
        </w:rPr>
        <w:t xml:space="preserve">Increase </w:t>
      </w:r>
      <w:r w:rsidR="009D1203" w:rsidRPr="007303ED">
        <w:rPr>
          <w:lang w:val="en-GB"/>
        </w:rPr>
        <w:t xml:space="preserve">the use of </w:t>
      </w:r>
      <w:r w:rsidRPr="007303ED">
        <w:rPr>
          <w:lang w:val="en-GB"/>
        </w:rPr>
        <w:t xml:space="preserve">reporting via </w:t>
      </w:r>
      <w:r w:rsidR="009D1203" w:rsidRPr="007303ED">
        <w:rPr>
          <w:lang w:val="en-GB"/>
        </w:rPr>
        <w:t>videoconference</w:t>
      </w:r>
      <w:r w:rsidR="001C6EC6" w:rsidRPr="007303ED">
        <w:rPr>
          <w:lang w:val="en-GB"/>
        </w:rPr>
        <w:t>.</w:t>
      </w:r>
      <w:r w:rsidR="00835CC2" w:rsidRPr="007303ED">
        <w:rPr>
          <w:lang w:val="en-GB"/>
        </w:rPr>
        <w:t xml:space="preserve"> </w:t>
      </w:r>
      <w:r w:rsidR="00187A83" w:rsidRPr="007303ED">
        <w:rPr>
          <w:lang w:val="en-GB"/>
        </w:rPr>
        <w:t>For example, a</w:t>
      </w:r>
      <w:r w:rsidR="00062BAB" w:rsidRPr="007303ED">
        <w:rPr>
          <w:lang w:val="en-GB"/>
        </w:rPr>
        <w:t xml:space="preserve"> State mentioned the usefulness </w:t>
      </w:r>
      <w:r w:rsidR="00154A70" w:rsidRPr="007303ED">
        <w:rPr>
          <w:lang w:val="en-GB"/>
        </w:rPr>
        <w:t>of being able to report via</w:t>
      </w:r>
      <w:r w:rsidR="003722E8" w:rsidRPr="007303ED">
        <w:rPr>
          <w:lang w:val="en-GB"/>
        </w:rPr>
        <w:t xml:space="preserve"> videoconference</w:t>
      </w:r>
      <w:r w:rsidR="00062BAB" w:rsidRPr="007303ED">
        <w:rPr>
          <w:lang w:val="en-GB"/>
        </w:rPr>
        <w:t xml:space="preserve"> in </w:t>
      </w:r>
      <w:r w:rsidR="00E35115" w:rsidRPr="007303ED">
        <w:rPr>
          <w:lang w:val="en-GB"/>
        </w:rPr>
        <w:t xml:space="preserve">one of </w:t>
      </w:r>
      <w:r w:rsidR="00062BAB" w:rsidRPr="007303ED">
        <w:rPr>
          <w:lang w:val="en-GB"/>
        </w:rPr>
        <w:t>OHCHR</w:t>
      </w:r>
      <w:r w:rsidR="00154A70" w:rsidRPr="007303ED">
        <w:rPr>
          <w:lang w:val="en-GB"/>
        </w:rPr>
        <w:t>’s regional office</w:t>
      </w:r>
      <w:r w:rsidR="00E35115" w:rsidRPr="007303ED">
        <w:rPr>
          <w:lang w:val="en-GB"/>
        </w:rPr>
        <w:t>s</w:t>
      </w:r>
      <w:r w:rsidR="00062BAB" w:rsidRPr="007303ED">
        <w:rPr>
          <w:lang w:val="en-GB"/>
        </w:rPr>
        <w:t>.</w:t>
      </w:r>
      <w:r w:rsidR="00E35115" w:rsidRPr="007303ED">
        <w:rPr>
          <w:lang w:val="en-GB"/>
        </w:rPr>
        <w:t xml:space="preserve"> </w:t>
      </w:r>
      <w:r w:rsidR="00884C07" w:rsidRPr="007303ED">
        <w:rPr>
          <w:lang w:val="en-GB"/>
        </w:rPr>
        <w:t xml:space="preserve">In this regard, </w:t>
      </w:r>
      <w:r w:rsidR="00E35115" w:rsidRPr="007303ED">
        <w:rPr>
          <w:lang w:val="en-GB"/>
        </w:rPr>
        <w:t>OHCHR could promote the possibility of holding TB reviews in their regional offices. Meetings before the submission of the report would also be helpful to assist with reporting and could also be a possibility for technical assistance to be offered.</w:t>
      </w:r>
    </w:p>
    <w:p w14:paraId="0B547AAE" w14:textId="77777777" w:rsidR="007303ED" w:rsidRDefault="006A08C4" w:rsidP="007303ED">
      <w:pPr>
        <w:pStyle w:val="ListParagraph"/>
        <w:numPr>
          <w:ilvl w:val="0"/>
          <w:numId w:val="27"/>
        </w:numPr>
        <w:spacing w:before="120" w:after="120" w:line="240" w:lineRule="auto"/>
        <w:contextualSpacing w:val="0"/>
        <w:jc w:val="both"/>
        <w:rPr>
          <w:lang w:val="en-GB"/>
        </w:rPr>
      </w:pPr>
      <w:r w:rsidRPr="007303ED">
        <w:rPr>
          <w:lang w:val="en-GB"/>
        </w:rPr>
        <w:t>Where appropriate, h</w:t>
      </w:r>
      <w:r w:rsidR="0028746D" w:rsidRPr="007303ED">
        <w:rPr>
          <w:lang w:val="en-GB"/>
        </w:rPr>
        <w:t xml:space="preserve">old de-localised sessions in the State under review or </w:t>
      </w:r>
      <w:r w:rsidRPr="007303ED">
        <w:rPr>
          <w:lang w:val="en-GB"/>
        </w:rPr>
        <w:t>“regional sessions” with several countries of a specific region at the same time</w:t>
      </w:r>
      <w:r w:rsidR="0028746D" w:rsidRPr="007303ED">
        <w:rPr>
          <w:lang w:val="en-GB"/>
        </w:rPr>
        <w:t xml:space="preserve">. </w:t>
      </w:r>
      <w:r w:rsidRPr="007303ED">
        <w:rPr>
          <w:lang w:val="en-GB"/>
        </w:rPr>
        <w:t xml:space="preserve">This will help reduce costs otherwise required to travel to Geneva, </w:t>
      </w:r>
      <w:r w:rsidR="0034099F" w:rsidRPr="007303ED">
        <w:rPr>
          <w:lang w:val="en-GB"/>
        </w:rPr>
        <w:t xml:space="preserve">reduce the burden of delegations having to work </w:t>
      </w:r>
      <w:r w:rsidR="00E41F13" w:rsidRPr="007303ED">
        <w:rPr>
          <w:lang w:val="en-GB"/>
        </w:rPr>
        <w:t xml:space="preserve">overnight </w:t>
      </w:r>
      <w:r w:rsidR="0034099F" w:rsidRPr="007303ED">
        <w:rPr>
          <w:lang w:val="en-GB"/>
        </w:rPr>
        <w:t xml:space="preserve">to accommodate </w:t>
      </w:r>
      <w:r w:rsidR="00E41F13" w:rsidRPr="007303ED">
        <w:rPr>
          <w:lang w:val="en-GB"/>
        </w:rPr>
        <w:t xml:space="preserve">time differences, </w:t>
      </w:r>
      <w:r w:rsidRPr="007303ED">
        <w:rPr>
          <w:lang w:val="en-GB"/>
        </w:rPr>
        <w:t>and raise awareness of the relevant TB</w:t>
      </w:r>
      <w:r w:rsidR="00BB07B6" w:rsidRPr="007303ED">
        <w:rPr>
          <w:lang w:val="en-GB"/>
        </w:rPr>
        <w:t>s</w:t>
      </w:r>
      <w:r w:rsidRPr="007303ED">
        <w:rPr>
          <w:lang w:val="en-GB"/>
        </w:rPr>
        <w:t xml:space="preserve"> in the region.  </w:t>
      </w:r>
    </w:p>
    <w:p w14:paraId="42F3231A" w14:textId="77777777" w:rsidR="007303ED" w:rsidRDefault="0028746D" w:rsidP="007303ED">
      <w:pPr>
        <w:pStyle w:val="ListParagraph"/>
        <w:numPr>
          <w:ilvl w:val="0"/>
          <w:numId w:val="27"/>
        </w:numPr>
        <w:spacing w:before="120" w:after="120" w:line="240" w:lineRule="auto"/>
        <w:contextualSpacing w:val="0"/>
        <w:jc w:val="both"/>
        <w:rPr>
          <w:lang w:val="en-GB"/>
        </w:rPr>
      </w:pPr>
      <w:r w:rsidRPr="007303ED">
        <w:rPr>
          <w:lang w:val="en-GB"/>
        </w:rPr>
        <w:t>Shorten the meeting time with Small States delegations</w:t>
      </w:r>
      <w:r w:rsidR="001C6EC6" w:rsidRPr="007303ED">
        <w:rPr>
          <w:lang w:val="en-GB"/>
        </w:rPr>
        <w:t>.</w:t>
      </w:r>
      <w:r w:rsidR="002067D2" w:rsidRPr="007303ED">
        <w:rPr>
          <w:lang w:val="en-GB"/>
        </w:rPr>
        <w:t xml:space="preserve"> This would allow </w:t>
      </w:r>
      <w:r w:rsidR="00777D2E" w:rsidRPr="007303ED">
        <w:rPr>
          <w:lang w:val="en-GB"/>
        </w:rPr>
        <w:t xml:space="preserve">the discussion </w:t>
      </w:r>
      <w:r w:rsidR="002067D2" w:rsidRPr="007303ED">
        <w:rPr>
          <w:lang w:val="en-GB"/>
        </w:rPr>
        <w:t xml:space="preserve">to </w:t>
      </w:r>
      <w:r w:rsidR="00777D2E" w:rsidRPr="007303ED">
        <w:rPr>
          <w:lang w:val="en-GB"/>
        </w:rPr>
        <w:t xml:space="preserve">be more </w:t>
      </w:r>
      <w:r w:rsidR="002067D2" w:rsidRPr="007303ED">
        <w:rPr>
          <w:lang w:val="en-GB"/>
        </w:rPr>
        <w:t>focus</w:t>
      </w:r>
      <w:r w:rsidR="00777D2E" w:rsidRPr="007303ED">
        <w:rPr>
          <w:lang w:val="en-GB"/>
        </w:rPr>
        <w:t>ed</w:t>
      </w:r>
      <w:r w:rsidR="002067D2" w:rsidRPr="007303ED">
        <w:rPr>
          <w:lang w:val="en-GB"/>
        </w:rPr>
        <w:t xml:space="preserve"> and prevent delegations from having to stay </w:t>
      </w:r>
      <w:r w:rsidR="00777D2E" w:rsidRPr="007303ED">
        <w:rPr>
          <w:lang w:val="en-GB"/>
        </w:rPr>
        <w:t>multiple nights</w:t>
      </w:r>
      <w:r w:rsidR="002067D2" w:rsidRPr="007303ED">
        <w:rPr>
          <w:lang w:val="en-GB"/>
        </w:rPr>
        <w:t>.</w:t>
      </w:r>
    </w:p>
    <w:p w14:paraId="049677A3" w14:textId="77777777" w:rsidR="007303ED" w:rsidRDefault="00777D2E" w:rsidP="007303ED">
      <w:pPr>
        <w:pStyle w:val="ListParagraph"/>
        <w:numPr>
          <w:ilvl w:val="0"/>
          <w:numId w:val="27"/>
        </w:numPr>
        <w:spacing w:before="120" w:after="120" w:line="240" w:lineRule="auto"/>
        <w:contextualSpacing w:val="0"/>
        <w:jc w:val="both"/>
        <w:rPr>
          <w:lang w:val="en-GB"/>
        </w:rPr>
      </w:pPr>
      <w:r w:rsidRPr="007303ED">
        <w:rPr>
          <w:lang w:val="en-GB"/>
        </w:rPr>
        <w:t xml:space="preserve">There was interest in the “clustering” of multiple </w:t>
      </w:r>
      <w:r w:rsidR="00BB07B6" w:rsidRPr="007303ED">
        <w:rPr>
          <w:lang w:val="en-GB"/>
        </w:rPr>
        <w:t>TB reviews</w:t>
      </w:r>
      <w:r w:rsidRPr="007303ED">
        <w:rPr>
          <w:lang w:val="en-GB"/>
        </w:rPr>
        <w:t xml:space="preserve"> into a single </w:t>
      </w:r>
      <w:r w:rsidR="00E41F13" w:rsidRPr="007303ED">
        <w:rPr>
          <w:lang w:val="en-GB"/>
        </w:rPr>
        <w:t>period</w:t>
      </w:r>
      <w:r w:rsidRPr="007303ED">
        <w:rPr>
          <w:lang w:val="en-GB"/>
        </w:rPr>
        <w:t>, allowing States to limit their time in Geneva. It was felt this would work well for CEDAW</w:t>
      </w:r>
      <w:r w:rsidR="001E0837" w:rsidRPr="007303ED">
        <w:rPr>
          <w:lang w:val="en-GB"/>
        </w:rPr>
        <w:t>,</w:t>
      </w:r>
      <w:r w:rsidRPr="007303ED">
        <w:rPr>
          <w:lang w:val="en-GB"/>
        </w:rPr>
        <w:t xml:space="preserve"> CRC</w:t>
      </w:r>
      <w:r w:rsidR="001E0837" w:rsidRPr="007303ED">
        <w:rPr>
          <w:lang w:val="en-GB"/>
        </w:rPr>
        <w:t xml:space="preserve"> and CRPD</w:t>
      </w:r>
      <w:r w:rsidRPr="007303ED">
        <w:rPr>
          <w:lang w:val="en-GB"/>
        </w:rPr>
        <w:t xml:space="preserve">, as often the ministries are the same or work closely together. </w:t>
      </w:r>
    </w:p>
    <w:p w14:paraId="1B785DDE" w14:textId="77777777" w:rsidR="007303ED" w:rsidRDefault="00E41F13" w:rsidP="007303ED">
      <w:pPr>
        <w:pStyle w:val="ListParagraph"/>
        <w:numPr>
          <w:ilvl w:val="0"/>
          <w:numId w:val="27"/>
        </w:numPr>
        <w:spacing w:before="120" w:after="120" w:line="240" w:lineRule="auto"/>
        <w:contextualSpacing w:val="0"/>
        <w:jc w:val="both"/>
        <w:rPr>
          <w:lang w:val="en-GB"/>
        </w:rPr>
      </w:pPr>
      <w:r w:rsidRPr="007303ED">
        <w:rPr>
          <w:lang w:val="en-GB"/>
        </w:rPr>
        <w:t xml:space="preserve">Want the dialogue to be more interactive and open, suggesting reform of the review procedures in those TBs </w:t>
      </w:r>
      <w:r w:rsidR="0034099F" w:rsidRPr="007303ED">
        <w:rPr>
          <w:lang w:val="en-GB"/>
        </w:rPr>
        <w:t xml:space="preserve">such as CAT </w:t>
      </w:r>
      <w:r w:rsidRPr="007303ED">
        <w:rPr>
          <w:lang w:val="en-GB"/>
        </w:rPr>
        <w:t xml:space="preserve">that spend half-day asking questions, and then half day of responses. Allow more opportunities for the delegations to ask questions for advice from the committee on specific areas; and avoid duplication of questions </w:t>
      </w:r>
      <w:r w:rsidR="004B00EC" w:rsidRPr="007303ED">
        <w:rPr>
          <w:lang w:val="en-GB"/>
        </w:rPr>
        <w:t>(</w:t>
      </w:r>
      <w:r w:rsidR="001E0837" w:rsidRPr="007303ED">
        <w:rPr>
          <w:lang w:val="en-GB"/>
        </w:rPr>
        <w:t>and recommendations</w:t>
      </w:r>
      <w:r w:rsidR="004B00EC" w:rsidRPr="007303ED">
        <w:rPr>
          <w:lang w:val="en-GB"/>
        </w:rPr>
        <w:t>)</w:t>
      </w:r>
      <w:r w:rsidR="001E0837" w:rsidRPr="007303ED">
        <w:rPr>
          <w:lang w:val="en-GB"/>
        </w:rPr>
        <w:t xml:space="preserve"> </w:t>
      </w:r>
      <w:r w:rsidRPr="007303ED">
        <w:rPr>
          <w:lang w:val="en-GB"/>
        </w:rPr>
        <w:t xml:space="preserve">from the TB members.   </w:t>
      </w:r>
    </w:p>
    <w:p w14:paraId="73B5C338" w14:textId="77777777" w:rsidR="007303ED" w:rsidRDefault="00E41F13" w:rsidP="007303ED">
      <w:pPr>
        <w:pStyle w:val="ListParagraph"/>
        <w:numPr>
          <w:ilvl w:val="0"/>
          <w:numId w:val="27"/>
        </w:numPr>
        <w:spacing w:before="120" w:after="120" w:line="240" w:lineRule="auto"/>
        <w:contextualSpacing w:val="0"/>
        <w:jc w:val="both"/>
        <w:rPr>
          <w:lang w:val="en-GB"/>
        </w:rPr>
      </w:pPr>
      <w:r w:rsidRPr="007303ED">
        <w:rPr>
          <w:lang w:val="en-GB"/>
        </w:rPr>
        <w:t>The approach to States could be improved. Several participants highlighted how the current review process is a “one-way dialogue” that resembled an appearance before a court and lacked a positive narrative geared towards encouraging and assisting with implementation.</w:t>
      </w:r>
    </w:p>
    <w:p w14:paraId="1F0F36AE" w14:textId="77777777" w:rsidR="007303ED" w:rsidRDefault="00E41F13" w:rsidP="007303ED">
      <w:pPr>
        <w:pStyle w:val="ListParagraph"/>
        <w:numPr>
          <w:ilvl w:val="0"/>
          <w:numId w:val="27"/>
        </w:numPr>
        <w:spacing w:before="120" w:after="120" w:line="240" w:lineRule="auto"/>
        <w:contextualSpacing w:val="0"/>
        <w:jc w:val="both"/>
        <w:rPr>
          <w:lang w:val="en-GB"/>
        </w:rPr>
      </w:pPr>
      <w:r w:rsidRPr="007303ED">
        <w:rPr>
          <w:lang w:val="en-GB"/>
        </w:rPr>
        <w:t xml:space="preserve">States did not agree to reviews </w:t>
      </w:r>
      <w:r w:rsidR="0028746D" w:rsidRPr="007303ED">
        <w:rPr>
          <w:i/>
          <w:lang w:val="en-GB"/>
        </w:rPr>
        <w:t>in absentia</w:t>
      </w:r>
      <w:r w:rsidR="0028746D" w:rsidRPr="007303ED">
        <w:rPr>
          <w:lang w:val="en-GB"/>
        </w:rPr>
        <w:t xml:space="preserve">, which goes against the idea of having a “constructive dialogue”. </w:t>
      </w:r>
      <w:r w:rsidR="004B00EC" w:rsidRPr="007303ED">
        <w:rPr>
          <w:lang w:val="en-GB"/>
        </w:rPr>
        <w:t>A number of</w:t>
      </w:r>
      <w:r w:rsidRPr="007303ED">
        <w:rPr>
          <w:lang w:val="en-GB"/>
        </w:rPr>
        <w:t xml:space="preserve"> Small States had been reviewed in this way. </w:t>
      </w:r>
      <w:r w:rsidR="0028746D" w:rsidRPr="007303ED">
        <w:rPr>
          <w:lang w:val="en-GB"/>
        </w:rPr>
        <w:t xml:space="preserve">Participating States reported a lack of clarity as to when </w:t>
      </w:r>
      <w:r w:rsidRPr="007303ED">
        <w:rPr>
          <w:lang w:val="en-GB"/>
        </w:rPr>
        <w:t>a TB</w:t>
      </w:r>
      <w:r w:rsidR="0028746D" w:rsidRPr="007303ED">
        <w:rPr>
          <w:lang w:val="en-GB"/>
        </w:rPr>
        <w:t xml:space="preserve"> decide</w:t>
      </w:r>
      <w:r w:rsidRPr="007303ED">
        <w:rPr>
          <w:lang w:val="en-GB"/>
        </w:rPr>
        <w:t>s</w:t>
      </w:r>
      <w:r w:rsidR="0028746D" w:rsidRPr="007303ED">
        <w:rPr>
          <w:lang w:val="en-GB"/>
        </w:rPr>
        <w:t xml:space="preserve"> to proceed with such a review.</w:t>
      </w:r>
    </w:p>
    <w:p w14:paraId="25B16417" w14:textId="77777777" w:rsidR="007303ED" w:rsidRDefault="001E0837" w:rsidP="007303ED">
      <w:pPr>
        <w:pStyle w:val="ListParagraph"/>
        <w:numPr>
          <w:ilvl w:val="0"/>
          <w:numId w:val="27"/>
        </w:numPr>
        <w:spacing w:before="120" w:after="120" w:line="240" w:lineRule="auto"/>
        <w:contextualSpacing w:val="0"/>
        <w:jc w:val="both"/>
        <w:rPr>
          <w:lang w:val="en-GB"/>
        </w:rPr>
      </w:pPr>
      <w:r w:rsidRPr="007303ED">
        <w:rPr>
          <w:lang w:val="en-GB"/>
        </w:rPr>
        <w:t xml:space="preserve">Coherence between the TBs on the substance </w:t>
      </w:r>
      <w:r w:rsidR="0034099F" w:rsidRPr="007303ED">
        <w:rPr>
          <w:lang w:val="en-GB"/>
        </w:rPr>
        <w:t xml:space="preserve">(interpretation) </w:t>
      </w:r>
      <w:r w:rsidRPr="007303ED">
        <w:rPr>
          <w:lang w:val="en-GB"/>
        </w:rPr>
        <w:t xml:space="preserve">of </w:t>
      </w:r>
      <w:r w:rsidR="0034099F" w:rsidRPr="007303ED">
        <w:rPr>
          <w:lang w:val="en-GB"/>
        </w:rPr>
        <w:t xml:space="preserve">specific </w:t>
      </w:r>
      <w:r w:rsidR="004B00EC" w:rsidRPr="007303ED">
        <w:rPr>
          <w:lang w:val="en-GB"/>
        </w:rPr>
        <w:t xml:space="preserve">human </w:t>
      </w:r>
      <w:r w:rsidR="0034099F" w:rsidRPr="007303ED">
        <w:rPr>
          <w:lang w:val="en-GB"/>
        </w:rPr>
        <w:t xml:space="preserve">rights topics that are covered by multiple </w:t>
      </w:r>
      <w:r w:rsidRPr="007303ED">
        <w:rPr>
          <w:lang w:val="en-GB"/>
        </w:rPr>
        <w:t xml:space="preserve">TBs would be helpful. </w:t>
      </w:r>
    </w:p>
    <w:p w14:paraId="215986A5" w14:textId="77777777" w:rsidR="009D1203" w:rsidRPr="00D56E93" w:rsidRDefault="009D1203" w:rsidP="007303ED">
      <w:pPr>
        <w:spacing w:before="120" w:after="120" w:line="240" w:lineRule="auto"/>
        <w:jc w:val="both"/>
        <w:rPr>
          <w:i/>
          <w:lang w:val="en-GB"/>
        </w:rPr>
      </w:pPr>
      <w:r w:rsidRPr="00D56E93">
        <w:rPr>
          <w:i/>
          <w:lang w:val="en-GB"/>
        </w:rPr>
        <w:t xml:space="preserve">Phase III: </w:t>
      </w:r>
      <w:r w:rsidR="004B00EC" w:rsidRPr="00D56E93">
        <w:rPr>
          <w:i/>
          <w:lang w:val="en-GB"/>
        </w:rPr>
        <w:t>TB Concluding observations, r</w:t>
      </w:r>
      <w:r w:rsidR="0028746D" w:rsidRPr="00D56E93">
        <w:rPr>
          <w:i/>
          <w:lang w:val="en-GB"/>
        </w:rPr>
        <w:t>ecommendations and follow-up</w:t>
      </w:r>
    </w:p>
    <w:p w14:paraId="028F3BF1" w14:textId="77777777" w:rsidR="007303ED" w:rsidRDefault="004B00EC" w:rsidP="007303ED">
      <w:pPr>
        <w:pStyle w:val="ListParagraph"/>
        <w:numPr>
          <w:ilvl w:val="0"/>
          <w:numId w:val="28"/>
        </w:numPr>
        <w:spacing w:before="120" w:after="120" w:line="240" w:lineRule="auto"/>
        <w:contextualSpacing w:val="0"/>
        <w:jc w:val="both"/>
        <w:rPr>
          <w:lang w:val="en-GB"/>
        </w:rPr>
      </w:pPr>
      <w:r w:rsidRPr="007303ED">
        <w:rPr>
          <w:lang w:val="en-GB"/>
        </w:rPr>
        <w:t xml:space="preserve">TBs to pay closer </w:t>
      </w:r>
      <w:r w:rsidR="00ED0F08" w:rsidRPr="007303ED">
        <w:rPr>
          <w:lang w:val="en-GB"/>
        </w:rPr>
        <w:t>attention to</w:t>
      </w:r>
      <w:r w:rsidR="002611A4" w:rsidRPr="007303ED">
        <w:rPr>
          <w:lang w:val="en-GB"/>
        </w:rPr>
        <w:t xml:space="preserve"> country </w:t>
      </w:r>
      <w:r w:rsidR="000F4175" w:rsidRPr="007303ED">
        <w:rPr>
          <w:lang w:val="en-GB"/>
        </w:rPr>
        <w:t xml:space="preserve">differences and </w:t>
      </w:r>
      <w:r w:rsidR="008B53EB" w:rsidRPr="007303ED">
        <w:rPr>
          <w:lang w:val="en-GB"/>
        </w:rPr>
        <w:t xml:space="preserve">asymmetries and </w:t>
      </w:r>
      <w:r w:rsidR="00ED0F08" w:rsidRPr="007303ED">
        <w:rPr>
          <w:lang w:val="en-GB"/>
        </w:rPr>
        <w:t xml:space="preserve">adapt </w:t>
      </w:r>
      <w:r w:rsidR="002611A4" w:rsidRPr="007303ED">
        <w:rPr>
          <w:lang w:val="en-GB"/>
        </w:rPr>
        <w:t>recommendat</w:t>
      </w:r>
      <w:r w:rsidR="009B4358" w:rsidRPr="007303ED">
        <w:rPr>
          <w:lang w:val="en-GB"/>
        </w:rPr>
        <w:t xml:space="preserve">ions </w:t>
      </w:r>
      <w:r w:rsidR="00ED0F08" w:rsidRPr="007303ED">
        <w:rPr>
          <w:lang w:val="en-GB"/>
        </w:rPr>
        <w:t>to the</w:t>
      </w:r>
      <w:r w:rsidR="002611A4" w:rsidRPr="007303ED">
        <w:rPr>
          <w:lang w:val="en-GB"/>
        </w:rPr>
        <w:t xml:space="preserve"> particular reality of the country, rather than </w:t>
      </w:r>
      <w:r w:rsidR="00487272" w:rsidRPr="007303ED">
        <w:rPr>
          <w:lang w:val="en-GB"/>
        </w:rPr>
        <w:t>deliver</w:t>
      </w:r>
      <w:r w:rsidRPr="007303ED">
        <w:rPr>
          <w:lang w:val="en-GB"/>
        </w:rPr>
        <w:t xml:space="preserve"> recommendations </w:t>
      </w:r>
      <w:r w:rsidR="009B4358" w:rsidRPr="007303ED">
        <w:rPr>
          <w:lang w:val="en-GB"/>
        </w:rPr>
        <w:t>in a generali</w:t>
      </w:r>
      <w:r w:rsidR="00835CC2" w:rsidRPr="007303ED">
        <w:rPr>
          <w:lang w:val="en-GB"/>
        </w:rPr>
        <w:t>s</w:t>
      </w:r>
      <w:r w:rsidR="009B4358" w:rsidRPr="007303ED">
        <w:rPr>
          <w:lang w:val="en-GB"/>
        </w:rPr>
        <w:t xml:space="preserve">ed </w:t>
      </w:r>
      <w:r w:rsidRPr="007303ED">
        <w:rPr>
          <w:lang w:val="en-GB"/>
        </w:rPr>
        <w:t xml:space="preserve">(template) </w:t>
      </w:r>
      <w:r w:rsidR="009B4358" w:rsidRPr="007303ED">
        <w:rPr>
          <w:lang w:val="en-GB"/>
        </w:rPr>
        <w:t>manner.</w:t>
      </w:r>
      <w:r w:rsidR="006A08C4" w:rsidRPr="007303ED">
        <w:rPr>
          <w:lang w:val="en-GB"/>
        </w:rPr>
        <w:t xml:space="preserve"> </w:t>
      </w:r>
      <w:r w:rsidRPr="007303ED">
        <w:rPr>
          <w:lang w:val="en-GB"/>
        </w:rPr>
        <w:t xml:space="preserve">States sought also more specific or </w:t>
      </w:r>
      <w:r w:rsidR="006A08C4" w:rsidRPr="007303ED">
        <w:rPr>
          <w:lang w:val="en-GB"/>
        </w:rPr>
        <w:t xml:space="preserve">tailored advice on how to implement a recommendation in the relevant country. </w:t>
      </w:r>
    </w:p>
    <w:p w14:paraId="4BFB316A" w14:textId="77777777" w:rsidR="00E27368" w:rsidRPr="007303ED" w:rsidRDefault="006A08C4" w:rsidP="007303ED">
      <w:pPr>
        <w:pStyle w:val="ListParagraph"/>
        <w:numPr>
          <w:ilvl w:val="0"/>
          <w:numId w:val="28"/>
        </w:numPr>
        <w:spacing w:before="120" w:after="120" w:line="240" w:lineRule="auto"/>
        <w:contextualSpacing w:val="0"/>
        <w:jc w:val="both"/>
        <w:rPr>
          <w:lang w:val="en-GB"/>
        </w:rPr>
      </w:pPr>
      <w:r w:rsidRPr="007303ED">
        <w:rPr>
          <w:lang w:val="en-GB"/>
        </w:rPr>
        <w:t xml:space="preserve">Following a review, </w:t>
      </w:r>
      <w:r w:rsidR="00E27368" w:rsidRPr="007303ED">
        <w:rPr>
          <w:lang w:val="en-GB"/>
        </w:rPr>
        <w:t xml:space="preserve">TBs to offer </w:t>
      </w:r>
      <w:r w:rsidR="004B00EC" w:rsidRPr="007303ED">
        <w:rPr>
          <w:lang w:val="en-GB"/>
        </w:rPr>
        <w:t xml:space="preserve">or refer the State to places where </w:t>
      </w:r>
      <w:r w:rsidR="00E27368" w:rsidRPr="007303ED">
        <w:rPr>
          <w:lang w:val="en-GB"/>
        </w:rPr>
        <w:t>technical assistance</w:t>
      </w:r>
      <w:r w:rsidRPr="007303ED">
        <w:rPr>
          <w:lang w:val="en-GB"/>
        </w:rPr>
        <w:t xml:space="preserve"> </w:t>
      </w:r>
      <w:r w:rsidR="004B00EC" w:rsidRPr="007303ED">
        <w:rPr>
          <w:lang w:val="en-GB"/>
        </w:rPr>
        <w:t xml:space="preserve">could be </w:t>
      </w:r>
      <w:r w:rsidRPr="007303ED">
        <w:rPr>
          <w:lang w:val="en-GB"/>
        </w:rPr>
        <w:t>requested</w:t>
      </w:r>
      <w:r w:rsidR="00E27368" w:rsidRPr="007303ED">
        <w:rPr>
          <w:lang w:val="en-GB"/>
        </w:rPr>
        <w:t xml:space="preserve"> with regard to the implementation </w:t>
      </w:r>
      <w:r w:rsidR="00817B38" w:rsidRPr="007303ED">
        <w:rPr>
          <w:lang w:val="en-GB"/>
        </w:rPr>
        <w:t>of received recommendations</w:t>
      </w:r>
      <w:r w:rsidR="006703D5" w:rsidRPr="007303ED">
        <w:rPr>
          <w:lang w:val="en-GB"/>
        </w:rPr>
        <w:t>.</w:t>
      </w:r>
    </w:p>
    <w:p w14:paraId="7EA3976F" w14:textId="77777777" w:rsidR="00A95F9B" w:rsidRPr="00D56E93" w:rsidRDefault="00A95F9B" w:rsidP="002067D2">
      <w:pPr>
        <w:spacing w:before="120" w:after="120" w:line="240" w:lineRule="auto"/>
        <w:rPr>
          <w:b/>
          <w:lang w:val="en-GB"/>
        </w:rPr>
      </w:pPr>
    </w:p>
    <w:p w14:paraId="64F56BB1" w14:textId="77777777" w:rsidR="00A95F9B" w:rsidRPr="00D56E93" w:rsidRDefault="00FA5668" w:rsidP="00EE3F66">
      <w:pPr>
        <w:spacing w:before="120" w:after="120" w:line="240" w:lineRule="auto"/>
        <w:jc w:val="right"/>
        <w:rPr>
          <w:b/>
          <w:lang w:val="en-GB"/>
        </w:rPr>
      </w:pPr>
      <w:r w:rsidRPr="00D56E93">
        <w:rPr>
          <w:b/>
          <w:lang w:val="en-GB"/>
        </w:rPr>
        <w:t>CTI Secretariat</w:t>
      </w:r>
    </w:p>
    <w:p w14:paraId="36315492" w14:textId="77777777" w:rsidR="00480654" w:rsidRPr="00D56E93" w:rsidRDefault="00FA5668" w:rsidP="00662A3E">
      <w:pPr>
        <w:spacing w:before="120" w:after="120" w:line="240" w:lineRule="auto"/>
        <w:jc w:val="right"/>
        <w:rPr>
          <w:b/>
          <w:lang w:val="en-GB"/>
        </w:rPr>
      </w:pPr>
      <w:r w:rsidRPr="00D56E93">
        <w:rPr>
          <w:b/>
          <w:lang w:val="en-GB"/>
        </w:rPr>
        <w:t>April 2019</w:t>
      </w:r>
    </w:p>
    <w:p w14:paraId="1D8634C4" w14:textId="77777777" w:rsidR="00026D36" w:rsidRPr="00D56E93" w:rsidRDefault="00026D36" w:rsidP="00BE3CC5">
      <w:pPr>
        <w:spacing w:before="120" w:after="120" w:line="240" w:lineRule="auto"/>
        <w:jc w:val="both"/>
        <w:rPr>
          <w:b/>
          <w:sz w:val="20"/>
          <w:szCs w:val="20"/>
          <w:lang w:val="en-GB"/>
        </w:rPr>
      </w:pPr>
    </w:p>
    <w:p w14:paraId="40A300DF" w14:textId="77777777" w:rsidR="00480654" w:rsidRPr="00D56E93" w:rsidRDefault="00480654" w:rsidP="00BE3CC5">
      <w:pPr>
        <w:spacing w:before="120" w:after="120" w:line="240" w:lineRule="auto"/>
        <w:jc w:val="both"/>
        <w:rPr>
          <w:b/>
          <w:sz w:val="20"/>
          <w:szCs w:val="20"/>
          <w:lang w:val="en-GB"/>
        </w:rPr>
      </w:pPr>
      <w:r w:rsidRPr="00D56E93">
        <w:rPr>
          <w:b/>
          <w:sz w:val="20"/>
          <w:szCs w:val="20"/>
          <w:lang w:val="en-GB"/>
        </w:rPr>
        <w:t>About the CTI</w:t>
      </w:r>
    </w:p>
    <w:p w14:paraId="4865314B" w14:textId="725952DF" w:rsidR="00662A3E" w:rsidRPr="00D56E93" w:rsidRDefault="00662A3E" w:rsidP="00BE3CC5">
      <w:pPr>
        <w:spacing w:before="120" w:after="120" w:line="240" w:lineRule="auto"/>
        <w:jc w:val="both"/>
        <w:rPr>
          <w:sz w:val="20"/>
          <w:szCs w:val="20"/>
          <w:lang w:val="en-GB"/>
        </w:rPr>
      </w:pPr>
      <w:r w:rsidRPr="00D56E93">
        <w:rPr>
          <w:sz w:val="20"/>
          <w:szCs w:val="20"/>
          <w:lang w:val="en-GB"/>
        </w:rPr>
        <w:t>CTI is a 10-year inter-governmental, cross-regional initiative of the Governments of Chile, Denmark, Fiji</w:t>
      </w:r>
      <w:r w:rsidRPr="00D56E93">
        <w:rPr>
          <w:rStyle w:val="FootnoteReference"/>
          <w:sz w:val="20"/>
          <w:szCs w:val="20"/>
          <w:lang w:val="en-GB"/>
        </w:rPr>
        <w:footnoteReference w:id="3"/>
      </w:r>
      <w:r w:rsidRPr="00D56E93">
        <w:rPr>
          <w:sz w:val="20"/>
          <w:szCs w:val="20"/>
          <w:lang w:val="en-GB"/>
        </w:rPr>
        <w:t>, Ghana, Indonesia and Morocco, launched at the 30th anniversary of the UN Convention agains</w:t>
      </w:r>
      <w:r w:rsidR="009B3FFD">
        <w:rPr>
          <w:sz w:val="20"/>
          <w:szCs w:val="20"/>
          <w:lang w:val="en-GB"/>
        </w:rPr>
        <w:t>t Torture (UNCAT) in March 2014, promoting the universal ratification and implementation of UNCAT by 2024. The overall aspiration is to reduce the risks of torture and ill-treatment worldwide.</w:t>
      </w:r>
    </w:p>
    <w:p w14:paraId="6D20F29E" w14:textId="77777777" w:rsidR="00662A3E" w:rsidRPr="00D56E93" w:rsidRDefault="00662A3E" w:rsidP="00BE3CC5">
      <w:pPr>
        <w:spacing w:before="120" w:after="120" w:line="240" w:lineRule="auto"/>
        <w:jc w:val="both"/>
        <w:rPr>
          <w:sz w:val="20"/>
          <w:szCs w:val="20"/>
          <w:lang w:val="en-GB"/>
        </w:rPr>
      </w:pPr>
      <w:r w:rsidRPr="00D56E93">
        <w:rPr>
          <w:sz w:val="20"/>
          <w:szCs w:val="20"/>
          <w:lang w:val="en-GB"/>
        </w:rPr>
        <w:t>The CTI Core States enjoy the support of a full time </w:t>
      </w:r>
      <w:hyperlink r:id="rId14" w:tgtFrame="_blank" w:history="1">
        <w:r w:rsidRPr="00D56E93">
          <w:rPr>
            <w:rStyle w:val="Hyperlink"/>
            <w:sz w:val="20"/>
            <w:szCs w:val="20"/>
            <w:lang w:val="en-GB"/>
          </w:rPr>
          <w:t>Secretariat</w:t>
        </w:r>
      </w:hyperlink>
      <w:r w:rsidRPr="00D56E93">
        <w:rPr>
          <w:sz w:val="20"/>
          <w:szCs w:val="20"/>
          <w:lang w:val="en-GB"/>
        </w:rPr>
        <w:t>, based in Geneva. The CTI also benefits from expert advice and support from the </w:t>
      </w:r>
      <w:hyperlink r:id="rId15" w:tgtFrame="_blank" w:history="1">
        <w:r w:rsidRPr="00D56E93">
          <w:rPr>
            <w:rStyle w:val="Hyperlink"/>
            <w:sz w:val="20"/>
            <w:szCs w:val="20"/>
            <w:lang w:val="en-GB"/>
          </w:rPr>
          <w:t>Association for the Prevention of Torture (APT), </w:t>
        </w:r>
      </w:hyperlink>
      <w:r w:rsidRPr="00D56E93">
        <w:rPr>
          <w:sz w:val="20"/>
          <w:szCs w:val="20"/>
          <w:lang w:val="en-GB"/>
        </w:rPr>
        <w:t>a leading international torture prevention NGO. </w:t>
      </w:r>
    </w:p>
    <w:p w14:paraId="24089894" w14:textId="77777777" w:rsidR="00662A3E" w:rsidRPr="00D56E93" w:rsidRDefault="00662A3E" w:rsidP="00BE3CC5">
      <w:pPr>
        <w:spacing w:before="120" w:after="120" w:line="240" w:lineRule="auto"/>
        <w:jc w:val="both"/>
        <w:rPr>
          <w:sz w:val="20"/>
          <w:szCs w:val="20"/>
          <w:lang w:val="en-GB"/>
        </w:rPr>
      </w:pPr>
      <w:r w:rsidRPr="00D56E93">
        <w:rPr>
          <w:sz w:val="20"/>
          <w:szCs w:val="20"/>
          <w:lang w:val="en-GB"/>
        </w:rPr>
        <w:t>The CTI is also supported by its </w:t>
      </w:r>
      <w:hyperlink r:id="rId16" w:tgtFrame="_blank" w:history="1">
        <w:r w:rsidRPr="00D56E93">
          <w:rPr>
            <w:rStyle w:val="Hyperlink"/>
            <w:sz w:val="20"/>
            <w:szCs w:val="20"/>
            <w:lang w:val="en-GB"/>
          </w:rPr>
          <w:t>Group of Friends</w:t>
        </w:r>
      </w:hyperlink>
      <w:r w:rsidRPr="00D56E93">
        <w:rPr>
          <w:sz w:val="20"/>
          <w:szCs w:val="20"/>
          <w:lang w:val="en-GB"/>
        </w:rPr>
        <w:t> consisting of UN Member States, torture prevention experts and non-governmental organizations. </w:t>
      </w:r>
    </w:p>
    <w:p w14:paraId="78D21EEF" w14:textId="77777777" w:rsidR="00662A3E" w:rsidRPr="00D56E93" w:rsidRDefault="00662A3E" w:rsidP="00BE3CC5">
      <w:pPr>
        <w:spacing w:before="120" w:after="120" w:line="240" w:lineRule="auto"/>
        <w:jc w:val="both"/>
        <w:rPr>
          <w:sz w:val="20"/>
          <w:szCs w:val="20"/>
          <w:lang w:val="en-GB"/>
        </w:rPr>
      </w:pPr>
      <w:r w:rsidRPr="00D56E93">
        <w:rPr>
          <w:b/>
          <w:sz w:val="20"/>
          <w:szCs w:val="20"/>
          <w:lang w:val="en-GB"/>
        </w:rPr>
        <w:t xml:space="preserve">Website: </w:t>
      </w:r>
      <w:hyperlink r:id="rId17" w:history="1">
        <w:r w:rsidRPr="00D56E93">
          <w:rPr>
            <w:rStyle w:val="Hyperlink"/>
            <w:sz w:val="20"/>
            <w:szCs w:val="20"/>
            <w:lang w:val="en-GB"/>
          </w:rPr>
          <w:t>www.cti2024.org</w:t>
        </w:r>
      </w:hyperlink>
      <w:r w:rsidRPr="00D56E93">
        <w:rPr>
          <w:sz w:val="20"/>
          <w:szCs w:val="20"/>
          <w:lang w:val="en-GB"/>
        </w:rPr>
        <w:t>.</w:t>
      </w:r>
    </w:p>
    <w:p w14:paraId="2FF9A75E" w14:textId="77777777" w:rsidR="00662A3E" w:rsidRPr="00D56E93" w:rsidRDefault="00662A3E" w:rsidP="00BE3CC5">
      <w:pPr>
        <w:spacing w:before="120" w:after="120" w:line="240" w:lineRule="auto"/>
        <w:jc w:val="both"/>
        <w:rPr>
          <w:sz w:val="20"/>
          <w:szCs w:val="20"/>
          <w:lang w:val="en-GB"/>
        </w:rPr>
      </w:pPr>
      <w:r w:rsidRPr="00D56E93">
        <w:rPr>
          <w:b/>
          <w:sz w:val="20"/>
          <w:szCs w:val="20"/>
          <w:lang w:val="en-GB"/>
        </w:rPr>
        <w:t>E-mail:</w:t>
      </w:r>
      <w:r w:rsidRPr="00D56E93">
        <w:rPr>
          <w:sz w:val="20"/>
          <w:szCs w:val="20"/>
          <w:lang w:val="en-GB"/>
        </w:rPr>
        <w:t xml:space="preserve"> </w:t>
      </w:r>
      <w:hyperlink r:id="rId18" w:history="1">
        <w:r w:rsidRPr="00D56E93">
          <w:rPr>
            <w:rStyle w:val="Hyperlink"/>
            <w:sz w:val="20"/>
            <w:szCs w:val="20"/>
            <w:lang w:val="en-GB"/>
          </w:rPr>
          <w:t>info@cti2024.org</w:t>
        </w:r>
      </w:hyperlink>
      <w:r w:rsidRPr="00D56E93">
        <w:rPr>
          <w:sz w:val="20"/>
          <w:szCs w:val="20"/>
          <w:lang w:val="en-GB"/>
        </w:rPr>
        <w:t>.</w:t>
      </w:r>
    </w:p>
    <w:sectPr w:rsidR="00662A3E" w:rsidRPr="00D56E93" w:rsidSect="00834312">
      <w:headerReference w:type="even" r:id="rId19"/>
      <w:headerReference w:type="default" r:id="rId20"/>
      <w:footerReference w:type="default" r:id="rId21"/>
      <w:headerReference w:type="firs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E047C" w14:textId="77777777" w:rsidR="002838B9" w:rsidRDefault="002838B9" w:rsidP="00A95F9B">
      <w:pPr>
        <w:spacing w:after="0" w:line="240" w:lineRule="auto"/>
      </w:pPr>
      <w:r>
        <w:separator/>
      </w:r>
    </w:p>
  </w:endnote>
  <w:endnote w:type="continuationSeparator" w:id="0">
    <w:p w14:paraId="75C31BA5" w14:textId="77777777" w:rsidR="002838B9" w:rsidRDefault="002838B9" w:rsidP="00A9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950245"/>
      <w:docPartObj>
        <w:docPartGallery w:val="Page Numbers (Bottom of Page)"/>
        <w:docPartUnique/>
      </w:docPartObj>
    </w:sdtPr>
    <w:sdtEndPr>
      <w:rPr>
        <w:noProof/>
      </w:rPr>
    </w:sdtEndPr>
    <w:sdtContent>
      <w:p w14:paraId="14BAA5FE" w14:textId="4D463FF2" w:rsidR="0049394C" w:rsidRDefault="0049394C">
        <w:pPr>
          <w:pStyle w:val="Footer"/>
          <w:jc w:val="right"/>
        </w:pPr>
        <w:r>
          <w:fldChar w:fldCharType="begin"/>
        </w:r>
        <w:r>
          <w:instrText xml:space="preserve"> PAGE   \* MERGEFORMAT </w:instrText>
        </w:r>
        <w:r>
          <w:fldChar w:fldCharType="separate"/>
        </w:r>
        <w:r w:rsidR="000F3EA5">
          <w:rPr>
            <w:noProof/>
          </w:rPr>
          <w:t>2</w:t>
        </w:r>
        <w:r>
          <w:rPr>
            <w:noProof/>
          </w:rPr>
          <w:fldChar w:fldCharType="end"/>
        </w:r>
      </w:p>
    </w:sdtContent>
  </w:sdt>
  <w:p w14:paraId="577EBD24" w14:textId="77777777" w:rsidR="0049394C" w:rsidRDefault="0049394C" w:rsidP="007F5778">
    <w:pPr>
      <w:pStyle w:val="Footer"/>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3905A" w14:textId="77777777" w:rsidR="005B260D" w:rsidRDefault="005B260D" w:rsidP="00E35115">
    <w:pPr>
      <w:pStyle w:val="Footer"/>
      <w:rPr>
        <w:i/>
        <w:sz w:val="14"/>
        <w:szCs w:val="14"/>
      </w:rPr>
    </w:pPr>
  </w:p>
  <w:p w14:paraId="6AE5A02A" w14:textId="77777777" w:rsidR="0049394C" w:rsidRPr="005B260D" w:rsidRDefault="0049394C" w:rsidP="00E35115">
    <w:pPr>
      <w:pStyle w:val="Footer"/>
      <w:rPr>
        <w:i/>
        <w:sz w:val="14"/>
        <w:szCs w:val="14"/>
      </w:rPr>
    </w:pPr>
    <w:r w:rsidRPr="005B260D">
      <w:rPr>
        <w:i/>
        <w:sz w:val="14"/>
        <w:szCs w:val="14"/>
      </w:rPr>
      <w:t xml:space="preserve">In partnership with: </w:t>
    </w:r>
    <w:r w:rsidRPr="005B260D">
      <w:rPr>
        <w:i/>
        <w:sz w:val="14"/>
        <w:szCs w:val="14"/>
      </w:rPr>
      <w:tab/>
    </w:r>
  </w:p>
  <w:p w14:paraId="063E5270" w14:textId="77777777" w:rsidR="0049394C" w:rsidRPr="005B260D" w:rsidRDefault="0049394C" w:rsidP="00E35115">
    <w:pPr>
      <w:pStyle w:val="Footer"/>
      <w:rPr>
        <w:sz w:val="14"/>
        <w:szCs w:val="14"/>
      </w:rPr>
    </w:pPr>
  </w:p>
  <w:p w14:paraId="1FED4AD0" w14:textId="77777777" w:rsidR="0049394C" w:rsidRPr="005B260D" w:rsidRDefault="0049394C" w:rsidP="00E35115">
    <w:pPr>
      <w:pStyle w:val="Footer"/>
      <w:rPr>
        <w:sz w:val="14"/>
        <w:szCs w:val="14"/>
      </w:rPr>
    </w:pPr>
    <w:r w:rsidRPr="005B260D">
      <w:rPr>
        <w:noProof/>
        <w:sz w:val="14"/>
        <w:szCs w:val="14"/>
        <w:lang w:val="en-GB" w:eastAsia="en-GB"/>
      </w:rPr>
      <w:drawing>
        <wp:inline distT="0" distB="0" distL="0" distR="0" wp14:anchorId="1F677E63" wp14:editId="6068708F">
          <wp:extent cx="1297604" cy="587882"/>
          <wp:effectExtent l="0" t="0" r="0" b="3175"/>
          <wp:docPr id="7" name="Picture 7" descr="T:\CTI\Events\2019\SIDS discussion on reporting tbc\Concept note\Costa Ric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TI\Events\2019\SIDS discussion on reporting tbc\Concept note\Costa Rica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249" cy="588627"/>
                  </a:xfrm>
                  <a:prstGeom prst="rect">
                    <a:avLst/>
                  </a:prstGeom>
                  <a:noFill/>
                  <a:ln>
                    <a:noFill/>
                  </a:ln>
                </pic:spPr>
              </pic:pic>
            </a:graphicData>
          </a:graphic>
        </wp:inline>
      </w:drawing>
    </w:r>
    <w:r w:rsidRPr="005B260D">
      <w:rPr>
        <w:noProof/>
        <w:sz w:val="14"/>
        <w:szCs w:val="14"/>
        <w:lang w:val="en-GB" w:eastAsia="en-GB"/>
      </w:rPr>
      <w:drawing>
        <wp:inline distT="0" distB="0" distL="0" distR="0" wp14:anchorId="21B2FA90" wp14:editId="6A432D44">
          <wp:extent cx="1371600" cy="341625"/>
          <wp:effectExtent l="0" t="0" r="0" b="1905"/>
          <wp:docPr id="8" name="Picture 8" descr="T:\CTI\Events\2019\SIDS discussion on reporting tbc\Concept note\Switzerland'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TI\Events\2019\SIDS discussion on reporting tbc\Concept note\Switzerland's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341625"/>
                  </a:xfrm>
                  <a:prstGeom prst="rect">
                    <a:avLst/>
                  </a:prstGeom>
                  <a:noFill/>
                  <a:ln>
                    <a:noFill/>
                  </a:ln>
                </pic:spPr>
              </pic:pic>
            </a:graphicData>
          </a:graphic>
        </wp:inline>
      </w:drawing>
    </w:r>
    <w:r w:rsidRPr="005B260D">
      <w:rPr>
        <w:sz w:val="14"/>
        <w:szCs w:val="14"/>
      </w:rPr>
      <w:t xml:space="preserve">  </w:t>
    </w:r>
    <w:r w:rsidRPr="005B260D">
      <w:rPr>
        <w:noProof/>
        <w:sz w:val="14"/>
        <w:szCs w:val="14"/>
        <w:lang w:val="en-GB" w:eastAsia="en-GB"/>
      </w:rPr>
      <w:drawing>
        <wp:inline distT="0" distB="0" distL="0" distR="0" wp14:anchorId="2E2C8A6E" wp14:editId="7DC77A0B">
          <wp:extent cx="1183126" cy="614915"/>
          <wp:effectExtent l="0" t="0" r="0" b="0"/>
          <wp:docPr id="9" name="Picture 9"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5486" cy="616141"/>
                  </a:xfrm>
                  <a:prstGeom prst="rect">
                    <a:avLst/>
                  </a:prstGeom>
                  <a:noFill/>
                  <a:ln>
                    <a:noFill/>
                  </a:ln>
                </pic:spPr>
              </pic:pic>
            </a:graphicData>
          </a:graphic>
        </wp:inline>
      </w:drawing>
    </w:r>
    <w:r w:rsidRPr="005B260D">
      <w:rPr>
        <w:sz w:val="14"/>
        <w:szCs w:val="14"/>
      </w:rPr>
      <w:t xml:space="preserve">         </w:t>
    </w:r>
    <w:r w:rsidRPr="005B260D">
      <w:rPr>
        <w:noProof/>
        <w:sz w:val="14"/>
        <w:szCs w:val="14"/>
        <w:lang w:val="en-GB" w:eastAsia="en-GB"/>
      </w:rPr>
      <w:drawing>
        <wp:inline distT="0" distB="0" distL="0" distR="0" wp14:anchorId="68A20143" wp14:editId="2A175E8D">
          <wp:extent cx="1371600" cy="21022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0636" cy="210075"/>
                  </a:xfrm>
                  <a:prstGeom prst="rect">
                    <a:avLst/>
                  </a:prstGeom>
                  <a:noFill/>
                </pic:spPr>
              </pic:pic>
            </a:graphicData>
          </a:graphic>
        </wp:inline>
      </w:drawing>
    </w:r>
  </w:p>
  <w:p w14:paraId="6D5BC2E9" w14:textId="77777777" w:rsidR="0049394C" w:rsidRPr="005B260D" w:rsidRDefault="0049394C">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FC1ED" w14:textId="77777777" w:rsidR="002838B9" w:rsidRDefault="002838B9" w:rsidP="00A95F9B">
      <w:pPr>
        <w:spacing w:after="0" w:line="240" w:lineRule="auto"/>
      </w:pPr>
      <w:r>
        <w:separator/>
      </w:r>
    </w:p>
  </w:footnote>
  <w:footnote w:type="continuationSeparator" w:id="0">
    <w:p w14:paraId="7D7BEF59" w14:textId="77777777" w:rsidR="002838B9" w:rsidRDefault="002838B9" w:rsidP="00A95F9B">
      <w:pPr>
        <w:spacing w:after="0" w:line="240" w:lineRule="auto"/>
      </w:pPr>
      <w:r>
        <w:continuationSeparator/>
      </w:r>
    </w:p>
  </w:footnote>
  <w:footnote w:id="1">
    <w:p w14:paraId="5D9320B0" w14:textId="77777777" w:rsidR="0049394C" w:rsidRPr="005B260D" w:rsidRDefault="0049394C" w:rsidP="00925982">
      <w:pPr>
        <w:pStyle w:val="FootnoteText"/>
        <w:jc w:val="both"/>
        <w:rPr>
          <w:sz w:val="18"/>
          <w:szCs w:val="18"/>
        </w:rPr>
      </w:pPr>
      <w:r w:rsidRPr="005B260D">
        <w:rPr>
          <w:rStyle w:val="FootnoteReference"/>
          <w:sz w:val="18"/>
          <w:szCs w:val="18"/>
        </w:rPr>
        <w:footnoteRef/>
      </w:r>
      <w:r w:rsidRPr="005B260D">
        <w:rPr>
          <w:sz w:val="18"/>
          <w:szCs w:val="18"/>
        </w:rPr>
        <w:t xml:space="preserve"> Participating States included The Bahamas, Barbados, Dominican Republic, Fiji (also a CTI Core State), The Gambia, Haiti, Malawi, Maldives, Marshall Islands, Mauritius, Solomon Islands and Vanuatu. </w:t>
      </w:r>
    </w:p>
  </w:footnote>
  <w:footnote w:id="2">
    <w:p w14:paraId="7059D521" w14:textId="77777777" w:rsidR="0049394C" w:rsidRPr="00693F0C" w:rsidRDefault="0049394C">
      <w:pPr>
        <w:pStyle w:val="FootnoteText"/>
        <w:rPr>
          <w:lang w:val="en-GB"/>
        </w:rPr>
      </w:pPr>
      <w:r w:rsidRPr="005B260D">
        <w:rPr>
          <w:rStyle w:val="FootnoteReference"/>
          <w:sz w:val="18"/>
          <w:szCs w:val="18"/>
        </w:rPr>
        <w:footnoteRef/>
      </w:r>
      <w:r w:rsidRPr="005B260D">
        <w:rPr>
          <w:sz w:val="18"/>
          <w:szCs w:val="18"/>
        </w:rPr>
        <w:t xml:space="preserve"> </w:t>
      </w:r>
      <w:r w:rsidRPr="005B260D">
        <w:rPr>
          <w:sz w:val="18"/>
          <w:szCs w:val="18"/>
          <w:lang w:val="en-GB"/>
        </w:rPr>
        <w:t xml:space="preserve">The </w:t>
      </w:r>
      <w:r w:rsidRPr="005B260D">
        <w:rPr>
          <w:sz w:val="18"/>
          <w:szCs w:val="18"/>
        </w:rPr>
        <w:t>CTI Core States of Chile, Denmark, Ghana, Indonesia and Morocco attended.</w:t>
      </w:r>
    </w:p>
  </w:footnote>
  <w:footnote w:id="3">
    <w:p w14:paraId="415240FC" w14:textId="77777777" w:rsidR="00662A3E" w:rsidRPr="00662A3E" w:rsidRDefault="00662A3E" w:rsidP="00662A3E">
      <w:pPr>
        <w:pStyle w:val="FootnoteText"/>
        <w:jc w:val="both"/>
        <w:rPr>
          <w:sz w:val="18"/>
          <w:szCs w:val="18"/>
        </w:rPr>
      </w:pPr>
      <w:r w:rsidRPr="00662A3E">
        <w:rPr>
          <w:rStyle w:val="FootnoteReference"/>
          <w:sz w:val="18"/>
          <w:szCs w:val="18"/>
        </w:rPr>
        <w:footnoteRef/>
      </w:r>
      <w:r w:rsidRPr="00662A3E">
        <w:rPr>
          <w:sz w:val="18"/>
          <w:szCs w:val="18"/>
        </w:rPr>
        <w:t xml:space="preserve"> Fiji joined the CTI Core Group in February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98BC2" w14:textId="77777777" w:rsidR="0049394C" w:rsidRDefault="000F3EA5">
    <w:pPr>
      <w:pStyle w:val="Header"/>
    </w:pPr>
    <w:r>
      <w:rPr>
        <w:noProof/>
      </w:rPr>
      <w:pict w14:anchorId="0D7C8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53297" o:spid="_x0000_s2050"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Calibri&quot;;font-size:1pt" string="Non-Pap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F2505" w14:textId="77777777" w:rsidR="0049394C" w:rsidRDefault="000F3EA5" w:rsidP="00A95F9B">
    <w:pPr>
      <w:pStyle w:val="Header"/>
      <w:jc w:val="right"/>
    </w:pPr>
    <w:r>
      <w:rPr>
        <w:noProof/>
      </w:rPr>
      <w:pict w14:anchorId="7D263F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53298" o:spid="_x0000_s2051" type="#_x0000_t136" style="position:absolute;left:0;text-align:left;margin-left:0;margin-top:0;width:477.2pt;height:159.05pt;rotation:315;z-index:-251653120;mso-position-horizontal:center;mso-position-horizontal-relative:margin;mso-position-vertical:center;mso-position-vertical-relative:margin" o:allowincell="f" fillcolor="silver" stroked="f">
          <v:fill opacity=".5"/>
          <v:textpath style="font-family:&quot;Calibri&quot;;font-size:1pt" string="Non-Pap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08B60" w14:textId="77777777" w:rsidR="0049394C" w:rsidRPr="00834312" w:rsidRDefault="000F3EA5" w:rsidP="00834312">
    <w:pPr>
      <w:pStyle w:val="Header"/>
      <w:jc w:val="right"/>
      <w:rPr>
        <w:noProof/>
      </w:rPr>
    </w:pPr>
    <w:r>
      <w:rPr>
        <w:noProof/>
      </w:rPr>
      <w:pict w14:anchorId="3F6F25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53296" o:spid="_x0000_s2049" type="#_x0000_t136" style="position:absolute;left:0;text-align:left;margin-left:0;margin-top:0;width:477.2pt;height:159.05pt;rotation:315;z-index:-251657216;mso-position-horizontal:center;mso-position-horizontal-relative:margin;mso-position-vertical:center;mso-position-vertical-relative:margin" o:allowincell="f" fillcolor="silver" stroked="f">
          <v:fill opacity=".5"/>
          <v:textpath style="font-family:&quot;Calibri&quot;;font-size:1pt" string="Non-Paper"/>
          <w10:wrap anchorx="margin" anchory="margin"/>
        </v:shape>
      </w:pict>
    </w:r>
    <w:r w:rsidR="0049394C" w:rsidRPr="00834312">
      <w:rPr>
        <w:noProof/>
        <w:lang w:val="en-GB" w:eastAsia="en-GB"/>
      </w:rPr>
      <w:drawing>
        <wp:inline distT="0" distB="0" distL="0" distR="0" wp14:anchorId="260D57B3" wp14:editId="68EA2685">
          <wp:extent cx="598897" cy="594360"/>
          <wp:effectExtent l="0" t="0" r="0" b="0"/>
          <wp:docPr id="1" name="Picture 1" descr="T:\CTI\Communications\Core States flags logos\High Resolution Logos\Chi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TI\Communications\Core States flags logos\High Resolution Logos\Chil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97" cy="594360"/>
                  </a:xfrm>
                  <a:prstGeom prst="rect">
                    <a:avLst/>
                  </a:prstGeom>
                  <a:noFill/>
                  <a:ln>
                    <a:noFill/>
                  </a:ln>
                </pic:spPr>
              </pic:pic>
            </a:graphicData>
          </a:graphic>
        </wp:inline>
      </w:drawing>
    </w:r>
    <w:r w:rsidR="0049394C" w:rsidRPr="00834312">
      <w:rPr>
        <w:noProof/>
      </w:rPr>
      <w:t xml:space="preserve">  </w:t>
    </w:r>
    <w:r w:rsidR="0049394C" w:rsidRPr="00834312">
      <w:rPr>
        <w:noProof/>
        <w:lang w:val="en-GB" w:eastAsia="en-GB"/>
      </w:rPr>
      <w:drawing>
        <wp:inline distT="0" distB="0" distL="0" distR="0" wp14:anchorId="79D4BADE" wp14:editId="7111CED5">
          <wp:extent cx="601980" cy="601980"/>
          <wp:effectExtent l="0" t="0" r="7620" b="7620"/>
          <wp:docPr id="2" name="Picture 2" descr="T:\CTI\Core group\Core States Logos\Denmark\UM Rigsvaben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TI\Core group\Core States Logos\Denmark\UM Rigsvaben 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1769" cy="601769"/>
                  </a:xfrm>
                  <a:prstGeom prst="rect">
                    <a:avLst/>
                  </a:prstGeom>
                  <a:noFill/>
                  <a:ln>
                    <a:noFill/>
                  </a:ln>
                </pic:spPr>
              </pic:pic>
            </a:graphicData>
          </a:graphic>
        </wp:inline>
      </w:drawing>
    </w:r>
    <w:r w:rsidR="0049394C" w:rsidRPr="00834312">
      <w:rPr>
        <w:noProof/>
      </w:rPr>
      <w:t xml:space="preserve"> </w:t>
    </w:r>
    <w:r w:rsidR="0049394C" w:rsidRPr="00834312">
      <w:rPr>
        <w:noProof/>
        <w:lang w:val="en-GB" w:eastAsia="en-GB"/>
      </w:rPr>
      <w:drawing>
        <wp:inline distT="0" distB="0" distL="0" distR="0" wp14:anchorId="5338A8B4" wp14:editId="3FACEDD0">
          <wp:extent cx="762000" cy="693420"/>
          <wp:effectExtent l="0" t="0" r="0" b="0"/>
          <wp:docPr id="10" name="Picture 10"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0" cy="693420"/>
                  </a:xfrm>
                  <a:prstGeom prst="rect">
                    <a:avLst/>
                  </a:prstGeom>
                  <a:noFill/>
                  <a:ln>
                    <a:noFill/>
                  </a:ln>
                </pic:spPr>
              </pic:pic>
            </a:graphicData>
          </a:graphic>
        </wp:inline>
      </w:drawing>
    </w:r>
    <w:r w:rsidR="0049394C" w:rsidRPr="00834312">
      <w:rPr>
        <w:noProof/>
        <w:lang w:val="en-GB" w:eastAsia="en-GB"/>
      </w:rPr>
      <w:drawing>
        <wp:inline distT="0" distB="0" distL="0" distR="0" wp14:anchorId="682C1808" wp14:editId="7EA2D214">
          <wp:extent cx="752532" cy="65352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4234" cy="655002"/>
                  </a:xfrm>
                  <a:prstGeom prst="rect">
                    <a:avLst/>
                  </a:prstGeom>
                  <a:noFill/>
                  <a:ln>
                    <a:noFill/>
                  </a:ln>
                </pic:spPr>
              </pic:pic>
            </a:graphicData>
          </a:graphic>
        </wp:inline>
      </w:drawing>
    </w:r>
    <w:r w:rsidR="0049394C" w:rsidRPr="00834312">
      <w:rPr>
        <w:noProof/>
        <w:lang w:val="en-GB" w:eastAsia="en-GB"/>
      </w:rPr>
      <w:drawing>
        <wp:inline distT="0" distB="0" distL="0" distR="0" wp14:anchorId="47624E0A" wp14:editId="2158AA61">
          <wp:extent cx="716280" cy="727718"/>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7663" cy="729124"/>
                  </a:xfrm>
                  <a:prstGeom prst="rect">
                    <a:avLst/>
                  </a:prstGeom>
                  <a:noFill/>
                  <a:ln>
                    <a:noFill/>
                  </a:ln>
                </pic:spPr>
              </pic:pic>
            </a:graphicData>
          </a:graphic>
        </wp:inline>
      </w:drawing>
    </w:r>
    <w:r w:rsidR="0049394C" w:rsidRPr="00834312">
      <w:rPr>
        <w:noProof/>
      </w:rPr>
      <w:t xml:space="preserve"> </w:t>
    </w:r>
    <w:r w:rsidR="0049394C" w:rsidRPr="00834312">
      <w:rPr>
        <w:noProof/>
        <w:lang w:val="en-GB" w:eastAsia="en-GB"/>
      </w:rPr>
      <w:drawing>
        <wp:inline distT="0" distB="0" distL="0" distR="0" wp14:anchorId="618D0F6C" wp14:editId="7B95874F">
          <wp:extent cx="693420" cy="685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3602" cy="685980"/>
                  </a:xfrm>
                  <a:prstGeom prst="rect">
                    <a:avLst/>
                  </a:prstGeom>
                  <a:noFill/>
                  <a:ln>
                    <a:noFill/>
                  </a:ln>
                </pic:spPr>
              </pic:pic>
            </a:graphicData>
          </a:graphic>
        </wp:inline>
      </w:drawing>
    </w:r>
    <w:r w:rsidR="0049394C" w:rsidRPr="00834312">
      <w:rPr>
        <w:noProof/>
      </w:rPr>
      <w:t xml:space="preserve">        </w:t>
    </w:r>
    <w:r w:rsidR="0049394C" w:rsidRPr="00834312">
      <w:rPr>
        <w:noProof/>
        <w:lang w:val="en-GB" w:eastAsia="en-GB"/>
      </w:rPr>
      <w:drawing>
        <wp:inline distT="0" distB="0" distL="0" distR="0" wp14:anchorId="3274E32D" wp14:editId="493C0A64">
          <wp:extent cx="1203960" cy="526574"/>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5493" cy="527245"/>
                  </a:xfrm>
                  <a:prstGeom prst="rect">
                    <a:avLst/>
                  </a:prstGeom>
                  <a:noFill/>
                </pic:spPr>
              </pic:pic>
            </a:graphicData>
          </a:graphic>
        </wp:inline>
      </w:drawing>
    </w:r>
  </w:p>
  <w:p w14:paraId="747FDA0F" w14:textId="77777777" w:rsidR="0049394C" w:rsidRDefault="0049394C" w:rsidP="0083431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3A01"/>
    <w:multiLevelType w:val="hybridMultilevel"/>
    <w:tmpl w:val="CB3C37D0"/>
    <w:lvl w:ilvl="0" w:tplc="B76C4C84">
      <w:start w:val="1"/>
      <w:numFmt w:val="bullet"/>
      <w:lvlText w:val=""/>
      <w:lvlJc w:val="left"/>
      <w:pPr>
        <w:ind w:left="1083" w:hanging="360"/>
      </w:pPr>
      <w:rPr>
        <w:rFonts w:ascii="Symbol" w:hAnsi="Symbol" w:hint="default"/>
        <w:color w:val="auto"/>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 w15:restartNumberingAfterBreak="0">
    <w:nsid w:val="0A7D1945"/>
    <w:multiLevelType w:val="hybridMultilevel"/>
    <w:tmpl w:val="28C8E728"/>
    <w:lvl w:ilvl="0" w:tplc="B76C4C8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15115C"/>
    <w:multiLevelType w:val="hybridMultilevel"/>
    <w:tmpl w:val="64380E5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49A1716"/>
    <w:multiLevelType w:val="hybridMultilevel"/>
    <w:tmpl w:val="ACAE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24568"/>
    <w:multiLevelType w:val="hybridMultilevel"/>
    <w:tmpl w:val="F1DE5F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9AA4D3E"/>
    <w:multiLevelType w:val="hybridMultilevel"/>
    <w:tmpl w:val="361C1E4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B2FF4"/>
    <w:multiLevelType w:val="hybridMultilevel"/>
    <w:tmpl w:val="CEAADE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8C428C"/>
    <w:multiLevelType w:val="hybridMultilevel"/>
    <w:tmpl w:val="731C9010"/>
    <w:lvl w:ilvl="0" w:tplc="B76C4C84">
      <w:start w:val="1"/>
      <w:numFmt w:val="bullet"/>
      <w:lvlText w:val=""/>
      <w:lvlJc w:val="left"/>
      <w:pPr>
        <w:ind w:left="723" w:hanging="360"/>
      </w:pPr>
      <w:rPr>
        <w:rFonts w:ascii="Symbol" w:hAnsi="Symbol" w:hint="default"/>
        <w:color w:val="auto"/>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8" w15:restartNumberingAfterBreak="0">
    <w:nsid w:val="37E6345E"/>
    <w:multiLevelType w:val="hybridMultilevel"/>
    <w:tmpl w:val="27125D0E"/>
    <w:lvl w:ilvl="0" w:tplc="B76C4C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DC3118"/>
    <w:multiLevelType w:val="hybridMultilevel"/>
    <w:tmpl w:val="4228700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C3D2241"/>
    <w:multiLevelType w:val="hybridMultilevel"/>
    <w:tmpl w:val="90DE29A6"/>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1" w15:restartNumberingAfterBreak="0">
    <w:nsid w:val="3DC160A2"/>
    <w:multiLevelType w:val="multilevel"/>
    <w:tmpl w:val="B88AF98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DFF162B"/>
    <w:multiLevelType w:val="hybridMultilevel"/>
    <w:tmpl w:val="528ADCF6"/>
    <w:lvl w:ilvl="0" w:tplc="B76C4C8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4DA34F7"/>
    <w:multiLevelType w:val="hybridMultilevel"/>
    <w:tmpl w:val="28E4F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C07EF8"/>
    <w:multiLevelType w:val="hybridMultilevel"/>
    <w:tmpl w:val="91780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937EC0"/>
    <w:multiLevelType w:val="hybridMultilevel"/>
    <w:tmpl w:val="8CA61ECE"/>
    <w:lvl w:ilvl="0" w:tplc="011E1C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EF5A1A"/>
    <w:multiLevelType w:val="hybridMultilevel"/>
    <w:tmpl w:val="CEE4B8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36D511D"/>
    <w:multiLevelType w:val="multilevel"/>
    <w:tmpl w:val="B88AF98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4BF6D50"/>
    <w:multiLevelType w:val="hybridMultilevel"/>
    <w:tmpl w:val="26AE50BE"/>
    <w:lvl w:ilvl="0" w:tplc="1B5C1AF6">
      <w:start w:val="1"/>
      <w:numFmt w:val="decimal"/>
      <w:lvlText w:val="%1."/>
      <w:lvlJc w:val="left"/>
      <w:pPr>
        <w:ind w:left="720" w:hanging="360"/>
      </w:pPr>
      <w:rPr>
        <w:rFonts w:hint="default"/>
        <w:b w:val="0"/>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566523F1"/>
    <w:multiLevelType w:val="hybridMultilevel"/>
    <w:tmpl w:val="315606C0"/>
    <w:lvl w:ilvl="0" w:tplc="B76C4C8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1F331D"/>
    <w:multiLevelType w:val="hybridMultilevel"/>
    <w:tmpl w:val="C644CF7C"/>
    <w:lvl w:ilvl="0" w:tplc="B76C4C8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6AA46E7"/>
    <w:multiLevelType w:val="hybridMultilevel"/>
    <w:tmpl w:val="A432A64A"/>
    <w:lvl w:ilvl="0" w:tplc="B76C4C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0E0251"/>
    <w:multiLevelType w:val="hybridMultilevel"/>
    <w:tmpl w:val="F91C2868"/>
    <w:lvl w:ilvl="0" w:tplc="B76C4C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EB0F8D"/>
    <w:multiLevelType w:val="hybridMultilevel"/>
    <w:tmpl w:val="88A0E004"/>
    <w:lvl w:ilvl="0" w:tplc="B76C4C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12339"/>
    <w:multiLevelType w:val="hybridMultilevel"/>
    <w:tmpl w:val="D0FCF832"/>
    <w:lvl w:ilvl="0" w:tplc="13F04E9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1727E65"/>
    <w:multiLevelType w:val="hybridMultilevel"/>
    <w:tmpl w:val="97A40E40"/>
    <w:lvl w:ilvl="0" w:tplc="B76C4C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D445A7"/>
    <w:multiLevelType w:val="multilevel"/>
    <w:tmpl w:val="B88AF98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C0E6808"/>
    <w:multiLevelType w:val="hybridMultilevel"/>
    <w:tmpl w:val="89B8C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F786D7A"/>
    <w:multiLevelType w:val="hybridMultilevel"/>
    <w:tmpl w:val="8FF08E04"/>
    <w:lvl w:ilvl="0" w:tplc="B76C4C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DB35FC"/>
    <w:multiLevelType w:val="hybridMultilevel"/>
    <w:tmpl w:val="6082F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1"/>
  </w:num>
  <w:num w:numId="3">
    <w:abstractNumId w:val="27"/>
  </w:num>
  <w:num w:numId="4">
    <w:abstractNumId w:val="29"/>
  </w:num>
  <w:num w:numId="5">
    <w:abstractNumId w:val="13"/>
  </w:num>
  <w:num w:numId="6">
    <w:abstractNumId w:val="24"/>
  </w:num>
  <w:num w:numId="7">
    <w:abstractNumId w:val="2"/>
  </w:num>
  <w:num w:numId="8">
    <w:abstractNumId w:val="9"/>
  </w:num>
  <w:num w:numId="9">
    <w:abstractNumId w:val="14"/>
  </w:num>
  <w:num w:numId="10">
    <w:abstractNumId w:val="18"/>
  </w:num>
  <w:num w:numId="11">
    <w:abstractNumId w:val="4"/>
  </w:num>
  <w:num w:numId="12">
    <w:abstractNumId w:val="6"/>
  </w:num>
  <w:num w:numId="13">
    <w:abstractNumId w:val="16"/>
  </w:num>
  <w:num w:numId="14">
    <w:abstractNumId w:val="26"/>
  </w:num>
  <w:num w:numId="15">
    <w:abstractNumId w:val="19"/>
  </w:num>
  <w:num w:numId="16">
    <w:abstractNumId w:val="20"/>
  </w:num>
  <w:num w:numId="17">
    <w:abstractNumId w:val="12"/>
  </w:num>
  <w:num w:numId="18">
    <w:abstractNumId w:val="28"/>
  </w:num>
  <w:num w:numId="19">
    <w:abstractNumId w:val="22"/>
  </w:num>
  <w:num w:numId="20">
    <w:abstractNumId w:val="8"/>
  </w:num>
  <w:num w:numId="21">
    <w:abstractNumId w:val="17"/>
  </w:num>
  <w:num w:numId="22">
    <w:abstractNumId w:val="1"/>
  </w:num>
  <w:num w:numId="23">
    <w:abstractNumId w:val="0"/>
  </w:num>
  <w:num w:numId="24">
    <w:abstractNumId w:val="23"/>
  </w:num>
  <w:num w:numId="25">
    <w:abstractNumId w:val="5"/>
  </w:num>
  <w:num w:numId="26">
    <w:abstractNumId w:val="7"/>
  </w:num>
  <w:num w:numId="27">
    <w:abstractNumId w:val="21"/>
  </w:num>
  <w:num w:numId="28">
    <w:abstractNumId w:val="25"/>
  </w:num>
  <w:num w:numId="29">
    <w:abstractNumId w:val="1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F9B"/>
    <w:rsid w:val="0002046D"/>
    <w:rsid w:val="00026D36"/>
    <w:rsid w:val="00027186"/>
    <w:rsid w:val="00035B75"/>
    <w:rsid w:val="00062BAB"/>
    <w:rsid w:val="000848FE"/>
    <w:rsid w:val="000B149A"/>
    <w:rsid w:val="000D3B04"/>
    <w:rsid w:val="000F3EA5"/>
    <w:rsid w:val="000F4175"/>
    <w:rsid w:val="000F61DA"/>
    <w:rsid w:val="00111F3F"/>
    <w:rsid w:val="001235C5"/>
    <w:rsid w:val="001457DE"/>
    <w:rsid w:val="00154A70"/>
    <w:rsid w:val="0016463D"/>
    <w:rsid w:val="00187A83"/>
    <w:rsid w:val="0019416C"/>
    <w:rsid w:val="001C3350"/>
    <w:rsid w:val="001C6EC6"/>
    <w:rsid w:val="001D63C0"/>
    <w:rsid w:val="001E0837"/>
    <w:rsid w:val="001E0B67"/>
    <w:rsid w:val="001F2179"/>
    <w:rsid w:val="002067D2"/>
    <w:rsid w:val="002205BD"/>
    <w:rsid w:val="00231073"/>
    <w:rsid w:val="002611A4"/>
    <w:rsid w:val="00263519"/>
    <w:rsid w:val="00266952"/>
    <w:rsid w:val="002838B9"/>
    <w:rsid w:val="0028746D"/>
    <w:rsid w:val="00287800"/>
    <w:rsid w:val="002A5485"/>
    <w:rsid w:val="002E3E0A"/>
    <w:rsid w:val="0030543E"/>
    <w:rsid w:val="003102C3"/>
    <w:rsid w:val="0034099F"/>
    <w:rsid w:val="00341663"/>
    <w:rsid w:val="00355525"/>
    <w:rsid w:val="003647DE"/>
    <w:rsid w:val="0036689C"/>
    <w:rsid w:val="003722E8"/>
    <w:rsid w:val="003C2C8F"/>
    <w:rsid w:val="0040642B"/>
    <w:rsid w:val="00435911"/>
    <w:rsid w:val="0047786C"/>
    <w:rsid w:val="00480654"/>
    <w:rsid w:val="00487272"/>
    <w:rsid w:val="0049394C"/>
    <w:rsid w:val="004943FB"/>
    <w:rsid w:val="004975BF"/>
    <w:rsid w:val="004A1CD5"/>
    <w:rsid w:val="004B00EC"/>
    <w:rsid w:val="004B7A8C"/>
    <w:rsid w:val="004C1909"/>
    <w:rsid w:val="004D4C0A"/>
    <w:rsid w:val="004D67CC"/>
    <w:rsid w:val="00516865"/>
    <w:rsid w:val="00532685"/>
    <w:rsid w:val="005355DC"/>
    <w:rsid w:val="0054122C"/>
    <w:rsid w:val="00542590"/>
    <w:rsid w:val="00575CA2"/>
    <w:rsid w:val="005A1F26"/>
    <w:rsid w:val="005B260D"/>
    <w:rsid w:val="005B286B"/>
    <w:rsid w:val="005B40D4"/>
    <w:rsid w:val="005B4732"/>
    <w:rsid w:val="00633EB9"/>
    <w:rsid w:val="00641321"/>
    <w:rsid w:val="00662A3E"/>
    <w:rsid w:val="006703D5"/>
    <w:rsid w:val="00693F0C"/>
    <w:rsid w:val="006A08C4"/>
    <w:rsid w:val="006C24C1"/>
    <w:rsid w:val="006C6AD9"/>
    <w:rsid w:val="006E1822"/>
    <w:rsid w:val="006E48CA"/>
    <w:rsid w:val="007268D4"/>
    <w:rsid w:val="007303ED"/>
    <w:rsid w:val="00754F53"/>
    <w:rsid w:val="00775673"/>
    <w:rsid w:val="00777D2E"/>
    <w:rsid w:val="00780B16"/>
    <w:rsid w:val="00782A38"/>
    <w:rsid w:val="00786127"/>
    <w:rsid w:val="007C14C9"/>
    <w:rsid w:val="007C3432"/>
    <w:rsid w:val="007C6D77"/>
    <w:rsid w:val="007E4F60"/>
    <w:rsid w:val="007F5778"/>
    <w:rsid w:val="007F7691"/>
    <w:rsid w:val="008034E6"/>
    <w:rsid w:val="00805ED8"/>
    <w:rsid w:val="00817B38"/>
    <w:rsid w:val="00834312"/>
    <w:rsid w:val="00835CC2"/>
    <w:rsid w:val="008405BA"/>
    <w:rsid w:val="00857ACB"/>
    <w:rsid w:val="00884C07"/>
    <w:rsid w:val="008946D2"/>
    <w:rsid w:val="008B4F5A"/>
    <w:rsid w:val="008B53EB"/>
    <w:rsid w:val="008B7BFE"/>
    <w:rsid w:val="008C4DED"/>
    <w:rsid w:val="008D563A"/>
    <w:rsid w:val="009044ED"/>
    <w:rsid w:val="00915104"/>
    <w:rsid w:val="00916AA6"/>
    <w:rsid w:val="009205E3"/>
    <w:rsid w:val="00925982"/>
    <w:rsid w:val="00935A53"/>
    <w:rsid w:val="0099576E"/>
    <w:rsid w:val="009A47D1"/>
    <w:rsid w:val="009B3FFD"/>
    <w:rsid w:val="009B4358"/>
    <w:rsid w:val="009D1203"/>
    <w:rsid w:val="009D403C"/>
    <w:rsid w:val="009D4BEF"/>
    <w:rsid w:val="009D7400"/>
    <w:rsid w:val="009E051E"/>
    <w:rsid w:val="009F4289"/>
    <w:rsid w:val="009F5690"/>
    <w:rsid w:val="00A00DB3"/>
    <w:rsid w:val="00A40B49"/>
    <w:rsid w:val="00A471BA"/>
    <w:rsid w:val="00A602CC"/>
    <w:rsid w:val="00A950BC"/>
    <w:rsid w:val="00A95F9B"/>
    <w:rsid w:val="00A9664E"/>
    <w:rsid w:val="00AA3F2C"/>
    <w:rsid w:val="00AD1A27"/>
    <w:rsid w:val="00AE2B94"/>
    <w:rsid w:val="00B051DE"/>
    <w:rsid w:val="00B17CC8"/>
    <w:rsid w:val="00B42F98"/>
    <w:rsid w:val="00B55952"/>
    <w:rsid w:val="00B7554B"/>
    <w:rsid w:val="00B80EA1"/>
    <w:rsid w:val="00BA317A"/>
    <w:rsid w:val="00BB07B6"/>
    <w:rsid w:val="00BC4689"/>
    <w:rsid w:val="00BE062F"/>
    <w:rsid w:val="00BE3CC5"/>
    <w:rsid w:val="00BE7869"/>
    <w:rsid w:val="00BF463D"/>
    <w:rsid w:val="00C123B4"/>
    <w:rsid w:val="00C1432E"/>
    <w:rsid w:val="00C24DB1"/>
    <w:rsid w:val="00C32044"/>
    <w:rsid w:val="00C7109C"/>
    <w:rsid w:val="00C82D12"/>
    <w:rsid w:val="00CB6F2B"/>
    <w:rsid w:val="00CD2A19"/>
    <w:rsid w:val="00CD34F1"/>
    <w:rsid w:val="00CF3B67"/>
    <w:rsid w:val="00D017D2"/>
    <w:rsid w:val="00D13C96"/>
    <w:rsid w:val="00D3767D"/>
    <w:rsid w:val="00D44245"/>
    <w:rsid w:val="00D47C8D"/>
    <w:rsid w:val="00D518DB"/>
    <w:rsid w:val="00D56E93"/>
    <w:rsid w:val="00D92A2B"/>
    <w:rsid w:val="00DA10E3"/>
    <w:rsid w:val="00DA65A3"/>
    <w:rsid w:val="00DD304C"/>
    <w:rsid w:val="00DD733C"/>
    <w:rsid w:val="00DE6A45"/>
    <w:rsid w:val="00E15CB4"/>
    <w:rsid w:val="00E24FDC"/>
    <w:rsid w:val="00E27368"/>
    <w:rsid w:val="00E35115"/>
    <w:rsid w:val="00E41F13"/>
    <w:rsid w:val="00E442F2"/>
    <w:rsid w:val="00E71D93"/>
    <w:rsid w:val="00E7723A"/>
    <w:rsid w:val="00E93CF8"/>
    <w:rsid w:val="00EB0D45"/>
    <w:rsid w:val="00ED0F08"/>
    <w:rsid w:val="00ED2DFF"/>
    <w:rsid w:val="00ED7257"/>
    <w:rsid w:val="00EE3F66"/>
    <w:rsid w:val="00EF0797"/>
    <w:rsid w:val="00EF5790"/>
    <w:rsid w:val="00EF5FFD"/>
    <w:rsid w:val="00F101CA"/>
    <w:rsid w:val="00F11662"/>
    <w:rsid w:val="00F1596E"/>
    <w:rsid w:val="00F75B4C"/>
    <w:rsid w:val="00F774AB"/>
    <w:rsid w:val="00F82E4F"/>
    <w:rsid w:val="00F90627"/>
    <w:rsid w:val="00FA16EE"/>
    <w:rsid w:val="00FA5668"/>
    <w:rsid w:val="00FB7401"/>
    <w:rsid w:val="00FC4F48"/>
    <w:rsid w:val="00FC5761"/>
    <w:rsid w:val="00FD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E7731B"/>
  <w15:docId w15:val="{6E88AC85-217D-4DA3-B38A-314E2E67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7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F9B"/>
  </w:style>
  <w:style w:type="paragraph" w:styleId="Footer">
    <w:name w:val="footer"/>
    <w:basedOn w:val="Normal"/>
    <w:link w:val="FooterChar"/>
    <w:uiPriority w:val="99"/>
    <w:unhideWhenUsed/>
    <w:rsid w:val="00A95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F9B"/>
  </w:style>
  <w:style w:type="paragraph" w:styleId="BalloonText">
    <w:name w:val="Balloon Text"/>
    <w:basedOn w:val="Normal"/>
    <w:link w:val="BalloonTextChar"/>
    <w:uiPriority w:val="99"/>
    <w:semiHidden/>
    <w:unhideWhenUsed/>
    <w:rsid w:val="00A95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F9B"/>
    <w:rPr>
      <w:rFonts w:ascii="Tahoma" w:hAnsi="Tahoma" w:cs="Tahoma"/>
      <w:sz w:val="16"/>
      <w:szCs w:val="16"/>
    </w:rPr>
  </w:style>
  <w:style w:type="paragraph" w:styleId="ListParagraph">
    <w:name w:val="List Paragraph"/>
    <w:basedOn w:val="Normal"/>
    <w:uiPriority w:val="34"/>
    <w:qFormat/>
    <w:rsid w:val="00A95F9B"/>
    <w:pPr>
      <w:ind w:left="720"/>
      <w:contextualSpacing/>
    </w:pPr>
  </w:style>
  <w:style w:type="character" w:styleId="Hyperlink">
    <w:name w:val="Hyperlink"/>
    <w:basedOn w:val="DefaultParagraphFont"/>
    <w:uiPriority w:val="99"/>
    <w:unhideWhenUsed/>
    <w:rsid w:val="009F4289"/>
    <w:rPr>
      <w:color w:val="0000FF" w:themeColor="hyperlink"/>
      <w:u w:val="single"/>
    </w:rPr>
  </w:style>
  <w:style w:type="paragraph" w:styleId="FootnoteText">
    <w:name w:val="footnote text"/>
    <w:basedOn w:val="Normal"/>
    <w:link w:val="FootnoteTextChar"/>
    <w:uiPriority w:val="99"/>
    <w:semiHidden/>
    <w:unhideWhenUsed/>
    <w:rsid w:val="009259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5982"/>
    <w:rPr>
      <w:sz w:val="20"/>
      <w:szCs w:val="20"/>
    </w:rPr>
  </w:style>
  <w:style w:type="character" w:styleId="FootnoteReference">
    <w:name w:val="footnote reference"/>
    <w:basedOn w:val="DefaultParagraphFont"/>
    <w:uiPriority w:val="99"/>
    <w:semiHidden/>
    <w:unhideWhenUsed/>
    <w:rsid w:val="00925982"/>
    <w:rPr>
      <w:vertAlign w:val="superscript"/>
    </w:rPr>
  </w:style>
  <w:style w:type="character" w:styleId="CommentReference">
    <w:name w:val="annotation reference"/>
    <w:basedOn w:val="DefaultParagraphFont"/>
    <w:uiPriority w:val="99"/>
    <w:semiHidden/>
    <w:unhideWhenUsed/>
    <w:rsid w:val="00287800"/>
    <w:rPr>
      <w:sz w:val="16"/>
      <w:szCs w:val="16"/>
    </w:rPr>
  </w:style>
  <w:style w:type="paragraph" w:styleId="CommentText">
    <w:name w:val="annotation text"/>
    <w:basedOn w:val="Normal"/>
    <w:link w:val="CommentTextChar"/>
    <w:uiPriority w:val="99"/>
    <w:semiHidden/>
    <w:unhideWhenUsed/>
    <w:rsid w:val="00287800"/>
    <w:pPr>
      <w:spacing w:line="240" w:lineRule="auto"/>
    </w:pPr>
    <w:rPr>
      <w:sz w:val="20"/>
      <w:szCs w:val="20"/>
    </w:rPr>
  </w:style>
  <w:style w:type="character" w:customStyle="1" w:styleId="CommentTextChar">
    <w:name w:val="Comment Text Char"/>
    <w:basedOn w:val="DefaultParagraphFont"/>
    <w:link w:val="CommentText"/>
    <w:uiPriority w:val="99"/>
    <w:semiHidden/>
    <w:rsid w:val="00287800"/>
    <w:rPr>
      <w:sz w:val="20"/>
      <w:szCs w:val="20"/>
    </w:rPr>
  </w:style>
  <w:style w:type="paragraph" w:styleId="CommentSubject">
    <w:name w:val="annotation subject"/>
    <w:basedOn w:val="CommentText"/>
    <w:next w:val="CommentText"/>
    <w:link w:val="CommentSubjectChar"/>
    <w:uiPriority w:val="99"/>
    <w:semiHidden/>
    <w:unhideWhenUsed/>
    <w:rsid w:val="00287800"/>
    <w:rPr>
      <w:b/>
      <w:bCs/>
    </w:rPr>
  </w:style>
  <w:style w:type="character" w:customStyle="1" w:styleId="CommentSubjectChar">
    <w:name w:val="Comment Subject Char"/>
    <w:basedOn w:val="CommentTextChar"/>
    <w:link w:val="CommentSubject"/>
    <w:uiPriority w:val="99"/>
    <w:semiHidden/>
    <w:rsid w:val="00287800"/>
    <w:rPr>
      <w:b/>
      <w:bCs/>
      <w:sz w:val="20"/>
      <w:szCs w:val="20"/>
    </w:rPr>
  </w:style>
  <w:style w:type="paragraph" w:styleId="Revision">
    <w:name w:val="Revision"/>
    <w:hidden/>
    <w:uiPriority w:val="99"/>
    <w:semiHidden/>
    <w:rsid w:val="002878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948891">
      <w:bodyDiv w:val="1"/>
      <w:marLeft w:val="0"/>
      <w:marRight w:val="0"/>
      <w:marTop w:val="0"/>
      <w:marBottom w:val="0"/>
      <w:divBdr>
        <w:top w:val="none" w:sz="0" w:space="0" w:color="auto"/>
        <w:left w:val="none" w:sz="0" w:space="0" w:color="auto"/>
        <w:bottom w:val="none" w:sz="0" w:space="0" w:color="auto"/>
        <w:right w:val="none" w:sz="0" w:space="0" w:color="auto"/>
      </w:divBdr>
    </w:div>
    <w:div w:id="174594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athamhouse.org/chatham-house-rule" TargetMode="External"/><Relationship Id="rId18" Type="http://schemas.openxmlformats.org/officeDocument/2006/relationships/hyperlink" Target="mailto:info@cti2024.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niversal-rights.org/" TargetMode="External"/><Relationship Id="rId17" Type="http://schemas.openxmlformats.org/officeDocument/2006/relationships/hyperlink" Target="http://www.cti2024.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ti2024.org/en/group-of-friend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commonwealth.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pt.ch/"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ti2024.org/en/contacts/"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jpeg"/><Relationship Id="rId1" Type="http://schemas.openxmlformats.org/officeDocument/2006/relationships/image" Target="media/image8.png"/><Relationship Id="rId4" Type="http://schemas.openxmlformats.org/officeDocument/2006/relationships/image" Target="media/image1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5E26A-2340-411C-8268-671A1EC787DC}"/>
</file>

<file path=customXml/itemProps2.xml><?xml version="1.0" encoding="utf-8"?>
<ds:datastoreItem xmlns:ds="http://schemas.openxmlformats.org/officeDocument/2006/customXml" ds:itemID="{BE28E2DE-FC91-42B9-B3DF-8C5E8F930F0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B4AD486-324B-45D6-A609-CCCD7A6B60EF}">
  <ds:schemaRefs>
    <ds:schemaRef ds:uri="http://schemas.microsoft.com/sharepoint/v3/contenttype/forms"/>
  </ds:schemaRefs>
</ds:datastoreItem>
</file>

<file path=customXml/itemProps4.xml><?xml version="1.0" encoding="utf-8"?>
<ds:datastoreItem xmlns:ds="http://schemas.openxmlformats.org/officeDocument/2006/customXml" ds:itemID="{FD977FFE-7C3B-4D4F-B2A4-B4929902C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2734</Words>
  <Characters>15589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Blanco</dc:creator>
  <cp:lastModifiedBy>Elena Kountouri Tapiero</cp:lastModifiedBy>
  <cp:revision>2</cp:revision>
  <cp:lastPrinted>2019-04-16T12:17:00Z</cp:lastPrinted>
  <dcterms:created xsi:type="dcterms:W3CDTF">2019-04-24T10:03:00Z</dcterms:created>
  <dcterms:modified xsi:type="dcterms:W3CDTF">2019-04-24T10:03:00Z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