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93A3C" w14:textId="0911185B" w:rsidR="00927ACA" w:rsidRPr="006F72C6" w:rsidRDefault="00927ACA" w:rsidP="006F72C6">
      <w:pPr>
        <w:tabs>
          <w:tab w:val="left" w:pos="1184"/>
        </w:tabs>
        <w:spacing w:before="217"/>
        <w:ind w:right="112"/>
        <w:rPr>
          <w:rFonts w:ascii="Arial" w:hAnsi="Arial" w:cs="Arial"/>
          <w:b/>
          <w:color w:val="0070C0"/>
          <w:sz w:val="24"/>
        </w:rPr>
      </w:pPr>
      <w:r w:rsidRPr="006F72C6">
        <w:rPr>
          <w:rFonts w:ascii="Arial" w:hAnsi="Arial" w:cs="Arial"/>
          <w:b/>
          <w:color w:val="0070C0"/>
          <w:sz w:val="28"/>
        </w:rPr>
        <w:t>Submission</w:t>
      </w:r>
      <w:r w:rsidR="0079162C" w:rsidRPr="006F72C6">
        <w:rPr>
          <w:rFonts w:ascii="Arial" w:hAnsi="Arial" w:cs="Arial"/>
          <w:b/>
          <w:color w:val="0070C0"/>
          <w:sz w:val="28"/>
        </w:rPr>
        <w:t xml:space="preserve"> by th</w:t>
      </w:r>
      <w:r w:rsidR="006F72C6" w:rsidRPr="006F72C6">
        <w:rPr>
          <w:rFonts w:ascii="Arial" w:hAnsi="Arial" w:cs="Arial"/>
          <w:b/>
          <w:color w:val="0070C0"/>
          <w:sz w:val="28"/>
        </w:rPr>
        <w:t>e Geneva Human Righ</w:t>
      </w:r>
      <w:bookmarkStart w:id="0" w:name="_GoBack"/>
      <w:bookmarkEnd w:id="0"/>
      <w:r w:rsidR="006F72C6" w:rsidRPr="006F72C6">
        <w:rPr>
          <w:rFonts w:ascii="Arial" w:hAnsi="Arial" w:cs="Arial"/>
          <w:b/>
          <w:color w:val="0070C0"/>
          <w:sz w:val="28"/>
        </w:rPr>
        <w:t xml:space="preserve">ts Platform </w:t>
      </w:r>
      <w:r w:rsidRPr="006F72C6">
        <w:rPr>
          <w:rFonts w:ascii="Arial" w:hAnsi="Arial" w:cs="Arial"/>
          <w:b/>
          <w:color w:val="0070C0"/>
          <w:sz w:val="28"/>
        </w:rPr>
        <w:t>in reply to the call for written submissions by the co-facilitators of the 2020 TB Review process, circulated on 17 June 2020</w:t>
      </w:r>
      <w:r w:rsidR="00956BF3" w:rsidRPr="006F72C6">
        <w:rPr>
          <w:rFonts w:ascii="Arial" w:hAnsi="Arial" w:cs="Arial"/>
          <w:b/>
          <w:color w:val="0070C0"/>
          <w:sz w:val="24"/>
        </w:rPr>
        <w:t xml:space="preserve">. </w:t>
      </w:r>
    </w:p>
    <w:p w14:paraId="6FE008B0" w14:textId="77777777" w:rsidR="006F72C6" w:rsidRDefault="006F72C6" w:rsidP="006F72C6">
      <w:pPr>
        <w:tabs>
          <w:tab w:val="left" w:pos="1184"/>
        </w:tabs>
        <w:spacing w:before="217"/>
        <w:ind w:right="112"/>
        <w:rPr>
          <w:sz w:val="24"/>
        </w:rPr>
      </w:pPr>
    </w:p>
    <w:p w14:paraId="63169B4B" w14:textId="77777777" w:rsidR="00927ACA" w:rsidRPr="006F72C6" w:rsidRDefault="00927ACA" w:rsidP="006F72C6">
      <w:pPr>
        <w:pStyle w:val="BodyText"/>
        <w:ind w:right="110"/>
        <w:rPr>
          <w:sz w:val="20"/>
        </w:rPr>
      </w:pPr>
      <w:r w:rsidRPr="006F72C6">
        <w:rPr>
          <w:sz w:val="20"/>
        </w:rPr>
        <w:t xml:space="preserve">[Submissions should be sent in English as a MS Word Document to the following address </w:t>
      </w:r>
      <w:hyperlink r:id="rId8">
        <w:r w:rsidRPr="006F72C6">
          <w:rPr>
            <w:color w:val="0000FF"/>
            <w:sz w:val="20"/>
            <w:u w:val="single" w:color="0000FF"/>
          </w:rPr>
          <w:t>treatybodies@gmail.com</w:t>
        </w:r>
        <w:r w:rsidRPr="006F72C6">
          <w:rPr>
            <w:color w:val="0000FF"/>
            <w:sz w:val="20"/>
          </w:rPr>
          <w:t xml:space="preserve"> </w:t>
        </w:r>
      </w:hyperlink>
      <w:r w:rsidRPr="006F72C6">
        <w:rPr>
          <w:sz w:val="20"/>
          <w:u w:val="single"/>
        </w:rPr>
        <w:t>by 7 July 2020</w:t>
      </w:r>
      <w:r w:rsidRPr="006F72C6">
        <w:rPr>
          <w:sz w:val="20"/>
        </w:rPr>
        <w:t xml:space="preserve">. All submissions will be published on the OHCHR webpage dedicated to the process, where all other information is also available: </w:t>
      </w:r>
      <w:r w:rsidRPr="006F72C6">
        <w:rPr>
          <w:color w:val="0000FF"/>
          <w:sz w:val="20"/>
          <w:u w:val="single" w:color="0000FF"/>
        </w:rPr>
        <w:t>https://</w:t>
      </w:r>
      <w:hyperlink r:id="rId9">
        <w:r w:rsidRPr="006F72C6">
          <w:rPr>
            <w:color w:val="0000FF"/>
            <w:sz w:val="20"/>
            <w:u w:val="single" w:color="0000FF"/>
          </w:rPr>
          <w:t>www.ohchr.org/EN/HRBodies/HRTD/Pages/TBStrengthening.aspx</w:t>
        </w:r>
      </w:hyperlink>
      <w:r w:rsidRPr="006F72C6">
        <w:rPr>
          <w:color w:val="0000FF"/>
          <w:sz w:val="20"/>
          <w:u w:val="single" w:color="0000FF"/>
        </w:rPr>
        <w:t>]</w:t>
      </w:r>
    </w:p>
    <w:p w14:paraId="2AE46F16" w14:textId="77777777" w:rsidR="00956BF3" w:rsidRPr="006F72C6" w:rsidRDefault="00927ACA" w:rsidP="006F72C6">
      <w:pPr>
        <w:tabs>
          <w:tab w:val="left" w:pos="1184"/>
        </w:tabs>
        <w:spacing w:before="217"/>
        <w:ind w:right="112"/>
        <w:rPr>
          <w:rFonts w:ascii="Arial" w:hAnsi="Arial" w:cs="Arial"/>
          <w:sz w:val="24"/>
        </w:rPr>
      </w:pPr>
      <w:r w:rsidRPr="006F72C6">
        <w:rPr>
          <w:rFonts w:ascii="Arial" w:hAnsi="Arial" w:cs="Arial"/>
          <w:sz w:val="24"/>
        </w:rPr>
        <w:t xml:space="preserve">The </w:t>
      </w:r>
      <w:hyperlink r:id="rId10" w:history="1">
        <w:r w:rsidRPr="006F72C6">
          <w:rPr>
            <w:rStyle w:val="Hyperlink"/>
            <w:rFonts w:ascii="Arial" w:hAnsi="Arial" w:cs="Arial"/>
            <w:sz w:val="24"/>
          </w:rPr>
          <w:t>Geneva Human Rights Platform</w:t>
        </w:r>
      </w:hyperlink>
      <w:r w:rsidRPr="006F72C6">
        <w:rPr>
          <w:rFonts w:ascii="Arial" w:hAnsi="Arial" w:cs="Arial"/>
          <w:sz w:val="24"/>
        </w:rPr>
        <w:t xml:space="preserve"> welcomes the opportunity to provide formal input to the 2020 TB Review process in reply to the call for contributions issued by the co-facilitators on 17 June 2020. At the outset, we want to </w:t>
      </w:r>
      <w:r w:rsidR="00956BF3" w:rsidRPr="006F72C6">
        <w:rPr>
          <w:rFonts w:ascii="Arial" w:hAnsi="Arial" w:cs="Arial"/>
          <w:sz w:val="24"/>
        </w:rPr>
        <w:t>commend</w:t>
      </w:r>
      <w:r w:rsidRPr="006F72C6">
        <w:rPr>
          <w:rFonts w:ascii="Arial" w:hAnsi="Arial" w:cs="Arial"/>
          <w:sz w:val="24"/>
        </w:rPr>
        <w:t xml:space="preserve"> the openness of the process and the opportunity </w:t>
      </w:r>
      <w:r w:rsidR="00956BF3" w:rsidRPr="006F72C6">
        <w:rPr>
          <w:rFonts w:ascii="Arial" w:hAnsi="Arial" w:cs="Arial"/>
          <w:sz w:val="24"/>
        </w:rPr>
        <w:t>for</w:t>
      </w:r>
      <w:r w:rsidRPr="006F72C6">
        <w:rPr>
          <w:rFonts w:ascii="Arial" w:hAnsi="Arial" w:cs="Arial"/>
          <w:sz w:val="24"/>
        </w:rPr>
        <w:t xml:space="preserve"> civil society to actively engage in the consultations. </w:t>
      </w:r>
    </w:p>
    <w:p w14:paraId="18865C10" w14:textId="7D7EDEC0" w:rsidR="00956BF3" w:rsidRPr="006F72C6" w:rsidRDefault="00956BF3" w:rsidP="006F72C6">
      <w:pPr>
        <w:tabs>
          <w:tab w:val="left" w:pos="1184"/>
        </w:tabs>
        <w:spacing w:before="217"/>
        <w:ind w:right="112"/>
        <w:rPr>
          <w:rFonts w:ascii="Arial" w:hAnsi="Arial" w:cs="Arial"/>
          <w:sz w:val="24"/>
        </w:rPr>
      </w:pPr>
      <w:r w:rsidRPr="006F72C6">
        <w:rPr>
          <w:rFonts w:ascii="Arial" w:hAnsi="Arial" w:cs="Arial"/>
          <w:sz w:val="24"/>
        </w:rPr>
        <w:t>The Geneva Human Rights Platform has led since 2015 academic efforts to contribute to the strengthening of the Treaty Body System, engaging also with Treaty Body Members, States, OHCHR</w:t>
      </w:r>
      <w:r w:rsidR="007F2CD6" w:rsidRPr="006F72C6">
        <w:rPr>
          <w:rFonts w:ascii="Arial" w:hAnsi="Arial" w:cs="Arial"/>
          <w:sz w:val="24"/>
        </w:rPr>
        <w:t>, NHRIs</w:t>
      </w:r>
      <w:r w:rsidRPr="006F72C6">
        <w:rPr>
          <w:rFonts w:ascii="Arial" w:hAnsi="Arial" w:cs="Arial"/>
          <w:sz w:val="24"/>
        </w:rPr>
        <w:t xml:space="preserve"> and civil society. The outcomes of the 3-year global academic consultation process of the Academic Platform are available here: (</w:t>
      </w:r>
      <w:hyperlink r:id="rId11" w:history="1">
        <w:r w:rsidR="00C20593" w:rsidRPr="006F72C6">
          <w:rPr>
            <w:rStyle w:val="Hyperlink"/>
            <w:rFonts w:ascii="Arial" w:hAnsi="Arial" w:cs="Arial"/>
            <w:sz w:val="24"/>
          </w:rPr>
          <w:t>https://www.geneva-academy.ch/tb-review-2020</w:t>
        </w:r>
      </w:hyperlink>
      <w:r w:rsidR="00C20593" w:rsidRPr="006F72C6">
        <w:rPr>
          <w:rFonts w:ascii="Arial" w:hAnsi="Arial" w:cs="Arial"/>
          <w:sz w:val="24"/>
        </w:rPr>
        <w:t xml:space="preserve"> </w:t>
      </w:r>
      <w:r w:rsidRPr="006F72C6">
        <w:rPr>
          <w:rFonts w:ascii="Arial" w:hAnsi="Arial" w:cs="Arial"/>
          <w:sz w:val="24"/>
        </w:rPr>
        <w:t>)</w:t>
      </w:r>
    </w:p>
    <w:p w14:paraId="758686B5" w14:textId="77777777" w:rsidR="00927ACA" w:rsidRPr="006F72C6" w:rsidRDefault="00956BF3" w:rsidP="006F72C6">
      <w:pPr>
        <w:tabs>
          <w:tab w:val="left" w:pos="1184"/>
        </w:tabs>
        <w:spacing w:before="217"/>
        <w:ind w:right="112"/>
        <w:rPr>
          <w:rFonts w:ascii="Arial" w:hAnsi="Arial" w:cs="Arial"/>
          <w:sz w:val="24"/>
        </w:rPr>
      </w:pPr>
      <w:r w:rsidRPr="006F72C6">
        <w:rPr>
          <w:rFonts w:ascii="Arial" w:hAnsi="Arial" w:cs="Arial"/>
          <w:sz w:val="24"/>
        </w:rPr>
        <w:t>Further publication</w:t>
      </w:r>
      <w:r w:rsidR="00C20593" w:rsidRPr="006F72C6">
        <w:rPr>
          <w:rFonts w:ascii="Arial" w:hAnsi="Arial" w:cs="Arial"/>
          <w:sz w:val="24"/>
        </w:rPr>
        <w:t>s</w:t>
      </w:r>
      <w:r w:rsidRPr="006F72C6">
        <w:rPr>
          <w:rFonts w:ascii="Arial" w:hAnsi="Arial" w:cs="Arial"/>
          <w:sz w:val="24"/>
        </w:rPr>
        <w:t xml:space="preserve"> and conference reports are available on the GHRP website (</w:t>
      </w:r>
      <w:hyperlink r:id="rId12" w:history="1">
        <w:r w:rsidR="00C20593" w:rsidRPr="006F72C6">
          <w:rPr>
            <w:rStyle w:val="Hyperlink"/>
            <w:rFonts w:ascii="Arial" w:hAnsi="Arial" w:cs="Arial"/>
            <w:sz w:val="24"/>
          </w:rPr>
          <w:t>https://www.geneva-academy.ch/geneva-humanrights-platform/initiatives/detail/70-treaty-body-review-2020</w:t>
        </w:r>
      </w:hyperlink>
      <w:r w:rsidR="00C20593" w:rsidRPr="006F72C6">
        <w:rPr>
          <w:rFonts w:ascii="Arial" w:hAnsi="Arial" w:cs="Arial"/>
          <w:sz w:val="24"/>
        </w:rPr>
        <w:t xml:space="preserve"> </w:t>
      </w:r>
      <w:r w:rsidRPr="006F72C6">
        <w:rPr>
          <w:rFonts w:ascii="Arial" w:hAnsi="Arial" w:cs="Arial"/>
          <w:sz w:val="24"/>
        </w:rPr>
        <w:t xml:space="preserve">) </w:t>
      </w:r>
      <w:r w:rsidR="00927ACA" w:rsidRPr="006F72C6">
        <w:rPr>
          <w:rFonts w:ascii="Arial" w:hAnsi="Arial" w:cs="Arial"/>
          <w:sz w:val="24"/>
        </w:rPr>
        <w:br/>
      </w:r>
    </w:p>
    <w:p w14:paraId="44EAD719" w14:textId="77777777" w:rsidR="00927ACA" w:rsidRPr="006F72C6" w:rsidRDefault="00927ACA" w:rsidP="006F72C6">
      <w:pPr>
        <w:pStyle w:val="ListParagraph"/>
        <w:numPr>
          <w:ilvl w:val="0"/>
          <w:numId w:val="1"/>
        </w:numPr>
        <w:tabs>
          <w:tab w:val="left" w:pos="1184"/>
        </w:tabs>
        <w:spacing w:before="217"/>
        <w:ind w:right="112"/>
        <w:rPr>
          <w:rFonts w:ascii="Arial" w:hAnsi="Arial" w:cs="Arial"/>
          <w:b/>
          <w:sz w:val="24"/>
        </w:rPr>
      </w:pPr>
      <w:r w:rsidRPr="006F72C6">
        <w:rPr>
          <w:rFonts w:ascii="Arial" w:hAnsi="Arial" w:cs="Arial"/>
          <w:b/>
          <w:sz w:val="24"/>
        </w:rPr>
        <w:t>The functioning of the treaty body system: its efficiency, effectiveness, strengths and weaknesses; suggestions for its further</w:t>
      </w:r>
      <w:r w:rsidRPr="006F72C6">
        <w:rPr>
          <w:rFonts w:ascii="Arial" w:hAnsi="Arial" w:cs="Arial"/>
          <w:b/>
          <w:spacing w:val="-4"/>
          <w:sz w:val="24"/>
        </w:rPr>
        <w:t xml:space="preserve"> </w:t>
      </w:r>
      <w:r w:rsidRPr="006F72C6">
        <w:rPr>
          <w:rFonts w:ascii="Arial" w:hAnsi="Arial" w:cs="Arial"/>
          <w:b/>
          <w:sz w:val="24"/>
        </w:rPr>
        <w:t>improvement;</w:t>
      </w:r>
    </w:p>
    <w:p w14:paraId="004AB1FA" w14:textId="4369AD0B" w:rsidR="00956BF3" w:rsidRPr="006F72C6" w:rsidRDefault="00C20593" w:rsidP="006F72C6">
      <w:pPr>
        <w:tabs>
          <w:tab w:val="left" w:pos="1184"/>
        </w:tabs>
        <w:spacing w:before="217"/>
        <w:ind w:right="112"/>
        <w:rPr>
          <w:rFonts w:ascii="Arial" w:hAnsi="Arial" w:cs="Arial"/>
          <w:sz w:val="24"/>
        </w:rPr>
      </w:pPr>
      <w:r w:rsidRPr="006F72C6">
        <w:rPr>
          <w:rFonts w:ascii="Arial" w:hAnsi="Arial" w:cs="Arial"/>
          <w:sz w:val="24"/>
        </w:rPr>
        <w:t xml:space="preserve">The treaty body system is a victim of its own success. The adoption of new specific treaties, increasing ratifications, more state reporting, and more individuals who see in the individual communication procedure a realistic promise to find redress for the violations they suffered have not been matched by an equal expansion of the supporting structure. Treaty Body Members are at the maximum solicitation of input and time they can afford in a part-time voluntary structure and treaty body secretariats are overcharged following through with all mandated activities of the treaty bodies. </w:t>
      </w:r>
      <w:r w:rsidR="00353AE7" w:rsidRPr="006F72C6">
        <w:rPr>
          <w:rFonts w:ascii="Arial" w:hAnsi="Arial" w:cs="Arial"/>
        </w:rPr>
        <w:t xml:space="preserve">As the Treaty Bodies depend in their work heavily on the secretariat, at the same time being independent, the secretariat needed to find a way to develop its mandate without infringing this independence. </w:t>
      </w:r>
      <w:r w:rsidRPr="006F72C6">
        <w:rPr>
          <w:rFonts w:ascii="Arial" w:hAnsi="Arial" w:cs="Arial"/>
          <w:sz w:val="24"/>
        </w:rPr>
        <w:t>The mand</w:t>
      </w:r>
      <w:r w:rsidR="00351940" w:rsidRPr="006F72C6">
        <w:rPr>
          <w:rFonts w:ascii="Arial" w:hAnsi="Arial" w:cs="Arial"/>
          <w:sz w:val="24"/>
        </w:rPr>
        <w:t xml:space="preserve">ate of the Secretary-General to </w:t>
      </w:r>
      <w:r w:rsidRPr="006F72C6">
        <w:rPr>
          <w:rFonts w:ascii="Arial" w:hAnsi="Arial" w:cs="Arial"/>
          <w:sz w:val="24"/>
        </w:rPr>
        <w:t>“</w:t>
      </w:r>
      <w:r w:rsidR="00351940" w:rsidRPr="006F72C6">
        <w:rPr>
          <w:rFonts w:ascii="Arial" w:hAnsi="Arial" w:cs="Arial"/>
          <w:sz w:val="24"/>
        </w:rPr>
        <w:t xml:space="preserve">..provide the necessary staff and facilities for the effective performance of the functions of the Committee under the </w:t>
      </w:r>
      <w:r w:rsidR="00351940" w:rsidRPr="006F72C6">
        <w:rPr>
          <w:rFonts w:ascii="Arial" w:hAnsi="Arial" w:cs="Arial"/>
          <w:sz w:val="24"/>
        </w:rPr>
        <w:lastRenderedPageBreak/>
        <w:t>present Covenant.</w:t>
      </w:r>
      <w:r w:rsidRPr="006F72C6">
        <w:rPr>
          <w:rFonts w:ascii="Arial" w:hAnsi="Arial" w:cs="Arial"/>
          <w:sz w:val="24"/>
        </w:rPr>
        <w:t>”</w:t>
      </w:r>
      <w:r w:rsidR="00351940" w:rsidRPr="006F72C6">
        <w:rPr>
          <w:rStyle w:val="FootnoteReference"/>
          <w:rFonts w:ascii="Arial" w:hAnsi="Arial" w:cs="Arial"/>
          <w:sz w:val="24"/>
        </w:rPr>
        <w:footnoteReference w:id="1"/>
      </w:r>
      <w:r w:rsidRPr="006F72C6">
        <w:rPr>
          <w:rFonts w:ascii="Arial" w:hAnsi="Arial" w:cs="Arial"/>
          <w:sz w:val="24"/>
        </w:rPr>
        <w:t xml:space="preserve"> </w:t>
      </w:r>
      <w:r w:rsidR="00B367E9" w:rsidRPr="006F72C6">
        <w:rPr>
          <w:rFonts w:ascii="Arial" w:hAnsi="Arial" w:cs="Arial"/>
          <w:sz w:val="24"/>
        </w:rPr>
        <w:t>i</w:t>
      </w:r>
      <w:r w:rsidR="00351940" w:rsidRPr="006F72C6">
        <w:rPr>
          <w:rFonts w:ascii="Arial" w:hAnsi="Arial" w:cs="Arial"/>
          <w:sz w:val="24"/>
        </w:rPr>
        <w:t>s</w:t>
      </w:r>
      <w:r w:rsidRPr="006F72C6">
        <w:rPr>
          <w:rFonts w:ascii="Arial" w:hAnsi="Arial" w:cs="Arial"/>
          <w:sz w:val="24"/>
        </w:rPr>
        <w:t xml:space="preserve"> no longer satisfactorily fulfilled </w:t>
      </w:r>
      <w:r w:rsidR="00353AE7" w:rsidRPr="006F72C6">
        <w:rPr>
          <w:rFonts w:ascii="Arial" w:hAnsi="Arial" w:cs="Arial"/>
          <w:sz w:val="24"/>
        </w:rPr>
        <w:t xml:space="preserve">an in its vague formulation insufficient. </w:t>
      </w:r>
    </w:p>
    <w:p w14:paraId="4C9A79C5" w14:textId="77777777" w:rsidR="00A9578E" w:rsidRPr="006F72C6" w:rsidRDefault="002F10E7" w:rsidP="006F72C6">
      <w:pPr>
        <w:tabs>
          <w:tab w:val="left" w:pos="1184"/>
        </w:tabs>
        <w:spacing w:before="217"/>
        <w:ind w:right="112"/>
        <w:rPr>
          <w:rFonts w:ascii="Arial" w:hAnsi="Arial" w:cs="Arial"/>
          <w:sz w:val="24"/>
        </w:rPr>
      </w:pPr>
      <w:r w:rsidRPr="006F72C6">
        <w:rPr>
          <w:rFonts w:ascii="Arial" w:hAnsi="Arial" w:cs="Arial"/>
          <w:sz w:val="24"/>
        </w:rPr>
        <w:t>A strength of the system is that it provides i</w:t>
      </w:r>
      <w:r w:rsidR="00A9578E" w:rsidRPr="006F72C6">
        <w:rPr>
          <w:rFonts w:ascii="Arial" w:hAnsi="Arial" w:cs="Arial"/>
          <w:sz w:val="24"/>
        </w:rPr>
        <w:t xml:space="preserve">n-depth, coherent monitoring of states compliance with their legal obligations and the realization of human rights enshrined in the treaties. </w:t>
      </w:r>
      <w:r w:rsidRPr="006F72C6">
        <w:rPr>
          <w:rFonts w:ascii="Arial" w:hAnsi="Arial" w:cs="Arial"/>
          <w:sz w:val="24"/>
        </w:rPr>
        <w:t>And it does so in relative po</w:t>
      </w:r>
      <w:r w:rsidR="00A9578E" w:rsidRPr="006F72C6">
        <w:rPr>
          <w:rFonts w:ascii="Arial" w:hAnsi="Arial" w:cs="Arial"/>
          <w:sz w:val="24"/>
        </w:rPr>
        <w:t>litical independence</w:t>
      </w:r>
      <w:r w:rsidRPr="006F72C6">
        <w:rPr>
          <w:rFonts w:ascii="Arial" w:hAnsi="Arial" w:cs="Arial"/>
          <w:sz w:val="24"/>
        </w:rPr>
        <w:t>.</w:t>
      </w:r>
    </w:p>
    <w:p w14:paraId="2487886D" w14:textId="14C1EE06" w:rsidR="007F2CD6" w:rsidRPr="006F72C6" w:rsidRDefault="00A9578E" w:rsidP="006F72C6">
      <w:pPr>
        <w:tabs>
          <w:tab w:val="left" w:pos="1184"/>
        </w:tabs>
        <w:spacing w:before="217"/>
        <w:ind w:right="112"/>
        <w:rPr>
          <w:rFonts w:ascii="Arial" w:hAnsi="Arial" w:cs="Arial"/>
          <w:sz w:val="24"/>
        </w:rPr>
      </w:pPr>
      <w:r w:rsidRPr="006F72C6">
        <w:rPr>
          <w:rFonts w:ascii="Arial" w:hAnsi="Arial" w:cs="Arial"/>
          <w:sz w:val="24"/>
        </w:rPr>
        <w:t>It is difficult to evaluate the effectiveness and efficiency of the treaty body system, and even more so to attribute causality of each to the various actors involved: States, Treaty Body Members, and Secretariat. The effectiveness, additionally, depends a lot on the level of engagement of civil society in any given country, advocating for the implementation of the recommendations stemming from the system, in absence of any binding implementation mechanism. In short, the effectiveness could surely benefit from enhance</w:t>
      </w:r>
      <w:r w:rsidR="00C21F66" w:rsidRPr="006F72C6">
        <w:rPr>
          <w:rFonts w:ascii="Arial" w:hAnsi="Arial" w:cs="Arial"/>
          <w:sz w:val="24"/>
        </w:rPr>
        <w:t>d</w:t>
      </w:r>
      <w:r w:rsidRPr="006F72C6">
        <w:rPr>
          <w:rFonts w:ascii="Arial" w:hAnsi="Arial" w:cs="Arial"/>
          <w:sz w:val="24"/>
        </w:rPr>
        <w:t xml:space="preserve"> efficiency, and the latter is clearly a weakness of the system, which indeed never was conceived as a system in the first place</w:t>
      </w:r>
      <w:r w:rsidR="007F2CD6" w:rsidRPr="006F72C6">
        <w:rPr>
          <w:rFonts w:ascii="Arial" w:hAnsi="Arial" w:cs="Arial"/>
          <w:sz w:val="24"/>
        </w:rPr>
        <w:t>. The view prevails of each treaty body being only an entity in its own right and not an integral part of a broader set of entities that together constitute the system.</w:t>
      </w:r>
    </w:p>
    <w:p w14:paraId="39F70853" w14:textId="77777777" w:rsidR="002F10E7" w:rsidRPr="006F72C6" w:rsidRDefault="002F10E7" w:rsidP="006F72C6">
      <w:pPr>
        <w:tabs>
          <w:tab w:val="left" w:pos="1184"/>
        </w:tabs>
        <w:spacing w:before="217"/>
        <w:ind w:right="112"/>
        <w:rPr>
          <w:rFonts w:ascii="Arial" w:hAnsi="Arial" w:cs="Arial"/>
          <w:sz w:val="24"/>
        </w:rPr>
      </w:pPr>
      <w:r w:rsidRPr="006F72C6">
        <w:rPr>
          <w:rFonts w:ascii="Arial" w:hAnsi="Arial" w:cs="Arial"/>
          <w:sz w:val="24"/>
        </w:rPr>
        <w:t xml:space="preserve">Our publication </w:t>
      </w:r>
      <w:hyperlink r:id="rId13" w:history="1">
        <w:r w:rsidRPr="006F72C6">
          <w:rPr>
            <w:rStyle w:val="Hyperlink"/>
            <w:rFonts w:ascii="Arial" w:hAnsi="Arial" w:cs="Arial"/>
            <w:sz w:val="24"/>
          </w:rPr>
          <w:t>Optimizing the UN Treaty Body System</w:t>
        </w:r>
      </w:hyperlink>
      <w:r w:rsidRPr="006F72C6">
        <w:rPr>
          <w:rFonts w:ascii="Arial" w:hAnsi="Arial" w:cs="Arial"/>
          <w:sz w:val="24"/>
        </w:rPr>
        <w:t xml:space="preserve"> lays out a number of measures to improve efficiency and effectiveness of the TB system, in particular in the area of state reporting. </w:t>
      </w:r>
    </w:p>
    <w:p w14:paraId="55072DF2" w14:textId="77585718" w:rsidR="002F10E7" w:rsidRPr="006F72C6" w:rsidRDefault="002F10E7" w:rsidP="006F72C6">
      <w:pPr>
        <w:tabs>
          <w:tab w:val="left" w:pos="1184"/>
        </w:tabs>
        <w:spacing w:before="217"/>
        <w:ind w:right="112"/>
        <w:rPr>
          <w:rFonts w:ascii="Arial" w:hAnsi="Arial" w:cs="Arial"/>
          <w:sz w:val="24"/>
        </w:rPr>
      </w:pPr>
      <w:r w:rsidRPr="006F72C6">
        <w:rPr>
          <w:rFonts w:ascii="Arial" w:hAnsi="Arial" w:cs="Arial"/>
          <w:sz w:val="24"/>
        </w:rPr>
        <w:t xml:space="preserve">Our publication </w:t>
      </w:r>
      <w:hyperlink r:id="rId14" w:history="1">
        <w:r w:rsidRPr="006F72C6">
          <w:rPr>
            <w:rStyle w:val="Hyperlink"/>
            <w:rFonts w:ascii="Arial" w:hAnsi="Arial" w:cs="Arial"/>
            <w:sz w:val="24"/>
          </w:rPr>
          <w:t>Treaty Bodies Individual Communication Procedures</w:t>
        </w:r>
      </w:hyperlink>
      <w:r w:rsidRPr="006F72C6">
        <w:rPr>
          <w:rFonts w:ascii="Arial" w:hAnsi="Arial" w:cs="Arial"/>
          <w:sz w:val="24"/>
        </w:rPr>
        <w:t xml:space="preserve"> contains measures to improve efficiency and </w:t>
      </w:r>
      <w:r w:rsidR="00337DDD" w:rsidRPr="006F72C6">
        <w:rPr>
          <w:rFonts w:ascii="Arial" w:hAnsi="Arial" w:cs="Arial"/>
          <w:sz w:val="24"/>
        </w:rPr>
        <w:t>effectiveness</w:t>
      </w:r>
      <w:r w:rsidRPr="006F72C6">
        <w:rPr>
          <w:rFonts w:ascii="Arial" w:hAnsi="Arial" w:cs="Arial"/>
          <w:sz w:val="24"/>
        </w:rPr>
        <w:t xml:space="preserve"> of the case handling capacity of the treaty body system. </w:t>
      </w:r>
    </w:p>
    <w:p w14:paraId="0F7A75EF" w14:textId="77777777" w:rsidR="00A9578E" w:rsidRPr="006F72C6" w:rsidRDefault="00A9578E" w:rsidP="006F72C6">
      <w:pPr>
        <w:tabs>
          <w:tab w:val="left" w:pos="1184"/>
        </w:tabs>
        <w:spacing w:before="217"/>
        <w:ind w:right="112"/>
        <w:rPr>
          <w:rFonts w:ascii="Arial" w:hAnsi="Arial" w:cs="Arial"/>
          <w:b/>
          <w:sz w:val="24"/>
        </w:rPr>
      </w:pPr>
      <w:r w:rsidRPr="006F72C6">
        <w:rPr>
          <w:rFonts w:ascii="Arial" w:hAnsi="Arial" w:cs="Arial"/>
          <w:b/>
          <w:sz w:val="24"/>
        </w:rPr>
        <w:t xml:space="preserve">Measures to improve efficiency: </w:t>
      </w:r>
    </w:p>
    <w:p w14:paraId="680AFD35" w14:textId="5AFD9912" w:rsidR="00A9578E" w:rsidRPr="006F72C6" w:rsidRDefault="002F10E7" w:rsidP="006F72C6">
      <w:pPr>
        <w:pStyle w:val="ListParagraph"/>
        <w:numPr>
          <w:ilvl w:val="0"/>
          <w:numId w:val="5"/>
        </w:numPr>
        <w:tabs>
          <w:tab w:val="left" w:pos="1184"/>
        </w:tabs>
        <w:spacing w:before="217"/>
        <w:ind w:right="112"/>
        <w:rPr>
          <w:rFonts w:ascii="Arial" w:hAnsi="Arial" w:cs="Arial"/>
          <w:sz w:val="24"/>
        </w:rPr>
      </w:pPr>
      <w:r w:rsidRPr="006F72C6">
        <w:rPr>
          <w:rFonts w:ascii="Arial" w:hAnsi="Arial" w:cs="Arial"/>
          <w:sz w:val="24"/>
        </w:rPr>
        <w:t>Coordinate fix</w:t>
      </w:r>
      <w:r w:rsidR="006332C6" w:rsidRPr="006F72C6">
        <w:rPr>
          <w:rFonts w:ascii="Arial" w:hAnsi="Arial" w:cs="Arial"/>
          <w:sz w:val="24"/>
        </w:rPr>
        <w:t>ed</w:t>
      </w:r>
      <w:r w:rsidRPr="006F72C6">
        <w:rPr>
          <w:rFonts w:ascii="Arial" w:hAnsi="Arial" w:cs="Arial"/>
          <w:sz w:val="24"/>
        </w:rPr>
        <w:t xml:space="preserve"> reporting schedules (with the option to review states in absence of a report)</w:t>
      </w:r>
    </w:p>
    <w:p w14:paraId="08A0BA9E" w14:textId="07345DCB" w:rsidR="002F10E7" w:rsidRPr="006F72C6" w:rsidRDefault="002F10E7" w:rsidP="006F72C6">
      <w:pPr>
        <w:pStyle w:val="ListParagraph"/>
        <w:numPr>
          <w:ilvl w:val="0"/>
          <w:numId w:val="5"/>
        </w:numPr>
        <w:tabs>
          <w:tab w:val="left" w:pos="1184"/>
        </w:tabs>
        <w:spacing w:before="217"/>
        <w:ind w:right="112"/>
        <w:rPr>
          <w:rFonts w:ascii="Arial" w:hAnsi="Arial" w:cs="Arial"/>
          <w:sz w:val="24"/>
        </w:rPr>
      </w:pPr>
      <w:r w:rsidRPr="006F72C6">
        <w:rPr>
          <w:rFonts w:ascii="Arial" w:hAnsi="Arial" w:cs="Arial"/>
          <w:sz w:val="24"/>
        </w:rPr>
        <w:t>States to provide  coordinated reports</w:t>
      </w:r>
    </w:p>
    <w:p w14:paraId="1923E324" w14:textId="77777777" w:rsidR="002F10E7" w:rsidRPr="006F72C6" w:rsidRDefault="002F10E7" w:rsidP="006F72C6">
      <w:pPr>
        <w:pStyle w:val="ListParagraph"/>
        <w:numPr>
          <w:ilvl w:val="0"/>
          <w:numId w:val="5"/>
        </w:numPr>
        <w:tabs>
          <w:tab w:val="left" w:pos="1184"/>
        </w:tabs>
        <w:spacing w:before="217"/>
        <w:ind w:right="112"/>
        <w:rPr>
          <w:rFonts w:ascii="Arial" w:hAnsi="Arial" w:cs="Arial"/>
          <w:sz w:val="24"/>
        </w:rPr>
      </w:pPr>
      <w:r w:rsidRPr="006F72C6">
        <w:rPr>
          <w:rFonts w:ascii="Arial" w:hAnsi="Arial" w:cs="Arial"/>
          <w:sz w:val="24"/>
        </w:rPr>
        <w:t>TBs to conduct coordinated State Reviews</w:t>
      </w:r>
    </w:p>
    <w:p w14:paraId="10CDA835" w14:textId="77777777" w:rsidR="002F10E7" w:rsidRPr="006F72C6" w:rsidRDefault="002F10E7" w:rsidP="006F72C6">
      <w:pPr>
        <w:pStyle w:val="ListParagraph"/>
        <w:numPr>
          <w:ilvl w:val="0"/>
          <w:numId w:val="5"/>
        </w:numPr>
        <w:tabs>
          <w:tab w:val="left" w:pos="1184"/>
        </w:tabs>
        <w:spacing w:before="217"/>
        <w:ind w:right="112"/>
        <w:rPr>
          <w:rFonts w:ascii="Arial" w:hAnsi="Arial" w:cs="Arial"/>
          <w:sz w:val="24"/>
        </w:rPr>
      </w:pPr>
      <w:r w:rsidRPr="006F72C6">
        <w:rPr>
          <w:rFonts w:ascii="Arial" w:hAnsi="Arial" w:cs="Arial"/>
          <w:sz w:val="24"/>
        </w:rPr>
        <w:t>Make Simplified Reporting Procedure the default procedure</w:t>
      </w:r>
    </w:p>
    <w:p w14:paraId="3CBAC1B6" w14:textId="72067578" w:rsidR="002F10E7" w:rsidRPr="006F72C6" w:rsidRDefault="006332C6" w:rsidP="006F72C6">
      <w:pPr>
        <w:pStyle w:val="ListParagraph"/>
        <w:numPr>
          <w:ilvl w:val="0"/>
          <w:numId w:val="5"/>
        </w:numPr>
        <w:tabs>
          <w:tab w:val="left" w:pos="1184"/>
        </w:tabs>
        <w:spacing w:before="217"/>
        <w:ind w:right="112"/>
        <w:rPr>
          <w:rFonts w:ascii="Arial" w:hAnsi="Arial" w:cs="Arial"/>
          <w:sz w:val="24"/>
        </w:rPr>
      </w:pPr>
      <w:r w:rsidRPr="006F72C6">
        <w:rPr>
          <w:rFonts w:ascii="Arial" w:hAnsi="Arial" w:cs="Arial"/>
          <w:sz w:val="24"/>
        </w:rPr>
        <w:t>Coordinate lists of issues prior to reporting</w:t>
      </w:r>
    </w:p>
    <w:p w14:paraId="63A62F64" w14:textId="77777777" w:rsidR="00A9578E" w:rsidRPr="006F72C6" w:rsidRDefault="00A9578E" w:rsidP="006F72C6">
      <w:pPr>
        <w:tabs>
          <w:tab w:val="left" w:pos="1184"/>
        </w:tabs>
        <w:spacing w:before="217"/>
        <w:ind w:right="112"/>
        <w:rPr>
          <w:rFonts w:ascii="Arial" w:hAnsi="Arial" w:cs="Arial"/>
          <w:b/>
          <w:sz w:val="24"/>
        </w:rPr>
      </w:pPr>
      <w:r w:rsidRPr="006F72C6">
        <w:rPr>
          <w:rFonts w:ascii="Arial" w:hAnsi="Arial" w:cs="Arial"/>
          <w:b/>
          <w:sz w:val="24"/>
        </w:rPr>
        <w:t xml:space="preserve">Measures to improve effectiveness: </w:t>
      </w:r>
    </w:p>
    <w:p w14:paraId="79750C15" w14:textId="77777777" w:rsidR="00A9578E" w:rsidRPr="006F72C6" w:rsidRDefault="00A9578E"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The efficiency measures above</w:t>
      </w:r>
    </w:p>
    <w:p w14:paraId="7D791AD8" w14:textId="77777777" w:rsidR="007F2CD6" w:rsidRPr="006F72C6" w:rsidRDefault="007F2CD6"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 xml:space="preserve">Monitor the human rights situation in all Member States equally on fixed reporting schedules. What seems redundant is the one measure that would </w:t>
      </w:r>
      <w:r w:rsidRPr="006F72C6">
        <w:rPr>
          <w:rFonts w:ascii="Arial" w:hAnsi="Arial" w:cs="Arial"/>
          <w:sz w:val="24"/>
        </w:rPr>
        <w:lastRenderedPageBreak/>
        <w:t xml:space="preserve">change effectiveness most dramatically. The current reporting compliance of 19% (SG report) means that 81% of member states across the treaty body system escape regular scrutiny. </w:t>
      </w:r>
    </w:p>
    <w:p w14:paraId="0D061FB0" w14:textId="6678EBD7" w:rsidR="00A9578E" w:rsidRPr="006F72C6" w:rsidRDefault="00A9578E"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Sufficient human and financial resources</w:t>
      </w:r>
      <w:r w:rsidR="006332C6" w:rsidRPr="006F72C6">
        <w:rPr>
          <w:rFonts w:ascii="Arial" w:hAnsi="Arial" w:cs="Arial"/>
          <w:sz w:val="24"/>
        </w:rPr>
        <w:t xml:space="preserve"> </w:t>
      </w:r>
    </w:p>
    <w:p w14:paraId="3EFA5FEE" w14:textId="77777777" w:rsidR="00A9578E" w:rsidRPr="006F72C6" w:rsidRDefault="00A9578E"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Political peer pressure to respect and implement recommendations and views emanating from the system</w:t>
      </w:r>
    </w:p>
    <w:p w14:paraId="263F01C2" w14:textId="695DED6E" w:rsidR="00A9578E" w:rsidRPr="006F72C6" w:rsidRDefault="00A9578E"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Enhanced civil society space, internationally, but more importantly nationally</w:t>
      </w:r>
      <w:r w:rsidR="00670258" w:rsidRPr="006F72C6">
        <w:rPr>
          <w:rFonts w:ascii="Arial" w:hAnsi="Arial" w:cs="Arial"/>
          <w:sz w:val="24"/>
        </w:rPr>
        <w:t xml:space="preserve"> and locally</w:t>
      </w:r>
    </w:p>
    <w:p w14:paraId="5A333037" w14:textId="322EB135" w:rsidR="00A9578E" w:rsidRPr="006F72C6" w:rsidRDefault="002F10E7"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 xml:space="preserve">Institutionalized and comprehensive follow-up on recommendations and views. </w:t>
      </w:r>
    </w:p>
    <w:p w14:paraId="445118FE" w14:textId="35D8E60A" w:rsidR="00D34D93" w:rsidRPr="006F72C6" w:rsidRDefault="00D34D93"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 xml:space="preserve">Drawing lessons from follow-up work from other parts of the UN Human Rights System, such as the Special Procedures and the </w:t>
      </w:r>
      <w:r w:rsidR="00D85FBC" w:rsidRPr="006F72C6">
        <w:rPr>
          <w:rFonts w:ascii="Arial" w:hAnsi="Arial" w:cs="Arial"/>
          <w:sz w:val="24"/>
        </w:rPr>
        <w:t>Universal Periodic Review. For lessons, in this context, from the UPR</w:t>
      </w:r>
      <w:r w:rsidRPr="006F72C6">
        <w:rPr>
          <w:rFonts w:ascii="Arial" w:hAnsi="Arial" w:cs="Arial"/>
          <w:sz w:val="24"/>
        </w:rPr>
        <w:t xml:space="preserve"> </w:t>
      </w:r>
      <w:r w:rsidR="007F2CD6" w:rsidRPr="006F72C6">
        <w:rPr>
          <w:rFonts w:ascii="Arial" w:hAnsi="Arial" w:cs="Arial"/>
          <w:sz w:val="24"/>
        </w:rPr>
        <w:t>see</w:t>
      </w:r>
      <w:r w:rsidR="00D85FBC" w:rsidRPr="006F72C6">
        <w:rPr>
          <w:rFonts w:ascii="Arial" w:hAnsi="Arial" w:cs="Arial"/>
          <w:sz w:val="24"/>
        </w:rPr>
        <w:t xml:space="preserve"> </w:t>
      </w:r>
      <w:hyperlink r:id="rId15" w:history="1">
        <w:r w:rsidR="00D85FBC" w:rsidRPr="006F72C6">
          <w:rPr>
            <w:rStyle w:val="Hyperlink"/>
            <w:rFonts w:ascii="Arial" w:hAnsi="Arial" w:cs="Arial"/>
            <w:sz w:val="24"/>
          </w:rPr>
          <w:t>our Research Brief</w:t>
        </w:r>
      </w:hyperlink>
      <w:r w:rsidR="00D85FBC" w:rsidRPr="006F72C6">
        <w:rPr>
          <w:rStyle w:val="Hyperlink"/>
          <w:rFonts w:ascii="Arial" w:hAnsi="Arial" w:cs="Arial"/>
          <w:sz w:val="24"/>
        </w:rPr>
        <w:t xml:space="preserve"> </w:t>
      </w:r>
      <w:r w:rsidR="007F2CD6" w:rsidRPr="006F72C6">
        <w:rPr>
          <w:rStyle w:val="Hyperlink"/>
          <w:rFonts w:ascii="Arial" w:hAnsi="Arial" w:cs="Arial"/>
          <w:sz w:val="24"/>
        </w:rPr>
        <w:t>.</w:t>
      </w:r>
    </w:p>
    <w:p w14:paraId="78CD856B" w14:textId="77777777" w:rsidR="00C20593" w:rsidRPr="006F72C6" w:rsidRDefault="00C20593" w:rsidP="006F72C6">
      <w:pPr>
        <w:tabs>
          <w:tab w:val="left" w:pos="1184"/>
        </w:tabs>
        <w:spacing w:before="217"/>
        <w:ind w:right="112"/>
        <w:rPr>
          <w:rFonts w:ascii="Arial" w:hAnsi="Arial" w:cs="Arial"/>
          <w:sz w:val="24"/>
        </w:rPr>
      </w:pPr>
    </w:p>
    <w:p w14:paraId="7F845919" w14:textId="77777777" w:rsidR="00927ACA" w:rsidRPr="006F72C6" w:rsidRDefault="00927ACA" w:rsidP="006F72C6">
      <w:pPr>
        <w:pStyle w:val="ListParagraph"/>
        <w:numPr>
          <w:ilvl w:val="0"/>
          <w:numId w:val="1"/>
        </w:numPr>
        <w:tabs>
          <w:tab w:val="left" w:pos="1184"/>
        </w:tabs>
        <w:ind w:right="109"/>
        <w:rPr>
          <w:rFonts w:ascii="Arial" w:hAnsi="Arial" w:cs="Arial"/>
          <w:b/>
          <w:sz w:val="24"/>
        </w:rPr>
      </w:pPr>
      <w:r w:rsidRPr="006F72C6">
        <w:rPr>
          <w:rFonts w:ascii="Arial" w:hAnsi="Arial" w:cs="Arial"/>
          <w:b/>
          <w:sz w:val="24"/>
        </w:rPr>
        <w:t>Implementation of UNGA resolution 68/268 and views on biennial report of the UN Secretary-General on the status of the treaty body</w:t>
      </w:r>
      <w:r w:rsidRPr="006F72C6">
        <w:rPr>
          <w:rFonts w:ascii="Arial" w:hAnsi="Arial" w:cs="Arial"/>
          <w:b/>
          <w:spacing w:val="-14"/>
          <w:sz w:val="24"/>
        </w:rPr>
        <w:t xml:space="preserve"> </w:t>
      </w:r>
      <w:r w:rsidRPr="006F72C6">
        <w:rPr>
          <w:rFonts w:ascii="Arial" w:hAnsi="Arial" w:cs="Arial"/>
          <w:b/>
          <w:sz w:val="24"/>
        </w:rPr>
        <w:t>system;</w:t>
      </w:r>
    </w:p>
    <w:p w14:paraId="135AFE69" w14:textId="77777777" w:rsidR="006015F3" w:rsidRPr="006F72C6" w:rsidRDefault="006015F3" w:rsidP="006F72C6">
      <w:pPr>
        <w:rPr>
          <w:rFonts w:ascii="Arial" w:hAnsi="Arial" w:cs="Arial"/>
          <w:sz w:val="24"/>
        </w:rPr>
      </w:pPr>
    </w:p>
    <w:p w14:paraId="24DEAC08" w14:textId="29AD7D58" w:rsidR="006015F3" w:rsidRPr="006F72C6" w:rsidRDefault="002F10E7" w:rsidP="006F72C6">
      <w:pPr>
        <w:rPr>
          <w:rFonts w:ascii="Arial" w:hAnsi="Arial" w:cs="Arial"/>
          <w:sz w:val="24"/>
        </w:rPr>
      </w:pPr>
      <w:r w:rsidRPr="006F72C6">
        <w:rPr>
          <w:rFonts w:ascii="Arial" w:hAnsi="Arial" w:cs="Arial"/>
          <w:sz w:val="24"/>
        </w:rPr>
        <w:t xml:space="preserve">The state of implementation of the UNGA resolution 68/268 has been well documented in the biennial reports of the UNSG. </w:t>
      </w:r>
      <w:r w:rsidR="006015F3" w:rsidRPr="006F72C6">
        <w:rPr>
          <w:rFonts w:ascii="Arial" w:hAnsi="Arial" w:cs="Arial"/>
          <w:sz w:val="24"/>
        </w:rPr>
        <w:t xml:space="preserve">The reports are concise and give the necessary factual information, including through their detailed annexes. On the other hand, the report remains short of political recommendations as to the development </w:t>
      </w:r>
      <w:r w:rsidR="00670258" w:rsidRPr="006F72C6">
        <w:rPr>
          <w:rFonts w:ascii="Arial" w:hAnsi="Arial" w:cs="Arial"/>
          <w:sz w:val="24"/>
        </w:rPr>
        <w:t xml:space="preserve">and increased effectiveness </w:t>
      </w:r>
      <w:r w:rsidR="007F2CD6" w:rsidRPr="006F72C6">
        <w:rPr>
          <w:rFonts w:ascii="Arial" w:hAnsi="Arial" w:cs="Arial"/>
          <w:sz w:val="24"/>
        </w:rPr>
        <w:t>of the system.</w:t>
      </w:r>
    </w:p>
    <w:p w14:paraId="0D7A76FE" w14:textId="77777777" w:rsidR="006015F3" w:rsidRPr="006F72C6" w:rsidRDefault="006015F3" w:rsidP="006F72C6">
      <w:pPr>
        <w:rPr>
          <w:rFonts w:ascii="Arial" w:hAnsi="Arial" w:cs="Arial"/>
          <w:sz w:val="24"/>
        </w:rPr>
      </w:pPr>
    </w:p>
    <w:p w14:paraId="2E3397B6" w14:textId="15B991F6" w:rsidR="00956BF3" w:rsidRPr="006F72C6" w:rsidRDefault="006015F3" w:rsidP="006F72C6">
      <w:pPr>
        <w:rPr>
          <w:rFonts w:ascii="Arial" w:hAnsi="Arial" w:cs="Arial"/>
          <w:sz w:val="24"/>
        </w:rPr>
      </w:pPr>
      <w:r w:rsidRPr="006F72C6">
        <w:rPr>
          <w:rFonts w:ascii="Arial" w:hAnsi="Arial" w:cs="Arial"/>
          <w:sz w:val="24"/>
        </w:rPr>
        <w:t>A main shortcoming regarding areas that States can decide on via a resolution is the non-respect by States themselves of the funding commitments calculated via the “formula”</w:t>
      </w:r>
      <w:r w:rsidR="00353AE7" w:rsidRPr="006F72C6">
        <w:rPr>
          <w:rFonts w:ascii="Arial" w:hAnsi="Arial" w:cs="Arial"/>
          <w:sz w:val="24"/>
        </w:rPr>
        <w:t>, implying increase in budget proportional to increases of reports and individual communication cases</w:t>
      </w:r>
      <w:r w:rsidRPr="006F72C6">
        <w:rPr>
          <w:rFonts w:ascii="Arial" w:hAnsi="Arial" w:cs="Arial"/>
          <w:sz w:val="24"/>
        </w:rPr>
        <w:t xml:space="preserve">. Automatic allocation of resources as per 68/268 has not been implemented. </w:t>
      </w:r>
      <w:r w:rsidR="0010607C" w:rsidRPr="006F72C6">
        <w:rPr>
          <w:rFonts w:ascii="Arial" w:hAnsi="Arial" w:cs="Arial"/>
          <w:sz w:val="24"/>
        </w:rPr>
        <w:t xml:space="preserve">More reports, as consequence of a fixed schedule, will imply more resources, and/or different and more efficient structures for the reviews. </w:t>
      </w:r>
    </w:p>
    <w:p w14:paraId="55C10C76" w14:textId="6A07DC89" w:rsidR="00670258" w:rsidRPr="006F72C6" w:rsidRDefault="00670258" w:rsidP="006F72C6">
      <w:pPr>
        <w:rPr>
          <w:rFonts w:ascii="Arial" w:hAnsi="Arial" w:cs="Arial"/>
          <w:sz w:val="24"/>
        </w:rPr>
      </w:pPr>
    </w:p>
    <w:p w14:paraId="0C4FE5C1" w14:textId="77777777" w:rsidR="00956BF3" w:rsidRPr="006F72C6" w:rsidRDefault="00956BF3" w:rsidP="006F72C6">
      <w:pPr>
        <w:tabs>
          <w:tab w:val="left" w:pos="1184"/>
        </w:tabs>
        <w:ind w:right="109"/>
        <w:rPr>
          <w:rFonts w:ascii="Arial" w:hAnsi="Arial" w:cs="Arial"/>
          <w:sz w:val="24"/>
        </w:rPr>
      </w:pPr>
    </w:p>
    <w:p w14:paraId="702DDF46" w14:textId="77777777" w:rsidR="00927ACA" w:rsidRPr="006F72C6" w:rsidRDefault="00927ACA" w:rsidP="006F72C6">
      <w:pPr>
        <w:pStyle w:val="ListParagraph"/>
        <w:numPr>
          <w:ilvl w:val="0"/>
          <w:numId w:val="1"/>
        </w:numPr>
        <w:tabs>
          <w:tab w:val="left" w:pos="1185"/>
        </w:tabs>
        <w:ind w:right="110"/>
        <w:rPr>
          <w:rFonts w:ascii="Arial" w:hAnsi="Arial" w:cs="Arial"/>
          <w:b/>
          <w:sz w:val="24"/>
        </w:rPr>
      </w:pPr>
      <w:r w:rsidRPr="006F72C6">
        <w:rPr>
          <w:rFonts w:ascii="Arial" w:hAnsi="Arial" w:cs="Arial"/>
          <w:b/>
          <w:sz w:val="24"/>
        </w:rPr>
        <w:t>Good practices and methodologies in relation to working methods and procedural matters, including harmonization and alignment of working</w:t>
      </w:r>
      <w:r w:rsidRPr="006F72C6">
        <w:rPr>
          <w:rFonts w:ascii="Arial" w:hAnsi="Arial" w:cs="Arial"/>
          <w:b/>
          <w:spacing w:val="-10"/>
          <w:sz w:val="24"/>
        </w:rPr>
        <w:t xml:space="preserve"> </w:t>
      </w:r>
      <w:r w:rsidRPr="006F72C6">
        <w:rPr>
          <w:rFonts w:ascii="Arial" w:hAnsi="Arial" w:cs="Arial"/>
          <w:b/>
          <w:sz w:val="24"/>
        </w:rPr>
        <w:t>methods;</w:t>
      </w:r>
    </w:p>
    <w:p w14:paraId="2ADB692E" w14:textId="77777777" w:rsidR="00956BF3" w:rsidRPr="006F72C6" w:rsidRDefault="00956BF3" w:rsidP="006F72C6">
      <w:pPr>
        <w:tabs>
          <w:tab w:val="left" w:pos="1185"/>
        </w:tabs>
        <w:ind w:right="110"/>
        <w:rPr>
          <w:rFonts w:ascii="Arial" w:hAnsi="Arial" w:cs="Arial"/>
          <w:sz w:val="24"/>
        </w:rPr>
      </w:pPr>
    </w:p>
    <w:p w14:paraId="3E5EE127" w14:textId="3B8EC670" w:rsidR="006015F3" w:rsidRPr="006F72C6" w:rsidRDefault="006015F3" w:rsidP="006F72C6">
      <w:pPr>
        <w:tabs>
          <w:tab w:val="left" w:pos="1185"/>
        </w:tabs>
        <w:ind w:right="110"/>
        <w:rPr>
          <w:rFonts w:ascii="Arial" w:hAnsi="Arial" w:cs="Arial"/>
          <w:sz w:val="24"/>
        </w:rPr>
      </w:pPr>
      <w:r w:rsidRPr="006F72C6">
        <w:rPr>
          <w:rFonts w:ascii="Arial" w:hAnsi="Arial" w:cs="Arial"/>
          <w:sz w:val="24"/>
        </w:rPr>
        <w:t xml:space="preserve">In recent years, the Treaty Bodies have made remarkable progress on their working methods, and sometimes the alignment thereof, </w:t>
      </w:r>
      <w:r w:rsidR="00353AE7" w:rsidRPr="006F72C6">
        <w:rPr>
          <w:rFonts w:ascii="Arial" w:hAnsi="Arial" w:cs="Arial"/>
          <w:sz w:val="24"/>
        </w:rPr>
        <w:t xml:space="preserve">supported by their secretariats. In addition, </w:t>
      </w:r>
      <w:r w:rsidRPr="006F72C6">
        <w:rPr>
          <w:rFonts w:ascii="Arial" w:hAnsi="Arial" w:cs="Arial"/>
          <w:sz w:val="24"/>
        </w:rPr>
        <w:t xml:space="preserve">informal initiatives, such as those provided by the Geneva Academy/ Geneva Human Rights Platform </w:t>
      </w:r>
      <w:r w:rsidR="00353AE7" w:rsidRPr="006F72C6">
        <w:rPr>
          <w:rFonts w:ascii="Arial" w:hAnsi="Arial" w:cs="Arial"/>
          <w:sz w:val="24"/>
        </w:rPr>
        <w:t>also helped shaping the working methods. Many states supported these processes</w:t>
      </w:r>
      <w:r w:rsidRPr="006F72C6">
        <w:rPr>
          <w:rFonts w:ascii="Arial" w:hAnsi="Arial" w:cs="Arial"/>
          <w:sz w:val="24"/>
        </w:rPr>
        <w:t>.</w:t>
      </w:r>
    </w:p>
    <w:p w14:paraId="58F06E08" w14:textId="77777777" w:rsidR="006015F3" w:rsidRPr="006F72C6" w:rsidRDefault="006015F3" w:rsidP="006F72C6">
      <w:pPr>
        <w:tabs>
          <w:tab w:val="left" w:pos="1185"/>
        </w:tabs>
        <w:ind w:right="110"/>
        <w:rPr>
          <w:rFonts w:ascii="Arial" w:hAnsi="Arial" w:cs="Arial"/>
          <w:sz w:val="24"/>
        </w:rPr>
      </w:pPr>
    </w:p>
    <w:p w14:paraId="1ABA1315" w14:textId="5DE48F49" w:rsidR="006015F3" w:rsidRPr="006F72C6" w:rsidRDefault="006015F3" w:rsidP="006F72C6">
      <w:pPr>
        <w:tabs>
          <w:tab w:val="left" w:pos="1185"/>
        </w:tabs>
        <w:ind w:right="110"/>
        <w:rPr>
          <w:rFonts w:ascii="Arial" w:hAnsi="Arial" w:cs="Arial"/>
          <w:sz w:val="24"/>
        </w:rPr>
      </w:pPr>
      <w:r w:rsidRPr="006F72C6">
        <w:rPr>
          <w:rFonts w:ascii="Arial" w:hAnsi="Arial" w:cs="Arial"/>
          <w:sz w:val="24"/>
        </w:rPr>
        <w:t>Methodologies</w:t>
      </w:r>
      <w:r w:rsidR="00353AE7" w:rsidRPr="006F72C6">
        <w:rPr>
          <w:rFonts w:ascii="Arial" w:hAnsi="Arial" w:cs="Arial"/>
          <w:sz w:val="24"/>
        </w:rPr>
        <w:t xml:space="preserve"> / concrete examples</w:t>
      </w:r>
      <w:r w:rsidRPr="006F72C6">
        <w:rPr>
          <w:rFonts w:ascii="Arial" w:hAnsi="Arial" w:cs="Arial"/>
          <w:sz w:val="24"/>
        </w:rPr>
        <w:t xml:space="preserve">: </w:t>
      </w:r>
    </w:p>
    <w:p w14:paraId="6CD8E6A9" w14:textId="77777777" w:rsidR="00353AE7" w:rsidRPr="006F72C6" w:rsidRDefault="006015F3" w:rsidP="006F72C6">
      <w:pPr>
        <w:pStyle w:val="ListParagraph"/>
        <w:numPr>
          <w:ilvl w:val="0"/>
          <w:numId w:val="4"/>
        </w:numPr>
        <w:tabs>
          <w:tab w:val="left" w:pos="1185"/>
        </w:tabs>
        <w:ind w:right="110"/>
        <w:rPr>
          <w:rFonts w:ascii="Arial" w:hAnsi="Arial" w:cs="Arial"/>
          <w:sz w:val="24"/>
        </w:rPr>
      </w:pPr>
      <w:r w:rsidRPr="006F72C6">
        <w:rPr>
          <w:rFonts w:ascii="Arial" w:hAnsi="Arial" w:cs="Arial"/>
          <w:sz w:val="24"/>
        </w:rPr>
        <w:t xml:space="preserve">TBs have used the Chairperson meetings and also created a network of focal points to further discuss the 2020 review and the overall strengthening and alignment of the system. </w:t>
      </w:r>
    </w:p>
    <w:p w14:paraId="59E42342" w14:textId="77777777" w:rsidR="00353AE7" w:rsidRPr="006F72C6" w:rsidRDefault="006015F3" w:rsidP="006F72C6">
      <w:pPr>
        <w:pStyle w:val="ListParagraph"/>
        <w:numPr>
          <w:ilvl w:val="0"/>
          <w:numId w:val="4"/>
        </w:numPr>
        <w:tabs>
          <w:tab w:val="left" w:pos="1185"/>
        </w:tabs>
        <w:ind w:right="110"/>
        <w:rPr>
          <w:rFonts w:ascii="Arial" w:hAnsi="Arial" w:cs="Arial"/>
          <w:sz w:val="24"/>
        </w:rPr>
      </w:pPr>
      <w:r w:rsidRPr="006F72C6">
        <w:rPr>
          <w:rFonts w:ascii="Arial" w:hAnsi="Arial" w:cs="Arial"/>
          <w:sz w:val="24"/>
        </w:rPr>
        <w:t xml:space="preserve">They have also resorted to informal support from academic and NGO stakeholders. </w:t>
      </w:r>
    </w:p>
    <w:p w14:paraId="6332D5A9" w14:textId="77777777" w:rsidR="00353AE7" w:rsidRPr="006F72C6" w:rsidRDefault="00353AE7" w:rsidP="006F72C6">
      <w:pPr>
        <w:tabs>
          <w:tab w:val="left" w:pos="1185"/>
        </w:tabs>
        <w:ind w:right="110"/>
        <w:rPr>
          <w:rFonts w:ascii="Arial" w:hAnsi="Arial" w:cs="Arial"/>
          <w:sz w:val="24"/>
        </w:rPr>
      </w:pPr>
    </w:p>
    <w:p w14:paraId="6F7ACEDD" w14:textId="3EAF3937" w:rsidR="006015F3" w:rsidRPr="006F72C6" w:rsidRDefault="006015F3" w:rsidP="006F72C6">
      <w:pPr>
        <w:tabs>
          <w:tab w:val="left" w:pos="1185"/>
        </w:tabs>
        <w:ind w:right="110"/>
        <w:rPr>
          <w:rFonts w:ascii="Arial" w:hAnsi="Arial" w:cs="Arial"/>
          <w:sz w:val="24"/>
        </w:rPr>
      </w:pPr>
      <w:r w:rsidRPr="006F72C6">
        <w:rPr>
          <w:rFonts w:ascii="Arial" w:hAnsi="Arial" w:cs="Arial"/>
          <w:sz w:val="24"/>
        </w:rPr>
        <w:t>Decisions on changes of working methods always stay with each TB (deciding in plenary), a methodology that does not lend itself to swift changes and rapid development</w:t>
      </w:r>
      <w:r w:rsidR="00304DF0" w:rsidRPr="006F72C6">
        <w:rPr>
          <w:rFonts w:ascii="Arial" w:hAnsi="Arial" w:cs="Arial"/>
          <w:sz w:val="24"/>
        </w:rPr>
        <w:t xml:space="preserve">, </w:t>
      </w:r>
      <w:r w:rsidR="0010607C" w:rsidRPr="006F72C6">
        <w:rPr>
          <w:rFonts w:ascii="Arial" w:hAnsi="Arial" w:cs="Arial"/>
          <w:sz w:val="24"/>
        </w:rPr>
        <w:t>so it’s further development</w:t>
      </w:r>
      <w:r w:rsidR="00304DF0" w:rsidRPr="006F72C6">
        <w:rPr>
          <w:rFonts w:ascii="Arial" w:hAnsi="Arial" w:cs="Arial"/>
          <w:sz w:val="24"/>
        </w:rPr>
        <w:t xml:space="preserve"> should be supported by States</w:t>
      </w:r>
      <w:r w:rsidRPr="006F72C6">
        <w:rPr>
          <w:rFonts w:ascii="Arial" w:hAnsi="Arial" w:cs="Arial"/>
          <w:color w:val="00B050"/>
          <w:sz w:val="24"/>
        </w:rPr>
        <w:t xml:space="preserve">. </w:t>
      </w:r>
    </w:p>
    <w:p w14:paraId="555EE401" w14:textId="77777777" w:rsidR="006015F3" w:rsidRPr="006F72C6" w:rsidRDefault="006015F3" w:rsidP="006F72C6">
      <w:pPr>
        <w:tabs>
          <w:tab w:val="left" w:pos="1185"/>
        </w:tabs>
        <w:ind w:right="110"/>
        <w:rPr>
          <w:rFonts w:ascii="Arial" w:hAnsi="Arial" w:cs="Arial"/>
          <w:sz w:val="24"/>
        </w:rPr>
      </w:pPr>
    </w:p>
    <w:p w14:paraId="345DCD9C" w14:textId="03FA9448" w:rsidR="006015F3" w:rsidRPr="006F72C6" w:rsidRDefault="006015F3" w:rsidP="006F72C6">
      <w:pPr>
        <w:tabs>
          <w:tab w:val="left" w:pos="1185"/>
        </w:tabs>
        <w:ind w:right="110"/>
        <w:rPr>
          <w:rFonts w:ascii="Arial" w:hAnsi="Arial" w:cs="Arial"/>
          <w:sz w:val="24"/>
        </w:rPr>
      </w:pPr>
      <w:r w:rsidRPr="006F72C6">
        <w:rPr>
          <w:rFonts w:ascii="Arial" w:hAnsi="Arial" w:cs="Arial"/>
          <w:sz w:val="24"/>
        </w:rPr>
        <w:t>Good practices</w:t>
      </w:r>
      <w:r w:rsidR="00353AE7" w:rsidRPr="006F72C6">
        <w:rPr>
          <w:rFonts w:ascii="Arial" w:hAnsi="Arial" w:cs="Arial"/>
          <w:sz w:val="24"/>
        </w:rPr>
        <w:t xml:space="preserve"> / concrete examples</w:t>
      </w:r>
      <w:r w:rsidRPr="006F72C6">
        <w:rPr>
          <w:rFonts w:ascii="Arial" w:hAnsi="Arial" w:cs="Arial"/>
          <w:sz w:val="24"/>
        </w:rPr>
        <w:t xml:space="preserve">: </w:t>
      </w:r>
    </w:p>
    <w:p w14:paraId="0DA5ABF2" w14:textId="06F499D9" w:rsidR="006015F3" w:rsidRPr="006F72C6" w:rsidRDefault="006015F3"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 xml:space="preserve">Adoption of various guidelines and </w:t>
      </w:r>
      <w:r w:rsidR="005D79AB" w:rsidRPr="006F72C6">
        <w:rPr>
          <w:rFonts w:ascii="Arial" w:hAnsi="Arial" w:cs="Arial"/>
          <w:sz w:val="24"/>
        </w:rPr>
        <w:t xml:space="preserve">common procedures </w:t>
      </w:r>
      <w:r w:rsidRPr="006F72C6">
        <w:rPr>
          <w:rFonts w:ascii="Arial" w:hAnsi="Arial" w:cs="Arial"/>
          <w:sz w:val="24"/>
        </w:rPr>
        <w:t xml:space="preserve">across the system </w:t>
      </w:r>
    </w:p>
    <w:p w14:paraId="27C22753" w14:textId="77777777" w:rsidR="006015F3" w:rsidRPr="006F72C6" w:rsidRDefault="006015F3"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Alignment of working methods</w:t>
      </w:r>
    </w:p>
    <w:p w14:paraId="5E6B6EC5" w14:textId="77777777" w:rsidR="006015F3" w:rsidRPr="006F72C6" w:rsidRDefault="006015F3"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Enhanced and harmonized engagement with NHRIs</w:t>
      </w:r>
    </w:p>
    <w:p w14:paraId="5A8570AE" w14:textId="77777777" w:rsidR="006015F3" w:rsidRPr="006F72C6" w:rsidRDefault="006015F3"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Coordination in the establishment of list of isues (until now, rather ad-hoc)</w:t>
      </w:r>
    </w:p>
    <w:p w14:paraId="6548F3BB" w14:textId="1041D68F" w:rsidR="006015F3" w:rsidRDefault="006015F3"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References and mutual reinforcement via recommendations</w:t>
      </w:r>
    </w:p>
    <w:p w14:paraId="48D0E68B" w14:textId="77777777" w:rsidR="006F72C6" w:rsidRPr="006F72C6" w:rsidRDefault="006F72C6" w:rsidP="006F72C6">
      <w:pPr>
        <w:pStyle w:val="ListParagraph"/>
        <w:tabs>
          <w:tab w:val="left" w:pos="1185"/>
        </w:tabs>
        <w:spacing w:before="217"/>
        <w:ind w:left="720" w:right="112" w:firstLine="0"/>
        <w:rPr>
          <w:rFonts w:ascii="Arial" w:hAnsi="Arial" w:cs="Arial"/>
          <w:sz w:val="24"/>
        </w:rPr>
      </w:pPr>
    </w:p>
    <w:p w14:paraId="3A3E1AEB" w14:textId="77777777" w:rsidR="00927ACA" w:rsidRPr="006F72C6" w:rsidRDefault="00927ACA" w:rsidP="006F72C6">
      <w:pPr>
        <w:pStyle w:val="ListParagraph"/>
        <w:numPr>
          <w:ilvl w:val="0"/>
          <w:numId w:val="1"/>
        </w:numPr>
        <w:tabs>
          <w:tab w:val="left" w:pos="1185"/>
        </w:tabs>
        <w:rPr>
          <w:rFonts w:ascii="Arial" w:hAnsi="Arial" w:cs="Arial"/>
          <w:b/>
          <w:sz w:val="24"/>
        </w:rPr>
      </w:pPr>
      <w:r w:rsidRPr="006F72C6">
        <w:rPr>
          <w:rFonts w:ascii="Arial" w:hAnsi="Arial" w:cs="Arial"/>
          <w:b/>
          <w:sz w:val="24"/>
        </w:rPr>
        <w:t>Coordination and predictability in review cycles and</w:t>
      </w:r>
      <w:r w:rsidRPr="006F72C6">
        <w:rPr>
          <w:rFonts w:ascii="Arial" w:hAnsi="Arial" w:cs="Arial"/>
          <w:b/>
          <w:spacing w:val="-6"/>
          <w:sz w:val="24"/>
        </w:rPr>
        <w:t xml:space="preserve"> </w:t>
      </w:r>
      <w:r w:rsidRPr="006F72C6">
        <w:rPr>
          <w:rFonts w:ascii="Arial" w:hAnsi="Arial" w:cs="Arial"/>
          <w:b/>
          <w:sz w:val="24"/>
        </w:rPr>
        <w:t>reporting;</w:t>
      </w:r>
    </w:p>
    <w:p w14:paraId="7B9B883A" w14:textId="77777777" w:rsidR="00956BF3" w:rsidRPr="006F72C6" w:rsidRDefault="00956BF3" w:rsidP="006F72C6">
      <w:pPr>
        <w:rPr>
          <w:rFonts w:ascii="Arial" w:hAnsi="Arial" w:cs="Arial"/>
          <w:sz w:val="24"/>
        </w:rPr>
      </w:pPr>
    </w:p>
    <w:p w14:paraId="18C617A0" w14:textId="4C97EAC6" w:rsidR="006015F3" w:rsidRPr="006F72C6" w:rsidRDefault="006015F3" w:rsidP="006F72C6">
      <w:pPr>
        <w:rPr>
          <w:rFonts w:ascii="Arial" w:hAnsi="Arial" w:cs="Arial"/>
          <w:color w:val="FFC000"/>
          <w:sz w:val="24"/>
        </w:rPr>
      </w:pPr>
      <w:r w:rsidRPr="006F72C6">
        <w:rPr>
          <w:rFonts w:ascii="Arial" w:hAnsi="Arial" w:cs="Arial"/>
          <w:sz w:val="24"/>
        </w:rPr>
        <w:t xml:space="preserve">Predictability of the review cycles remains </w:t>
      </w:r>
      <w:r w:rsidR="00353AE7" w:rsidRPr="006F72C6">
        <w:rPr>
          <w:rFonts w:ascii="Arial" w:hAnsi="Arial" w:cs="Arial"/>
          <w:sz w:val="24"/>
        </w:rPr>
        <w:t>unsatisfactory, not allowing stakeholders to fully prepare and engage.</w:t>
      </w:r>
      <w:r w:rsidRPr="006F72C6">
        <w:rPr>
          <w:rFonts w:ascii="Arial" w:hAnsi="Arial" w:cs="Arial"/>
          <w:sz w:val="24"/>
        </w:rPr>
        <w:t xml:space="preserve"> While most treaties establish clear timelines</w:t>
      </w:r>
      <w:r w:rsidR="00010F7E" w:rsidRPr="006F72C6">
        <w:rPr>
          <w:rFonts w:ascii="Arial" w:hAnsi="Arial" w:cs="Arial"/>
          <w:sz w:val="24"/>
        </w:rPr>
        <w:t xml:space="preserve"> and TBs establish the date for the next report, </w:t>
      </w:r>
      <w:r w:rsidRPr="006F72C6">
        <w:rPr>
          <w:rFonts w:ascii="Arial" w:hAnsi="Arial" w:cs="Arial"/>
          <w:sz w:val="24"/>
        </w:rPr>
        <w:t xml:space="preserve">the reality is that political will of states </w:t>
      </w:r>
      <w:r w:rsidR="007579B8" w:rsidRPr="006F72C6">
        <w:rPr>
          <w:rFonts w:ascii="Arial" w:hAnsi="Arial" w:cs="Arial"/>
          <w:sz w:val="24"/>
        </w:rPr>
        <w:t xml:space="preserve">decides the reporting calendar </w:t>
      </w:r>
      <w:r w:rsidRPr="006F72C6">
        <w:rPr>
          <w:rFonts w:ascii="Arial" w:hAnsi="Arial" w:cs="Arial"/>
          <w:sz w:val="24"/>
        </w:rPr>
        <w:t>(sometimes aggravated by the back-log of rep</w:t>
      </w:r>
      <w:r w:rsidR="007579B8" w:rsidRPr="006F72C6">
        <w:rPr>
          <w:rFonts w:ascii="Arial" w:hAnsi="Arial" w:cs="Arial"/>
          <w:sz w:val="24"/>
        </w:rPr>
        <w:t>orts in certain TBs). This results in delays of reporting up to several decades</w:t>
      </w:r>
      <w:r w:rsidR="00010F7E" w:rsidRPr="006F72C6">
        <w:rPr>
          <w:rFonts w:ascii="Arial" w:hAnsi="Arial" w:cs="Arial"/>
          <w:sz w:val="24"/>
        </w:rPr>
        <w:t xml:space="preserve">. An added factor of concern is that some States have not even presented an initial report. The result is an absolute absence of accountability.  </w:t>
      </w:r>
    </w:p>
    <w:p w14:paraId="02852707" w14:textId="77777777" w:rsidR="007579B8" w:rsidRPr="006F72C6" w:rsidRDefault="007579B8" w:rsidP="006F72C6">
      <w:pPr>
        <w:rPr>
          <w:rFonts w:ascii="Arial" w:hAnsi="Arial" w:cs="Arial"/>
          <w:color w:val="FFC000"/>
          <w:sz w:val="24"/>
        </w:rPr>
      </w:pPr>
    </w:p>
    <w:p w14:paraId="2AC7D0C3" w14:textId="77777777" w:rsidR="00353AE7" w:rsidRPr="006F72C6" w:rsidRDefault="007579B8" w:rsidP="006F72C6">
      <w:pPr>
        <w:rPr>
          <w:rFonts w:ascii="Arial" w:hAnsi="Arial" w:cs="Arial"/>
          <w:sz w:val="24"/>
        </w:rPr>
      </w:pPr>
      <w:r w:rsidRPr="006F72C6">
        <w:rPr>
          <w:rFonts w:ascii="Arial" w:hAnsi="Arial" w:cs="Arial"/>
          <w:sz w:val="24"/>
        </w:rPr>
        <w:t xml:space="preserve">Positive steps have been taken by the </w:t>
      </w:r>
      <w:r w:rsidR="00353AE7" w:rsidRPr="006F72C6">
        <w:rPr>
          <w:rFonts w:ascii="Arial" w:hAnsi="Arial" w:cs="Arial"/>
          <w:sz w:val="24"/>
        </w:rPr>
        <w:t xml:space="preserve">Treaty Bodies: </w:t>
      </w:r>
    </w:p>
    <w:p w14:paraId="21B28C98" w14:textId="77777777" w:rsidR="00901531" w:rsidRPr="006F72C6" w:rsidRDefault="00353AE7"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 xml:space="preserve">The </w:t>
      </w:r>
      <w:r w:rsidR="007579B8" w:rsidRPr="006F72C6">
        <w:rPr>
          <w:rFonts w:ascii="Arial" w:hAnsi="Arial" w:cs="Arial"/>
          <w:sz w:val="24"/>
        </w:rPr>
        <w:t xml:space="preserve">Human Rights Committee, offering a fixed schedule to all member states. </w:t>
      </w:r>
    </w:p>
    <w:p w14:paraId="77A6E5D5" w14:textId="77777777" w:rsidR="00901531" w:rsidRPr="006F72C6" w:rsidRDefault="007579B8"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 xml:space="preserve">The CESCR seems to follow suit. </w:t>
      </w:r>
    </w:p>
    <w:p w14:paraId="5833EF66" w14:textId="5E262E69" w:rsidR="00956BF3" w:rsidRPr="006F72C6" w:rsidRDefault="007579B8"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While there are notable exceptions, such as SPT and CED</w:t>
      </w:r>
      <w:r w:rsidR="00901531" w:rsidRPr="006F72C6">
        <w:rPr>
          <w:rFonts w:ascii="Arial" w:hAnsi="Arial" w:cs="Arial"/>
          <w:sz w:val="24"/>
        </w:rPr>
        <w:t xml:space="preserve"> which do not follow the same logic of regular state reporting</w:t>
      </w:r>
      <w:r w:rsidRPr="006F72C6">
        <w:rPr>
          <w:rFonts w:ascii="Arial" w:hAnsi="Arial" w:cs="Arial"/>
          <w:sz w:val="24"/>
        </w:rPr>
        <w:t>, further establishment of fixed reporting schedules and their coordination across the system is a must</w:t>
      </w:r>
      <w:r w:rsidR="00304DF0" w:rsidRPr="006F72C6">
        <w:rPr>
          <w:rFonts w:ascii="Arial" w:hAnsi="Arial" w:cs="Arial"/>
          <w:sz w:val="24"/>
        </w:rPr>
        <w:t xml:space="preserve"> and should be strongly encouraged</w:t>
      </w:r>
      <w:r w:rsidRPr="006F72C6">
        <w:rPr>
          <w:rFonts w:ascii="Arial" w:hAnsi="Arial" w:cs="Arial"/>
          <w:sz w:val="24"/>
        </w:rPr>
        <w:t xml:space="preserve">. </w:t>
      </w:r>
    </w:p>
    <w:p w14:paraId="71580B7A" w14:textId="59BD437A" w:rsidR="000C31E2" w:rsidRPr="006F72C6" w:rsidRDefault="000C31E2" w:rsidP="006F72C6">
      <w:pPr>
        <w:tabs>
          <w:tab w:val="left" w:pos="1185"/>
        </w:tabs>
        <w:rPr>
          <w:rFonts w:ascii="Arial" w:hAnsi="Arial" w:cs="Arial"/>
          <w:sz w:val="24"/>
        </w:rPr>
      </w:pPr>
    </w:p>
    <w:p w14:paraId="4CD27869" w14:textId="77777777" w:rsidR="000C31E2" w:rsidRPr="006F72C6" w:rsidRDefault="000C31E2" w:rsidP="006F72C6">
      <w:pPr>
        <w:tabs>
          <w:tab w:val="left" w:pos="1185"/>
        </w:tabs>
        <w:rPr>
          <w:rFonts w:ascii="Arial" w:hAnsi="Arial" w:cs="Arial"/>
          <w:sz w:val="24"/>
        </w:rPr>
      </w:pPr>
    </w:p>
    <w:p w14:paraId="5B73FFEF" w14:textId="77777777" w:rsidR="00927ACA" w:rsidRPr="006F72C6" w:rsidRDefault="00927ACA" w:rsidP="006F72C6">
      <w:pPr>
        <w:pStyle w:val="ListParagraph"/>
        <w:numPr>
          <w:ilvl w:val="0"/>
          <w:numId w:val="1"/>
        </w:numPr>
        <w:tabs>
          <w:tab w:val="left" w:pos="1184"/>
        </w:tabs>
        <w:ind w:right="109"/>
        <w:rPr>
          <w:rFonts w:ascii="Arial" w:hAnsi="Arial" w:cs="Arial"/>
          <w:b/>
          <w:sz w:val="24"/>
        </w:rPr>
      </w:pPr>
      <w:r w:rsidRPr="006F72C6">
        <w:rPr>
          <w:rFonts w:ascii="Arial" w:hAnsi="Arial" w:cs="Arial"/>
          <w:b/>
          <w:sz w:val="24"/>
        </w:rPr>
        <w:t>Current reporting system, including common core document, and ways to further improve and simplify reporting for States parties whilst ensuring the substantive quality of the national</w:t>
      </w:r>
      <w:r w:rsidRPr="006F72C6">
        <w:rPr>
          <w:rFonts w:ascii="Arial" w:hAnsi="Arial" w:cs="Arial"/>
          <w:b/>
          <w:spacing w:val="-8"/>
          <w:sz w:val="24"/>
        </w:rPr>
        <w:t xml:space="preserve"> </w:t>
      </w:r>
      <w:r w:rsidRPr="006F72C6">
        <w:rPr>
          <w:rFonts w:ascii="Arial" w:hAnsi="Arial" w:cs="Arial"/>
          <w:b/>
          <w:sz w:val="24"/>
        </w:rPr>
        <w:t>reports;</w:t>
      </w:r>
    </w:p>
    <w:p w14:paraId="0C2E5289" w14:textId="77777777" w:rsidR="00956BF3" w:rsidRPr="006F72C6" w:rsidRDefault="00956BF3" w:rsidP="006F72C6">
      <w:pPr>
        <w:tabs>
          <w:tab w:val="left" w:pos="1184"/>
        </w:tabs>
        <w:ind w:right="109"/>
        <w:rPr>
          <w:rFonts w:ascii="Arial" w:hAnsi="Arial" w:cs="Arial"/>
          <w:sz w:val="24"/>
        </w:rPr>
      </w:pPr>
    </w:p>
    <w:p w14:paraId="68211C05" w14:textId="2251F89D" w:rsidR="007579B8" w:rsidRPr="006F72C6" w:rsidRDefault="0010607C" w:rsidP="006F72C6">
      <w:pPr>
        <w:tabs>
          <w:tab w:val="left" w:pos="1184"/>
        </w:tabs>
        <w:ind w:right="109"/>
        <w:rPr>
          <w:rFonts w:ascii="Arial" w:hAnsi="Arial" w:cs="Arial"/>
          <w:sz w:val="24"/>
        </w:rPr>
      </w:pPr>
      <w:r w:rsidRPr="006F72C6">
        <w:rPr>
          <w:rFonts w:ascii="Arial" w:hAnsi="Arial" w:cs="Arial"/>
          <w:sz w:val="24"/>
        </w:rPr>
        <w:t xml:space="preserve">Equally important as </w:t>
      </w:r>
      <w:r w:rsidR="007579B8" w:rsidRPr="006F72C6">
        <w:rPr>
          <w:rFonts w:ascii="Arial" w:hAnsi="Arial" w:cs="Arial"/>
          <w:sz w:val="24"/>
        </w:rPr>
        <w:t xml:space="preserve">a common core document would be the coordination among TBs of LOIPRs. This would lead down-stream to coordinated reports, the CCD being only one part of the mosaic. </w:t>
      </w:r>
      <w:r w:rsidR="00304DF0" w:rsidRPr="006F72C6">
        <w:rPr>
          <w:rFonts w:ascii="Arial" w:hAnsi="Arial" w:cs="Arial"/>
          <w:sz w:val="24"/>
        </w:rPr>
        <w:t>State reporting could further be simplified by presenting clustered repo</w:t>
      </w:r>
      <w:r w:rsidR="00010F7E" w:rsidRPr="006F72C6">
        <w:rPr>
          <w:rFonts w:ascii="Arial" w:hAnsi="Arial" w:cs="Arial"/>
          <w:sz w:val="24"/>
        </w:rPr>
        <w:t>r</w:t>
      </w:r>
      <w:r w:rsidR="00304DF0" w:rsidRPr="006F72C6">
        <w:rPr>
          <w:rFonts w:ascii="Arial" w:hAnsi="Arial" w:cs="Arial"/>
          <w:sz w:val="24"/>
        </w:rPr>
        <w:t xml:space="preserve">ts including the specific information under various treaties, if a country is scheduled to appear before the corresponding treaty bodies in close timing. </w:t>
      </w:r>
    </w:p>
    <w:p w14:paraId="593CEC3E" w14:textId="77777777" w:rsidR="007579B8" w:rsidRPr="006F72C6" w:rsidRDefault="007579B8" w:rsidP="006F72C6">
      <w:pPr>
        <w:tabs>
          <w:tab w:val="left" w:pos="1184"/>
        </w:tabs>
        <w:ind w:right="109"/>
        <w:rPr>
          <w:rFonts w:ascii="Arial" w:hAnsi="Arial" w:cs="Arial"/>
          <w:sz w:val="24"/>
        </w:rPr>
      </w:pPr>
    </w:p>
    <w:p w14:paraId="113FED1A" w14:textId="77777777" w:rsidR="00927ACA" w:rsidRPr="006F72C6" w:rsidRDefault="00927ACA" w:rsidP="006F72C6">
      <w:pPr>
        <w:pStyle w:val="ListParagraph"/>
        <w:numPr>
          <w:ilvl w:val="0"/>
          <w:numId w:val="1"/>
        </w:numPr>
        <w:tabs>
          <w:tab w:val="left" w:pos="1184"/>
        </w:tabs>
        <w:ind w:right="112"/>
        <w:rPr>
          <w:rFonts w:ascii="Arial" w:hAnsi="Arial" w:cs="Arial"/>
          <w:sz w:val="24"/>
        </w:rPr>
      </w:pPr>
      <w:r w:rsidRPr="006F72C6">
        <w:rPr>
          <w:rFonts w:ascii="Arial" w:hAnsi="Arial" w:cs="Arial"/>
          <w:b/>
          <w:sz w:val="24"/>
        </w:rPr>
        <w:t>Dialogue</w:t>
      </w:r>
      <w:r w:rsidRPr="006F72C6">
        <w:rPr>
          <w:rFonts w:ascii="Arial" w:hAnsi="Arial" w:cs="Arial"/>
          <w:b/>
          <w:spacing w:val="-6"/>
          <w:sz w:val="24"/>
        </w:rPr>
        <w:t xml:space="preserve"> </w:t>
      </w:r>
      <w:r w:rsidRPr="006F72C6">
        <w:rPr>
          <w:rFonts w:ascii="Arial" w:hAnsi="Arial" w:cs="Arial"/>
          <w:b/>
          <w:sz w:val="24"/>
        </w:rPr>
        <w:t>between</w:t>
      </w:r>
      <w:r w:rsidRPr="006F72C6">
        <w:rPr>
          <w:rFonts w:ascii="Arial" w:hAnsi="Arial" w:cs="Arial"/>
          <w:b/>
          <w:spacing w:val="-4"/>
          <w:sz w:val="24"/>
        </w:rPr>
        <w:t xml:space="preserve"> </w:t>
      </w:r>
      <w:r w:rsidRPr="006F72C6">
        <w:rPr>
          <w:rFonts w:ascii="Arial" w:hAnsi="Arial" w:cs="Arial"/>
          <w:b/>
          <w:sz w:val="24"/>
        </w:rPr>
        <w:t>States</w:t>
      </w:r>
      <w:r w:rsidRPr="006F72C6">
        <w:rPr>
          <w:rFonts w:ascii="Arial" w:hAnsi="Arial" w:cs="Arial"/>
          <w:b/>
          <w:spacing w:val="1"/>
          <w:sz w:val="24"/>
        </w:rPr>
        <w:t xml:space="preserve"> </w:t>
      </w:r>
      <w:r w:rsidRPr="006F72C6">
        <w:rPr>
          <w:rFonts w:ascii="Arial" w:hAnsi="Arial" w:cs="Arial"/>
          <w:b/>
          <w:sz w:val="24"/>
        </w:rPr>
        <w:t>and</w:t>
      </w:r>
      <w:r w:rsidRPr="006F72C6">
        <w:rPr>
          <w:rFonts w:ascii="Arial" w:hAnsi="Arial" w:cs="Arial"/>
          <w:b/>
          <w:spacing w:val="-5"/>
          <w:sz w:val="24"/>
        </w:rPr>
        <w:t xml:space="preserve"> </w:t>
      </w:r>
      <w:r w:rsidRPr="006F72C6">
        <w:rPr>
          <w:rFonts w:ascii="Arial" w:hAnsi="Arial" w:cs="Arial"/>
          <w:b/>
          <w:sz w:val="24"/>
        </w:rPr>
        <w:t>treaty</w:t>
      </w:r>
      <w:r w:rsidRPr="006F72C6">
        <w:rPr>
          <w:rFonts w:ascii="Arial" w:hAnsi="Arial" w:cs="Arial"/>
          <w:b/>
          <w:spacing w:val="-6"/>
          <w:sz w:val="24"/>
        </w:rPr>
        <w:t xml:space="preserve"> </w:t>
      </w:r>
      <w:r w:rsidRPr="006F72C6">
        <w:rPr>
          <w:rFonts w:ascii="Arial" w:hAnsi="Arial" w:cs="Arial"/>
          <w:b/>
          <w:sz w:val="24"/>
        </w:rPr>
        <w:t>bodies</w:t>
      </w:r>
      <w:r w:rsidRPr="006F72C6">
        <w:rPr>
          <w:rFonts w:ascii="Arial" w:hAnsi="Arial" w:cs="Arial"/>
          <w:b/>
          <w:spacing w:val="-4"/>
          <w:sz w:val="24"/>
        </w:rPr>
        <w:t xml:space="preserve"> </w:t>
      </w:r>
      <w:r w:rsidRPr="006F72C6">
        <w:rPr>
          <w:rFonts w:ascii="Arial" w:hAnsi="Arial" w:cs="Arial"/>
          <w:b/>
          <w:sz w:val="24"/>
        </w:rPr>
        <w:t>both</w:t>
      </w:r>
      <w:r w:rsidRPr="006F72C6">
        <w:rPr>
          <w:rFonts w:ascii="Arial" w:hAnsi="Arial" w:cs="Arial"/>
          <w:b/>
          <w:spacing w:val="-5"/>
          <w:sz w:val="24"/>
        </w:rPr>
        <w:t xml:space="preserve"> </w:t>
      </w:r>
      <w:r w:rsidRPr="006F72C6">
        <w:rPr>
          <w:rFonts w:ascii="Arial" w:hAnsi="Arial" w:cs="Arial"/>
          <w:b/>
          <w:sz w:val="24"/>
        </w:rPr>
        <w:t>in</w:t>
      </w:r>
      <w:r w:rsidRPr="006F72C6">
        <w:rPr>
          <w:rFonts w:ascii="Arial" w:hAnsi="Arial" w:cs="Arial"/>
          <w:b/>
          <w:spacing w:val="-2"/>
          <w:sz w:val="24"/>
        </w:rPr>
        <w:t xml:space="preserve"> </w:t>
      </w:r>
      <w:r w:rsidRPr="006F72C6">
        <w:rPr>
          <w:rFonts w:ascii="Arial" w:hAnsi="Arial" w:cs="Arial"/>
          <w:b/>
          <w:sz w:val="24"/>
        </w:rPr>
        <w:t>preparation</w:t>
      </w:r>
      <w:r w:rsidRPr="006F72C6">
        <w:rPr>
          <w:rFonts w:ascii="Arial" w:hAnsi="Arial" w:cs="Arial"/>
          <w:b/>
          <w:spacing w:val="-4"/>
          <w:sz w:val="24"/>
        </w:rPr>
        <w:t xml:space="preserve"> </w:t>
      </w:r>
      <w:r w:rsidRPr="006F72C6">
        <w:rPr>
          <w:rFonts w:ascii="Arial" w:hAnsi="Arial" w:cs="Arial"/>
          <w:b/>
          <w:sz w:val="24"/>
        </w:rPr>
        <w:t>for</w:t>
      </w:r>
      <w:r w:rsidRPr="006F72C6">
        <w:rPr>
          <w:rFonts w:ascii="Arial" w:hAnsi="Arial" w:cs="Arial"/>
          <w:b/>
          <w:spacing w:val="-3"/>
          <w:sz w:val="24"/>
        </w:rPr>
        <w:t xml:space="preserve"> </w:t>
      </w:r>
      <w:r w:rsidRPr="006F72C6">
        <w:rPr>
          <w:rFonts w:ascii="Arial" w:hAnsi="Arial" w:cs="Arial"/>
          <w:b/>
          <w:sz w:val="24"/>
        </w:rPr>
        <w:t>and</w:t>
      </w:r>
      <w:r w:rsidRPr="006F72C6">
        <w:rPr>
          <w:rFonts w:ascii="Arial" w:hAnsi="Arial" w:cs="Arial"/>
          <w:b/>
          <w:spacing w:val="-4"/>
          <w:sz w:val="24"/>
        </w:rPr>
        <w:t xml:space="preserve"> </w:t>
      </w:r>
      <w:r w:rsidRPr="006F72C6">
        <w:rPr>
          <w:rFonts w:ascii="Arial" w:hAnsi="Arial" w:cs="Arial"/>
          <w:b/>
          <w:sz w:val="24"/>
        </w:rPr>
        <w:t>during</w:t>
      </w:r>
      <w:r w:rsidRPr="006F72C6">
        <w:rPr>
          <w:rFonts w:ascii="Arial" w:hAnsi="Arial" w:cs="Arial"/>
          <w:b/>
          <w:spacing w:val="-6"/>
          <w:sz w:val="24"/>
        </w:rPr>
        <w:t xml:space="preserve"> </w:t>
      </w:r>
      <w:r w:rsidRPr="006F72C6">
        <w:rPr>
          <w:rFonts w:ascii="Arial" w:hAnsi="Arial" w:cs="Arial"/>
          <w:b/>
          <w:sz w:val="24"/>
        </w:rPr>
        <w:t>States reviews as well as in follow-up to the</w:t>
      </w:r>
      <w:r w:rsidRPr="006F72C6">
        <w:rPr>
          <w:rFonts w:ascii="Arial" w:hAnsi="Arial" w:cs="Arial"/>
          <w:b/>
          <w:spacing w:val="-1"/>
          <w:sz w:val="24"/>
        </w:rPr>
        <w:t xml:space="preserve"> </w:t>
      </w:r>
      <w:r w:rsidRPr="006F72C6">
        <w:rPr>
          <w:rFonts w:ascii="Arial" w:hAnsi="Arial" w:cs="Arial"/>
          <w:b/>
          <w:sz w:val="24"/>
        </w:rPr>
        <w:t>review</w:t>
      </w:r>
      <w:r w:rsidRPr="006F72C6">
        <w:rPr>
          <w:rFonts w:ascii="Arial" w:hAnsi="Arial" w:cs="Arial"/>
          <w:sz w:val="24"/>
        </w:rPr>
        <w:t>;</w:t>
      </w:r>
    </w:p>
    <w:p w14:paraId="5C77CB78" w14:textId="77777777" w:rsidR="007579B8" w:rsidRPr="006F72C6" w:rsidRDefault="007579B8" w:rsidP="006F72C6">
      <w:pPr>
        <w:rPr>
          <w:rFonts w:ascii="Arial" w:hAnsi="Arial" w:cs="Arial"/>
          <w:sz w:val="24"/>
        </w:rPr>
      </w:pPr>
    </w:p>
    <w:p w14:paraId="7AC5B04E" w14:textId="1EB699B3" w:rsidR="007579B8" w:rsidRPr="006F72C6" w:rsidRDefault="007579B8" w:rsidP="006F72C6">
      <w:pPr>
        <w:rPr>
          <w:rFonts w:ascii="Arial" w:hAnsi="Arial" w:cs="Arial"/>
          <w:color w:val="00B050"/>
          <w:sz w:val="24"/>
        </w:rPr>
      </w:pPr>
      <w:r w:rsidRPr="006F72C6">
        <w:rPr>
          <w:rFonts w:ascii="Arial" w:hAnsi="Arial" w:cs="Arial"/>
          <w:sz w:val="24"/>
        </w:rPr>
        <w:t xml:space="preserve">To an outside entity, this dialogue seems to vary on a scale between inadequate to absent, depending on the respective State party. </w:t>
      </w:r>
      <w:r w:rsidR="0010607C" w:rsidRPr="006F72C6">
        <w:rPr>
          <w:rFonts w:ascii="Arial" w:hAnsi="Arial" w:cs="Arial"/>
          <w:sz w:val="24"/>
        </w:rPr>
        <w:t xml:space="preserve">Generally, </w:t>
      </w:r>
      <w:r w:rsidR="00010F7E" w:rsidRPr="006F72C6">
        <w:rPr>
          <w:rFonts w:ascii="Arial" w:hAnsi="Arial" w:cs="Arial"/>
          <w:sz w:val="24"/>
        </w:rPr>
        <w:t xml:space="preserve">States </w:t>
      </w:r>
      <w:r w:rsidR="0010607C" w:rsidRPr="006F72C6">
        <w:rPr>
          <w:rFonts w:ascii="Arial" w:hAnsi="Arial" w:cs="Arial"/>
          <w:sz w:val="24"/>
        </w:rPr>
        <w:t>seem</w:t>
      </w:r>
      <w:r w:rsidR="00010F7E" w:rsidRPr="006F72C6">
        <w:rPr>
          <w:rFonts w:ascii="Arial" w:hAnsi="Arial" w:cs="Arial"/>
          <w:sz w:val="24"/>
        </w:rPr>
        <w:t xml:space="preserve"> more willing to seek dialogue </w:t>
      </w:r>
      <w:r w:rsidR="0010607C" w:rsidRPr="006F72C6">
        <w:rPr>
          <w:rFonts w:ascii="Arial" w:hAnsi="Arial" w:cs="Arial"/>
          <w:sz w:val="24"/>
        </w:rPr>
        <w:t>before the review than after</w:t>
      </w:r>
      <w:r w:rsidR="006F72C6">
        <w:rPr>
          <w:rFonts w:ascii="Arial" w:hAnsi="Arial" w:cs="Arial"/>
          <w:sz w:val="24"/>
        </w:rPr>
        <w:t>.</w:t>
      </w:r>
    </w:p>
    <w:p w14:paraId="0D0987E4" w14:textId="77777777" w:rsidR="00956BF3" w:rsidRPr="006F72C6" w:rsidRDefault="00956BF3" w:rsidP="006F72C6">
      <w:pPr>
        <w:tabs>
          <w:tab w:val="left" w:pos="1184"/>
        </w:tabs>
        <w:ind w:right="112"/>
        <w:rPr>
          <w:rFonts w:ascii="Arial" w:hAnsi="Arial" w:cs="Arial"/>
          <w:sz w:val="24"/>
        </w:rPr>
      </w:pPr>
    </w:p>
    <w:p w14:paraId="41AEEA81" w14:textId="77777777" w:rsidR="00927ACA" w:rsidRPr="006F72C6" w:rsidRDefault="00927ACA" w:rsidP="006F72C6">
      <w:pPr>
        <w:pStyle w:val="ListParagraph"/>
        <w:numPr>
          <w:ilvl w:val="0"/>
          <w:numId w:val="1"/>
        </w:numPr>
        <w:tabs>
          <w:tab w:val="left" w:pos="1185"/>
        </w:tabs>
        <w:rPr>
          <w:rFonts w:ascii="Arial" w:hAnsi="Arial" w:cs="Arial"/>
          <w:b/>
          <w:sz w:val="24"/>
        </w:rPr>
      </w:pPr>
      <w:r w:rsidRPr="006F72C6">
        <w:rPr>
          <w:rFonts w:ascii="Arial" w:hAnsi="Arial" w:cs="Arial"/>
          <w:b/>
          <w:sz w:val="24"/>
        </w:rPr>
        <w:t>Assessment of the concluding observations and</w:t>
      </w:r>
      <w:r w:rsidRPr="006F72C6">
        <w:rPr>
          <w:rFonts w:ascii="Arial" w:hAnsi="Arial" w:cs="Arial"/>
          <w:b/>
          <w:spacing w:val="-8"/>
          <w:sz w:val="24"/>
        </w:rPr>
        <w:t xml:space="preserve"> </w:t>
      </w:r>
      <w:r w:rsidRPr="006F72C6">
        <w:rPr>
          <w:rFonts w:ascii="Arial" w:hAnsi="Arial" w:cs="Arial"/>
          <w:b/>
          <w:sz w:val="24"/>
        </w:rPr>
        <w:t>recommendations;</w:t>
      </w:r>
    </w:p>
    <w:p w14:paraId="6E6724F0" w14:textId="77777777" w:rsidR="00956BF3" w:rsidRPr="006F72C6" w:rsidRDefault="00956BF3" w:rsidP="006F72C6">
      <w:pPr>
        <w:tabs>
          <w:tab w:val="left" w:pos="1185"/>
        </w:tabs>
        <w:rPr>
          <w:rFonts w:ascii="Arial" w:hAnsi="Arial" w:cs="Arial"/>
          <w:sz w:val="24"/>
        </w:rPr>
      </w:pPr>
    </w:p>
    <w:p w14:paraId="0600EF5F" w14:textId="3FA27998" w:rsidR="007579B8" w:rsidRPr="006F72C6" w:rsidRDefault="007579B8"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Could be more</w:t>
      </w:r>
      <w:r w:rsidR="00880921" w:rsidRPr="006F72C6">
        <w:rPr>
          <w:rFonts w:ascii="Arial" w:hAnsi="Arial" w:cs="Arial"/>
          <w:sz w:val="24"/>
        </w:rPr>
        <w:t xml:space="preserve"> specific and </w:t>
      </w:r>
      <w:r w:rsidRPr="006F72C6">
        <w:rPr>
          <w:rFonts w:ascii="Arial" w:hAnsi="Arial" w:cs="Arial"/>
          <w:sz w:val="24"/>
        </w:rPr>
        <w:t>precise</w:t>
      </w:r>
      <w:r w:rsidR="00D85FBC" w:rsidRPr="006F72C6">
        <w:rPr>
          <w:rFonts w:ascii="Arial" w:hAnsi="Arial" w:cs="Arial"/>
          <w:sz w:val="24"/>
        </w:rPr>
        <w:t xml:space="preserve">. Could follow the </w:t>
      </w:r>
      <w:hyperlink r:id="rId16" w:history="1">
        <w:r w:rsidR="00D85FBC" w:rsidRPr="006F72C6">
          <w:t>SMART</w:t>
        </w:r>
      </w:hyperlink>
      <w:r w:rsidR="00D85FBC" w:rsidRPr="006F72C6">
        <w:rPr>
          <w:rFonts w:ascii="Arial" w:hAnsi="Arial" w:cs="Arial"/>
          <w:sz w:val="24"/>
        </w:rPr>
        <w:t xml:space="preserve"> typology adopted in the UPR process. </w:t>
      </w:r>
    </w:p>
    <w:p w14:paraId="6CEBBD71" w14:textId="77777777" w:rsidR="007579B8" w:rsidRPr="006F72C6" w:rsidRDefault="007579B8"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Could be better linked</w:t>
      </w:r>
    </w:p>
    <w:p w14:paraId="2ACF7F27" w14:textId="77777777" w:rsidR="007579B8" w:rsidRPr="006F72C6" w:rsidRDefault="007579B8"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Could be less numerous and prioritized</w:t>
      </w:r>
    </w:p>
    <w:p w14:paraId="754DD29B" w14:textId="21C4C189" w:rsidR="007579B8" w:rsidRPr="006F72C6" w:rsidRDefault="007579B8"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 xml:space="preserve">Could be coordinated with UPR </w:t>
      </w:r>
      <w:r w:rsidR="00E562DE" w:rsidRPr="006F72C6">
        <w:rPr>
          <w:rFonts w:ascii="Arial" w:hAnsi="Arial" w:cs="Arial"/>
          <w:sz w:val="24"/>
        </w:rPr>
        <w:t xml:space="preserve">and, when possible, country visits of Special Procedures. </w:t>
      </w:r>
    </w:p>
    <w:p w14:paraId="45958389" w14:textId="77777777" w:rsidR="00BF081C" w:rsidRPr="006F72C6" w:rsidRDefault="00BF081C"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 xml:space="preserve">Need to be well founded and well informed, which </w:t>
      </w:r>
      <w:r w:rsidR="00106C41" w:rsidRPr="006F72C6">
        <w:rPr>
          <w:rFonts w:ascii="Arial" w:hAnsi="Arial" w:cs="Arial"/>
          <w:sz w:val="24"/>
        </w:rPr>
        <w:t xml:space="preserve">reinforces the need for high-quality honest reporting and </w:t>
      </w:r>
      <w:r w:rsidR="00B367E9" w:rsidRPr="006F72C6">
        <w:rPr>
          <w:rFonts w:ascii="Arial" w:hAnsi="Arial" w:cs="Arial"/>
          <w:sz w:val="24"/>
        </w:rPr>
        <w:t>supplementary</w:t>
      </w:r>
      <w:r w:rsidR="00106C41" w:rsidRPr="006F72C6">
        <w:rPr>
          <w:rFonts w:ascii="Arial" w:hAnsi="Arial" w:cs="Arial"/>
          <w:sz w:val="24"/>
        </w:rPr>
        <w:t xml:space="preserve"> NGO information. </w:t>
      </w:r>
    </w:p>
    <w:p w14:paraId="13E40919" w14:textId="69295217" w:rsidR="00B367E9" w:rsidRPr="006F72C6" w:rsidRDefault="00B367E9"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The implementation of recommendations would benefit from expanded,  institutionalized follow-up</w:t>
      </w:r>
      <w:r w:rsidR="00CC3D22" w:rsidRPr="006F72C6">
        <w:rPr>
          <w:rFonts w:ascii="Arial" w:hAnsi="Arial" w:cs="Arial"/>
          <w:sz w:val="24"/>
        </w:rPr>
        <w:t xml:space="preserve"> at national level</w:t>
      </w:r>
    </w:p>
    <w:p w14:paraId="2E3DADE5" w14:textId="77777777" w:rsidR="007579B8" w:rsidRPr="006F72C6" w:rsidRDefault="007579B8" w:rsidP="006F72C6">
      <w:pPr>
        <w:tabs>
          <w:tab w:val="left" w:pos="1185"/>
        </w:tabs>
        <w:rPr>
          <w:rFonts w:ascii="Arial" w:hAnsi="Arial" w:cs="Arial"/>
          <w:color w:val="FFC000"/>
          <w:sz w:val="24"/>
        </w:rPr>
      </w:pPr>
    </w:p>
    <w:p w14:paraId="0F44EB4F" w14:textId="77777777" w:rsidR="00927ACA" w:rsidRPr="006F72C6" w:rsidRDefault="00927ACA" w:rsidP="006F72C6">
      <w:pPr>
        <w:pStyle w:val="ListParagraph"/>
        <w:numPr>
          <w:ilvl w:val="0"/>
          <w:numId w:val="1"/>
        </w:numPr>
        <w:tabs>
          <w:tab w:val="left" w:pos="1185"/>
        </w:tabs>
        <w:rPr>
          <w:rFonts w:ascii="Arial" w:hAnsi="Arial" w:cs="Arial"/>
          <w:b/>
          <w:sz w:val="24"/>
        </w:rPr>
      </w:pPr>
      <w:r w:rsidRPr="006F72C6">
        <w:rPr>
          <w:rFonts w:ascii="Arial" w:hAnsi="Arial" w:cs="Arial"/>
          <w:b/>
          <w:sz w:val="24"/>
        </w:rPr>
        <w:t>Strengthening the engagement with civil society and other relevant</w:t>
      </w:r>
      <w:r w:rsidRPr="006F72C6">
        <w:rPr>
          <w:rFonts w:ascii="Arial" w:hAnsi="Arial" w:cs="Arial"/>
          <w:b/>
          <w:spacing w:val="-18"/>
          <w:sz w:val="24"/>
        </w:rPr>
        <w:t xml:space="preserve"> </w:t>
      </w:r>
      <w:r w:rsidRPr="006F72C6">
        <w:rPr>
          <w:rFonts w:ascii="Arial" w:hAnsi="Arial" w:cs="Arial"/>
          <w:b/>
          <w:sz w:val="24"/>
        </w:rPr>
        <w:t>stakeholders;</w:t>
      </w:r>
    </w:p>
    <w:p w14:paraId="6203E341" w14:textId="77777777" w:rsidR="007579B8" w:rsidRPr="006F72C6" w:rsidRDefault="007579B8" w:rsidP="006F72C6">
      <w:pPr>
        <w:rPr>
          <w:rFonts w:ascii="Arial" w:hAnsi="Arial" w:cs="Arial"/>
          <w:sz w:val="24"/>
        </w:rPr>
      </w:pPr>
    </w:p>
    <w:p w14:paraId="4A321F3C" w14:textId="7F2034CB" w:rsidR="00956BF3" w:rsidRPr="006F72C6" w:rsidRDefault="007579B8" w:rsidP="006F72C6">
      <w:pPr>
        <w:rPr>
          <w:rFonts w:ascii="Arial" w:hAnsi="Arial" w:cs="Arial"/>
          <w:sz w:val="24"/>
        </w:rPr>
      </w:pPr>
      <w:r w:rsidRPr="006F72C6">
        <w:rPr>
          <w:rFonts w:ascii="Arial" w:hAnsi="Arial" w:cs="Arial"/>
          <w:sz w:val="24"/>
        </w:rPr>
        <w:t xml:space="preserve">Any alignment of working methods in regard to engagement with </w:t>
      </w:r>
      <w:r w:rsidR="0010607C" w:rsidRPr="006F72C6">
        <w:rPr>
          <w:rFonts w:ascii="Arial" w:hAnsi="Arial" w:cs="Arial"/>
          <w:sz w:val="24"/>
        </w:rPr>
        <w:t>civil society</w:t>
      </w:r>
      <w:r w:rsidRPr="006F72C6">
        <w:rPr>
          <w:rFonts w:ascii="Arial" w:hAnsi="Arial" w:cs="Arial"/>
          <w:sz w:val="24"/>
        </w:rPr>
        <w:t xml:space="preserve"> and other relevant stakeholders should be aimed at current best practice. Engagement with </w:t>
      </w:r>
      <w:r w:rsidR="0010607C" w:rsidRPr="006F72C6">
        <w:rPr>
          <w:rFonts w:ascii="Arial" w:hAnsi="Arial" w:cs="Arial"/>
          <w:sz w:val="24"/>
        </w:rPr>
        <w:t>civil society, as integral part of any National Human Rights System,</w:t>
      </w:r>
      <w:r w:rsidRPr="006F72C6">
        <w:rPr>
          <w:rFonts w:ascii="Arial" w:hAnsi="Arial" w:cs="Arial"/>
          <w:sz w:val="24"/>
        </w:rPr>
        <w:t xml:space="preserve"> is key to enhance effectiveness (see above point 1)</w:t>
      </w:r>
      <w:r w:rsidR="0010607C" w:rsidRPr="006F72C6">
        <w:rPr>
          <w:rFonts w:ascii="Arial" w:hAnsi="Arial" w:cs="Arial"/>
          <w:sz w:val="24"/>
        </w:rPr>
        <w:t>.</w:t>
      </w:r>
    </w:p>
    <w:p w14:paraId="7FE52CD7" w14:textId="77777777" w:rsidR="00956BF3" w:rsidRPr="006F72C6" w:rsidRDefault="00956BF3" w:rsidP="006F72C6">
      <w:pPr>
        <w:tabs>
          <w:tab w:val="left" w:pos="1185"/>
        </w:tabs>
        <w:rPr>
          <w:rFonts w:ascii="Arial" w:hAnsi="Arial" w:cs="Arial"/>
          <w:sz w:val="24"/>
        </w:rPr>
      </w:pPr>
    </w:p>
    <w:p w14:paraId="15F63177" w14:textId="77777777" w:rsidR="00927ACA" w:rsidRPr="006F72C6" w:rsidRDefault="00927ACA" w:rsidP="006F72C6">
      <w:pPr>
        <w:pStyle w:val="ListParagraph"/>
        <w:numPr>
          <w:ilvl w:val="0"/>
          <w:numId w:val="1"/>
        </w:numPr>
        <w:tabs>
          <w:tab w:val="left" w:pos="1185"/>
        </w:tabs>
        <w:ind w:right="110"/>
        <w:rPr>
          <w:rFonts w:ascii="Arial" w:hAnsi="Arial" w:cs="Arial"/>
          <w:b/>
          <w:sz w:val="24"/>
        </w:rPr>
      </w:pPr>
      <w:r w:rsidRPr="006F72C6">
        <w:rPr>
          <w:rFonts w:ascii="Arial" w:hAnsi="Arial" w:cs="Arial"/>
          <w:b/>
          <w:sz w:val="24"/>
        </w:rPr>
        <w:t>The capacity-building programme, experiences and impact, in terms of reporting and in terms of national implementation of</w:t>
      </w:r>
      <w:r w:rsidRPr="006F72C6">
        <w:rPr>
          <w:rFonts w:ascii="Arial" w:hAnsi="Arial" w:cs="Arial"/>
          <w:b/>
          <w:spacing w:val="-4"/>
          <w:sz w:val="24"/>
        </w:rPr>
        <w:t xml:space="preserve"> </w:t>
      </w:r>
      <w:r w:rsidRPr="006F72C6">
        <w:rPr>
          <w:rFonts w:ascii="Arial" w:hAnsi="Arial" w:cs="Arial"/>
          <w:b/>
          <w:sz w:val="24"/>
        </w:rPr>
        <w:t>recommendations;</w:t>
      </w:r>
    </w:p>
    <w:p w14:paraId="20D4515D" w14:textId="77777777" w:rsidR="007579B8" w:rsidRPr="006F72C6" w:rsidRDefault="007579B8" w:rsidP="006F72C6">
      <w:pPr>
        <w:tabs>
          <w:tab w:val="left" w:pos="1185"/>
        </w:tabs>
        <w:ind w:right="110"/>
        <w:rPr>
          <w:rFonts w:ascii="Arial" w:hAnsi="Arial" w:cs="Arial"/>
          <w:sz w:val="24"/>
        </w:rPr>
      </w:pPr>
    </w:p>
    <w:p w14:paraId="0C4219EE" w14:textId="5090941F" w:rsidR="007579B8" w:rsidRPr="006F72C6" w:rsidRDefault="000430A2" w:rsidP="006F72C6">
      <w:pPr>
        <w:tabs>
          <w:tab w:val="left" w:pos="1185"/>
        </w:tabs>
        <w:ind w:right="110"/>
        <w:rPr>
          <w:rFonts w:ascii="Arial" w:hAnsi="Arial" w:cs="Arial"/>
          <w:color w:val="FFC000"/>
          <w:sz w:val="24"/>
        </w:rPr>
      </w:pPr>
      <w:r w:rsidRPr="006F72C6">
        <w:rPr>
          <w:rFonts w:ascii="Arial" w:hAnsi="Arial" w:cs="Arial"/>
          <w:sz w:val="24"/>
        </w:rPr>
        <w:t>T</w:t>
      </w:r>
      <w:r w:rsidR="007579B8" w:rsidRPr="006F72C6">
        <w:rPr>
          <w:rFonts w:ascii="Arial" w:hAnsi="Arial" w:cs="Arial"/>
          <w:sz w:val="24"/>
        </w:rPr>
        <w:t>he SG reports do not yet show whether the capacity-building program can be considered a success</w:t>
      </w:r>
      <w:r w:rsidRPr="006F72C6">
        <w:rPr>
          <w:rFonts w:ascii="Arial" w:hAnsi="Arial" w:cs="Arial"/>
          <w:sz w:val="24"/>
        </w:rPr>
        <w:t>, given the resources invested</w:t>
      </w:r>
      <w:r w:rsidR="007579B8" w:rsidRPr="006F72C6">
        <w:rPr>
          <w:rFonts w:ascii="Arial" w:hAnsi="Arial" w:cs="Arial"/>
          <w:sz w:val="24"/>
        </w:rPr>
        <w:t>. To be fair, processes take a long time and full results can only be expected later. A potential expansion of the capacity building program should not necessarily focus on broadening, but in deepening support</w:t>
      </w:r>
      <w:r w:rsidRPr="006F72C6">
        <w:rPr>
          <w:rFonts w:ascii="Arial" w:hAnsi="Arial" w:cs="Arial"/>
          <w:sz w:val="24"/>
        </w:rPr>
        <w:t>.</w:t>
      </w:r>
      <w:r w:rsidR="0010607C" w:rsidRPr="006F72C6">
        <w:rPr>
          <w:rFonts w:ascii="Arial" w:hAnsi="Arial" w:cs="Arial"/>
          <w:sz w:val="24"/>
        </w:rPr>
        <w:t xml:space="preserve"> </w:t>
      </w:r>
      <w:r w:rsidRPr="006F72C6">
        <w:rPr>
          <w:rFonts w:ascii="Arial" w:hAnsi="Arial" w:cs="Arial"/>
          <w:sz w:val="24"/>
        </w:rPr>
        <w:t xml:space="preserve">Though the initial objective of the CBP was to encourage reporting, it is now equally important to support implementation on the ground of the recommendations of the TB’s, </w:t>
      </w:r>
      <w:r w:rsidR="0010607C" w:rsidRPr="006F72C6">
        <w:rPr>
          <w:rFonts w:ascii="Arial" w:hAnsi="Arial" w:cs="Arial"/>
          <w:sz w:val="24"/>
        </w:rPr>
        <w:t xml:space="preserve">linking them additionally to those of </w:t>
      </w:r>
      <w:r w:rsidRPr="006F72C6">
        <w:rPr>
          <w:rFonts w:ascii="Arial" w:hAnsi="Arial" w:cs="Arial"/>
          <w:sz w:val="24"/>
        </w:rPr>
        <w:t>SR and</w:t>
      </w:r>
      <w:r w:rsidR="0010607C" w:rsidRPr="006F72C6">
        <w:rPr>
          <w:rFonts w:ascii="Arial" w:hAnsi="Arial" w:cs="Arial"/>
          <w:sz w:val="24"/>
        </w:rPr>
        <w:t xml:space="preserve"> the</w:t>
      </w:r>
      <w:r w:rsidRPr="006F72C6">
        <w:rPr>
          <w:rFonts w:ascii="Arial" w:hAnsi="Arial" w:cs="Arial"/>
          <w:sz w:val="24"/>
        </w:rPr>
        <w:t xml:space="preserve"> UPR. </w:t>
      </w:r>
    </w:p>
    <w:p w14:paraId="5EE97B54" w14:textId="77777777" w:rsidR="00956BF3" w:rsidRPr="006F72C6" w:rsidRDefault="00956BF3" w:rsidP="006F72C6">
      <w:pPr>
        <w:tabs>
          <w:tab w:val="left" w:pos="1185"/>
        </w:tabs>
        <w:ind w:right="110"/>
        <w:rPr>
          <w:rFonts w:ascii="Arial" w:hAnsi="Arial" w:cs="Arial"/>
          <w:color w:val="FFC000"/>
          <w:sz w:val="24"/>
        </w:rPr>
      </w:pPr>
    </w:p>
    <w:p w14:paraId="3E2D2460" w14:textId="77777777" w:rsidR="00927ACA" w:rsidRPr="006F72C6" w:rsidRDefault="00927ACA" w:rsidP="006F72C6">
      <w:pPr>
        <w:pStyle w:val="ListParagraph"/>
        <w:numPr>
          <w:ilvl w:val="0"/>
          <w:numId w:val="1"/>
        </w:numPr>
        <w:tabs>
          <w:tab w:val="left" w:pos="1185"/>
        </w:tabs>
        <w:ind w:right="111"/>
        <w:rPr>
          <w:rFonts w:ascii="Arial" w:hAnsi="Arial" w:cs="Arial"/>
          <w:b/>
          <w:sz w:val="24"/>
        </w:rPr>
      </w:pPr>
      <w:r w:rsidRPr="006F72C6">
        <w:rPr>
          <w:rFonts w:ascii="Arial" w:hAnsi="Arial" w:cs="Arial"/>
          <w:b/>
          <w:sz w:val="24"/>
        </w:rPr>
        <w:t>Use</w:t>
      </w:r>
      <w:r w:rsidRPr="006F72C6">
        <w:rPr>
          <w:rFonts w:ascii="Arial" w:hAnsi="Arial" w:cs="Arial"/>
          <w:b/>
          <w:spacing w:val="-18"/>
          <w:sz w:val="24"/>
        </w:rPr>
        <w:t xml:space="preserve"> </w:t>
      </w:r>
      <w:r w:rsidRPr="006F72C6">
        <w:rPr>
          <w:rFonts w:ascii="Arial" w:hAnsi="Arial" w:cs="Arial"/>
          <w:b/>
          <w:sz w:val="24"/>
        </w:rPr>
        <w:t>of</w:t>
      </w:r>
      <w:r w:rsidRPr="006F72C6">
        <w:rPr>
          <w:rFonts w:ascii="Arial" w:hAnsi="Arial" w:cs="Arial"/>
          <w:b/>
          <w:spacing w:val="-18"/>
          <w:sz w:val="24"/>
        </w:rPr>
        <w:t xml:space="preserve"> </w:t>
      </w:r>
      <w:r w:rsidRPr="006F72C6">
        <w:rPr>
          <w:rFonts w:ascii="Arial" w:hAnsi="Arial" w:cs="Arial"/>
          <w:b/>
          <w:sz w:val="24"/>
        </w:rPr>
        <w:t>new</w:t>
      </w:r>
      <w:r w:rsidRPr="006F72C6">
        <w:rPr>
          <w:rFonts w:ascii="Arial" w:hAnsi="Arial" w:cs="Arial"/>
          <w:b/>
          <w:spacing w:val="-17"/>
          <w:sz w:val="24"/>
        </w:rPr>
        <w:t xml:space="preserve"> </w:t>
      </w:r>
      <w:r w:rsidRPr="006F72C6">
        <w:rPr>
          <w:rFonts w:ascii="Arial" w:hAnsi="Arial" w:cs="Arial"/>
          <w:b/>
          <w:sz w:val="24"/>
        </w:rPr>
        <w:t>information</w:t>
      </w:r>
      <w:r w:rsidRPr="006F72C6">
        <w:rPr>
          <w:rFonts w:ascii="Arial" w:hAnsi="Arial" w:cs="Arial"/>
          <w:b/>
          <w:spacing w:val="-17"/>
          <w:sz w:val="24"/>
        </w:rPr>
        <w:t xml:space="preserve"> </w:t>
      </w:r>
      <w:r w:rsidRPr="006F72C6">
        <w:rPr>
          <w:rFonts w:ascii="Arial" w:hAnsi="Arial" w:cs="Arial"/>
          <w:b/>
          <w:sz w:val="24"/>
        </w:rPr>
        <w:t>and</w:t>
      </w:r>
      <w:r w:rsidRPr="006F72C6">
        <w:rPr>
          <w:rFonts w:ascii="Arial" w:hAnsi="Arial" w:cs="Arial"/>
          <w:b/>
          <w:spacing w:val="-17"/>
          <w:sz w:val="24"/>
        </w:rPr>
        <w:t xml:space="preserve"> </w:t>
      </w:r>
      <w:r w:rsidRPr="006F72C6">
        <w:rPr>
          <w:rFonts w:ascii="Arial" w:hAnsi="Arial" w:cs="Arial"/>
          <w:b/>
          <w:sz w:val="24"/>
        </w:rPr>
        <w:t>communications</w:t>
      </w:r>
      <w:r w:rsidRPr="006F72C6">
        <w:rPr>
          <w:rFonts w:ascii="Arial" w:hAnsi="Arial" w:cs="Arial"/>
          <w:b/>
          <w:spacing w:val="-16"/>
          <w:sz w:val="24"/>
        </w:rPr>
        <w:t xml:space="preserve"> </w:t>
      </w:r>
      <w:r w:rsidRPr="006F72C6">
        <w:rPr>
          <w:rFonts w:ascii="Arial" w:hAnsi="Arial" w:cs="Arial"/>
          <w:b/>
          <w:sz w:val="24"/>
        </w:rPr>
        <w:t>technologies</w:t>
      </w:r>
      <w:r w:rsidRPr="006F72C6">
        <w:rPr>
          <w:rFonts w:ascii="Arial" w:hAnsi="Arial" w:cs="Arial"/>
          <w:b/>
          <w:spacing w:val="-17"/>
          <w:sz w:val="24"/>
        </w:rPr>
        <w:t xml:space="preserve"> </w:t>
      </w:r>
      <w:r w:rsidRPr="006F72C6">
        <w:rPr>
          <w:rFonts w:ascii="Arial" w:hAnsi="Arial" w:cs="Arial"/>
          <w:b/>
          <w:sz w:val="24"/>
        </w:rPr>
        <w:t>and</w:t>
      </w:r>
      <w:r w:rsidRPr="006F72C6">
        <w:rPr>
          <w:rFonts w:ascii="Arial" w:hAnsi="Arial" w:cs="Arial"/>
          <w:b/>
          <w:spacing w:val="-17"/>
          <w:sz w:val="24"/>
        </w:rPr>
        <w:t xml:space="preserve"> </w:t>
      </w:r>
      <w:r w:rsidRPr="006F72C6">
        <w:rPr>
          <w:rFonts w:ascii="Arial" w:hAnsi="Arial" w:cs="Arial"/>
          <w:b/>
          <w:sz w:val="24"/>
        </w:rPr>
        <w:t>its</w:t>
      </w:r>
      <w:r w:rsidRPr="006F72C6">
        <w:rPr>
          <w:rFonts w:ascii="Arial" w:hAnsi="Arial" w:cs="Arial"/>
          <w:b/>
          <w:spacing w:val="-17"/>
          <w:sz w:val="24"/>
        </w:rPr>
        <w:t xml:space="preserve"> </w:t>
      </w:r>
      <w:r w:rsidRPr="006F72C6">
        <w:rPr>
          <w:rFonts w:ascii="Arial" w:hAnsi="Arial" w:cs="Arial"/>
          <w:b/>
          <w:sz w:val="24"/>
        </w:rPr>
        <w:t>potential</w:t>
      </w:r>
      <w:r w:rsidRPr="006F72C6">
        <w:rPr>
          <w:rFonts w:ascii="Arial" w:hAnsi="Arial" w:cs="Arial"/>
          <w:b/>
          <w:spacing w:val="-16"/>
          <w:sz w:val="24"/>
        </w:rPr>
        <w:t xml:space="preserve"> </w:t>
      </w:r>
      <w:r w:rsidRPr="006F72C6">
        <w:rPr>
          <w:rFonts w:ascii="Arial" w:hAnsi="Arial" w:cs="Arial"/>
          <w:b/>
          <w:sz w:val="24"/>
        </w:rPr>
        <w:t>to</w:t>
      </w:r>
      <w:r w:rsidRPr="006F72C6">
        <w:rPr>
          <w:rFonts w:ascii="Arial" w:hAnsi="Arial" w:cs="Arial"/>
          <w:b/>
          <w:spacing w:val="-17"/>
          <w:sz w:val="24"/>
        </w:rPr>
        <w:t xml:space="preserve"> </w:t>
      </w:r>
      <w:r w:rsidRPr="006F72C6">
        <w:rPr>
          <w:rFonts w:ascii="Arial" w:hAnsi="Arial" w:cs="Arial"/>
          <w:b/>
          <w:sz w:val="24"/>
        </w:rPr>
        <w:t>further increase efficiency and</w:t>
      </w:r>
      <w:r w:rsidRPr="006F72C6">
        <w:rPr>
          <w:rFonts w:ascii="Arial" w:hAnsi="Arial" w:cs="Arial"/>
          <w:b/>
          <w:spacing w:val="-5"/>
          <w:sz w:val="24"/>
        </w:rPr>
        <w:t xml:space="preserve"> </w:t>
      </w:r>
      <w:r w:rsidRPr="006F72C6">
        <w:rPr>
          <w:rFonts w:ascii="Arial" w:hAnsi="Arial" w:cs="Arial"/>
          <w:b/>
          <w:sz w:val="24"/>
        </w:rPr>
        <w:t>accessibility;</w:t>
      </w:r>
    </w:p>
    <w:p w14:paraId="64D94F10" w14:textId="77777777" w:rsidR="00956BF3" w:rsidRPr="006F72C6" w:rsidRDefault="00956BF3" w:rsidP="006F72C6">
      <w:pPr>
        <w:pStyle w:val="ListParagraph"/>
        <w:rPr>
          <w:rFonts w:ascii="Arial" w:hAnsi="Arial" w:cs="Arial"/>
          <w:sz w:val="24"/>
        </w:rPr>
      </w:pPr>
    </w:p>
    <w:p w14:paraId="7FBB10FE" w14:textId="6DA38C8A" w:rsidR="007579B8" w:rsidRPr="006F72C6" w:rsidRDefault="00FD133E"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Disseminate g</w:t>
      </w:r>
      <w:r w:rsidR="007579B8" w:rsidRPr="006F72C6">
        <w:rPr>
          <w:rFonts w:ascii="Arial" w:hAnsi="Arial" w:cs="Arial"/>
          <w:sz w:val="24"/>
        </w:rPr>
        <w:t xml:space="preserve">ood practices </w:t>
      </w:r>
      <w:r w:rsidRPr="006F72C6">
        <w:rPr>
          <w:rFonts w:ascii="Arial" w:hAnsi="Arial" w:cs="Arial"/>
          <w:sz w:val="24"/>
        </w:rPr>
        <w:t xml:space="preserve">to overcome the constraints resulting from </w:t>
      </w:r>
      <w:r w:rsidR="007579B8" w:rsidRPr="006F72C6">
        <w:rPr>
          <w:rFonts w:ascii="Arial" w:hAnsi="Arial" w:cs="Arial"/>
          <w:sz w:val="24"/>
        </w:rPr>
        <w:t>COVID</w:t>
      </w:r>
      <w:r w:rsidR="00304DF0" w:rsidRPr="006F72C6">
        <w:rPr>
          <w:rFonts w:ascii="Arial" w:hAnsi="Arial" w:cs="Arial"/>
          <w:sz w:val="24"/>
        </w:rPr>
        <w:t>, ranging from informal inter-committee coordination</w:t>
      </w:r>
      <w:r w:rsidR="00901531" w:rsidRPr="006F72C6">
        <w:rPr>
          <w:rFonts w:ascii="Arial" w:hAnsi="Arial" w:cs="Arial"/>
          <w:sz w:val="24"/>
        </w:rPr>
        <w:t xml:space="preserve"> to decisions on documents</w:t>
      </w:r>
      <w:r w:rsidR="00304DF0" w:rsidRPr="006F72C6">
        <w:rPr>
          <w:rFonts w:ascii="Arial" w:hAnsi="Arial" w:cs="Arial"/>
          <w:sz w:val="24"/>
        </w:rPr>
        <w:t xml:space="preserve"> to the transfer of sessions online. </w:t>
      </w:r>
    </w:p>
    <w:p w14:paraId="4687EDF6" w14:textId="77777777" w:rsidR="007579B8" w:rsidRPr="006F72C6" w:rsidRDefault="007579B8"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Encourage use</w:t>
      </w:r>
      <w:r w:rsidR="00BF081C" w:rsidRPr="006F72C6">
        <w:rPr>
          <w:rFonts w:ascii="Arial" w:hAnsi="Arial" w:cs="Arial"/>
          <w:sz w:val="24"/>
        </w:rPr>
        <w:t xml:space="preserve"> of virtual meetings, including by ensuring their accessibility, starting with official simultaneous interpretations in each Committees working languages </w:t>
      </w:r>
    </w:p>
    <w:p w14:paraId="67C0E2C9" w14:textId="73813474" w:rsidR="007579B8" w:rsidRPr="006F72C6" w:rsidRDefault="007579B8"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Find proper compensation</w:t>
      </w:r>
      <w:r w:rsidR="00BF081C" w:rsidRPr="006F72C6">
        <w:rPr>
          <w:rFonts w:ascii="Arial" w:hAnsi="Arial" w:cs="Arial"/>
          <w:sz w:val="24"/>
        </w:rPr>
        <w:t>-scheme</w:t>
      </w:r>
      <w:r w:rsidRPr="006F72C6">
        <w:rPr>
          <w:rFonts w:ascii="Arial" w:hAnsi="Arial" w:cs="Arial"/>
          <w:sz w:val="24"/>
        </w:rPr>
        <w:t xml:space="preserve"> for time </w:t>
      </w:r>
      <w:r w:rsidR="00FD133E" w:rsidRPr="006F72C6">
        <w:rPr>
          <w:rFonts w:ascii="Arial" w:hAnsi="Arial" w:cs="Arial"/>
          <w:sz w:val="24"/>
        </w:rPr>
        <w:t xml:space="preserve">spent </w:t>
      </w:r>
      <w:r w:rsidRPr="006F72C6">
        <w:rPr>
          <w:rFonts w:ascii="Arial" w:hAnsi="Arial" w:cs="Arial"/>
          <w:sz w:val="24"/>
        </w:rPr>
        <w:t>in online sessions</w:t>
      </w:r>
    </w:p>
    <w:p w14:paraId="6DC932DA" w14:textId="77777777" w:rsidR="007579B8" w:rsidRPr="006F72C6" w:rsidRDefault="00106C41"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Necessity to ensure privacy and confidentiality especially in engagement with CSOs and victims, when using the generally more accessible online avenues</w:t>
      </w:r>
    </w:p>
    <w:p w14:paraId="5AB0BC5F" w14:textId="77777777" w:rsidR="00956BF3" w:rsidRPr="006F72C6" w:rsidRDefault="00956BF3" w:rsidP="006F72C6">
      <w:pPr>
        <w:pStyle w:val="ListParagraph"/>
        <w:tabs>
          <w:tab w:val="left" w:pos="1185"/>
        </w:tabs>
        <w:spacing w:before="217"/>
        <w:ind w:left="720" w:right="112" w:firstLine="0"/>
        <w:rPr>
          <w:rFonts w:ascii="Arial" w:hAnsi="Arial" w:cs="Arial"/>
          <w:sz w:val="24"/>
        </w:rPr>
      </w:pPr>
    </w:p>
    <w:p w14:paraId="493766FF" w14:textId="77777777" w:rsidR="00927ACA" w:rsidRPr="006F72C6" w:rsidRDefault="00927ACA" w:rsidP="006F72C6">
      <w:pPr>
        <w:pStyle w:val="ListParagraph"/>
        <w:numPr>
          <w:ilvl w:val="0"/>
          <w:numId w:val="1"/>
        </w:numPr>
        <w:tabs>
          <w:tab w:val="left" w:pos="1185"/>
        </w:tabs>
        <w:rPr>
          <w:rFonts w:ascii="Arial" w:hAnsi="Arial" w:cs="Arial"/>
          <w:b/>
          <w:sz w:val="24"/>
        </w:rPr>
      </w:pPr>
      <w:r w:rsidRPr="006F72C6">
        <w:rPr>
          <w:rFonts w:ascii="Arial" w:hAnsi="Arial" w:cs="Arial"/>
          <w:b/>
          <w:sz w:val="24"/>
        </w:rPr>
        <w:t>Opportunity of reviews in countries or in</w:t>
      </w:r>
      <w:r w:rsidRPr="006F72C6">
        <w:rPr>
          <w:rFonts w:ascii="Arial" w:hAnsi="Arial" w:cs="Arial"/>
          <w:b/>
          <w:spacing w:val="-7"/>
          <w:sz w:val="24"/>
        </w:rPr>
        <w:t xml:space="preserve"> </w:t>
      </w:r>
      <w:r w:rsidRPr="006F72C6">
        <w:rPr>
          <w:rFonts w:ascii="Arial" w:hAnsi="Arial" w:cs="Arial"/>
          <w:b/>
          <w:sz w:val="24"/>
        </w:rPr>
        <w:t>regions;</w:t>
      </w:r>
    </w:p>
    <w:p w14:paraId="6D772059" w14:textId="77777777" w:rsidR="00BF081C" w:rsidRPr="006F72C6" w:rsidRDefault="00BF081C" w:rsidP="006F72C6">
      <w:pPr>
        <w:pStyle w:val="ListParagraph"/>
        <w:tabs>
          <w:tab w:val="left" w:pos="1185"/>
        </w:tabs>
        <w:ind w:left="720" w:firstLine="0"/>
        <w:rPr>
          <w:rFonts w:ascii="Arial" w:hAnsi="Arial" w:cs="Arial"/>
          <w:sz w:val="24"/>
        </w:rPr>
      </w:pPr>
    </w:p>
    <w:p w14:paraId="0E20DCC3" w14:textId="2D545175" w:rsidR="00956BF3" w:rsidRPr="006F72C6" w:rsidRDefault="00BF081C"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 xml:space="preserve">CRC experience </w:t>
      </w:r>
      <w:r w:rsidR="0010607C" w:rsidRPr="006F72C6">
        <w:rPr>
          <w:rFonts w:ascii="Arial" w:hAnsi="Arial" w:cs="Arial"/>
          <w:sz w:val="24"/>
        </w:rPr>
        <w:t xml:space="preserve">of a review in Samoa is </w:t>
      </w:r>
      <w:r w:rsidRPr="006F72C6">
        <w:rPr>
          <w:rFonts w:ascii="Arial" w:hAnsi="Arial" w:cs="Arial"/>
          <w:sz w:val="24"/>
        </w:rPr>
        <w:t>encouraging</w:t>
      </w:r>
    </w:p>
    <w:p w14:paraId="7D1F3950" w14:textId="77777777" w:rsidR="00BC6ECC" w:rsidRPr="006F72C6" w:rsidRDefault="00BF081C"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 xml:space="preserve">Continue in emblematic cases, and where resources permit. </w:t>
      </w:r>
    </w:p>
    <w:p w14:paraId="69F0C1F0" w14:textId="1DBEFB7A" w:rsidR="0010607C" w:rsidRPr="006F72C6" w:rsidRDefault="00901531"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It will be a complex task to bring r</w:t>
      </w:r>
      <w:r w:rsidR="00BF081C" w:rsidRPr="006F72C6">
        <w:rPr>
          <w:rFonts w:ascii="Arial" w:hAnsi="Arial" w:cs="Arial"/>
          <w:sz w:val="24"/>
        </w:rPr>
        <w:t xml:space="preserve">egional activities </w:t>
      </w:r>
      <w:r w:rsidRPr="006F72C6">
        <w:rPr>
          <w:rFonts w:ascii="Arial" w:hAnsi="Arial" w:cs="Arial"/>
          <w:sz w:val="24"/>
        </w:rPr>
        <w:t>in line</w:t>
      </w:r>
      <w:r w:rsidR="00FD133E" w:rsidRPr="006F72C6">
        <w:rPr>
          <w:rFonts w:ascii="Arial" w:hAnsi="Arial" w:cs="Arial"/>
          <w:sz w:val="24"/>
        </w:rPr>
        <w:t xml:space="preserve"> </w:t>
      </w:r>
      <w:r w:rsidR="0010607C" w:rsidRPr="006F72C6">
        <w:rPr>
          <w:rFonts w:ascii="Arial" w:hAnsi="Arial" w:cs="Arial"/>
          <w:sz w:val="24"/>
        </w:rPr>
        <w:t xml:space="preserve">with </w:t>
      </w:r>
      <w:r w:rsidRPr="006F72C6">
        <w:rPr>
          <w:rFonts w:ascii="Arial" w:hAnsi="Arial" w:cs="Arial"/>
          <w:sz w:val="24"/>
        </w:rPr>
        <w:t xml:space="preserve">overall reporting schedules, as those would not be aligned according to regional groupings. </w:t>
      </w:r>
      <w:r w:rsidR="00BC6ECC" w:rsidRPr="006F72C6">
        <w:rPr>
          <w:rFonts w:ascii="Arial" w:hAnsi="Arial" w:cs="Arial"/>
          <w:sz w:val="24"/>
        </w:rPr>
        <w:t xml:space="preserve"> </w:t>
      </w:r>
    </w:p>
    <w:p w14:paraId="1DC1E402" w14:textId="75E1FF7B" w:rsidR="00BF081C" w:rsidRPr="006F72C6" w:rsidRDefault="00BC6ECC"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While there exists a nexus with regional activities, there must be clarity on efficiency, effectiveness and prioritization in the event of overlaps</w:t>
      </w:r>
    </w:p>
    <w:p w14:paraId="3254D8ED" w14:textId="3F143E66" w:rsidR="00BF081C" w:rsidRDefault="00BF081C"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 xml:space="preserve">Regional mechanisms provide encouraging examples, but too easily, the nature of global and regional bodies is confounded. </w:t>
      </w:r>
    </w:p>
    <w:p w14:paraId="06AAB423" w14:textId="77777777" w:rsidR="006F72C6" w:rsidRPr="006F72C6" w:rsidRDefault="006F72C6" w:rsidP="006F72C6">
      <w:pPr>
        <w:pStyle w:val="ListParagraph"/>
        <w:tabs>
          <w:tab w:val="left" w:pos="1185"/>
        </w:tabs>
        <w:spacing w:before="217"/>
        <w:ind w:left="720" w:right="112" w:firstLine="0"/>
        <w:rPr>
          <w:rFonts w:ascii="Arial" w:hAnsi="Arial" w:cs="Arial"/>
          <w:sz w:val="24"/>
        </w:rPr>
      </w:pPr>
    </w:p>
    <w:p w14:paraId="7C12B869" w14:textId="77777777" w:rsidR="00BF081C" w:rsidRPr="006F72C6" w:rsidRDefault="00BF081C" w:rsidP="006F72C6">
      <w:pPr>
        <w:pStyle w:val="ListParagraph"/>
        <w:tabs>
          <w:tab w:val="left" w:pos="1185"/>
        </w:tabs>
        <w:ind w:left="720" w:firstLine="0"/>
        <w:rPr>
          <w:rFonts w:ascii="Arial" w:hAnsi="Arial" w:cs="Arial"/>
          <w:sz w:val="24"/>
        </w:rPr>
      </w:pPr>
    </w:p>
    <w:p w14:paraId="3E41BD64" w14:textId="3AE509F7" w:rsidR="00BF081C" w:rsidRDefault="00927ACA" w:rsidP="006F72C6">
      <w:pPr>
        <w:pStyle w:val="ListParagraph"/>
        <w:numPr>
          <w:ilvl w:val="0"/>
          <w:numId w:val="1"/>
        </w:numPr>
        <w:tabs>
          <w:tab w:val="left" w:pos="1185"/>
        </w:tabs>
        <w:ind w:right="108"/>
        <w:rPr>
          <w:rFonts w:ascii="Arial" w:hAnsi="Arial" w:cs="Arial"/>
          <w:b/>
          <w:sz w:val="24"/>
        </w:rPr>
      </w:pPr>
      <w:r w:rsidRPr="006F72C6">
        <w:rPr>
          <w:rFonts w:ascii="Arial" w:hAnsi="Arial" w:cs="Arial"/>
          <w:b/>
          <w:sz w:val="24"/>
        </w:rPr>
        <w:t>Preserve and strengthen the independence and impartiality of treaty body members and ensure diversity in terms of gender, geography, background, expertise, representation of different forms of civilization and principal legal systems, as well as the participation of persons with</w:t>
      </w:r>
      <w:r w:rsidRPr="006F72C6">
        <w:rPr>
          <w:rFonts w:ascii="Arial" w:hAnsi="Arial" w:cs="Arial"/>
          <w:b/>
          <w:spacing w:val="-3"/>
          <w:sz w:val="24"/>
        </w:rPr>
        <w:t xml:space="preserve"> </w:t>
      </w:r>
      <w:r w:rsidRPr="006F72C6">
        <w:rPr>
          <w:rFonts w:ascii="Arial" w:hAnsi="Arial" w:cs="Arial"/>
          <w:b/>
          <w:sz w:val="24"/>
        </w:rPr>
        <w:t>disabilities;</w:t>
      </w:r>
    </w:p>
    <w:p w14:paraId="7FBC1155" w14:textId="77777777" w:rsidR="006F72C6" w:rsidRPr="006F72C6" w:rsidRDefault="006F72C6" w:rsidP="006F72C6">
      <w:pPr>
        <w:pStyle w:val="ListParagraph"/>
        <w:tabs>
          <w:tab w:val="left" w:pos="1185"/>
        </w:tabs>
        <w:ind w:right="108" w:firstLine="0"/>
        <w:rPr>
          <w:rFonts w:ascii="Arial" w:hAnsi="Arial" w:cs="Arial"/>
          <w:b/>
          <w:sz w:val="24"/>
        </w:rPr>
      </w:pPr>
    </w:p>
    <w:p w14:paraId="7B0B7978" w14:textId="37B97980" w:rsidR="00956BF3" w:rsidRPr="006F72C6" w:rsidRDefault="00BF081C"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 xml:space="preserve">Transparent nomination process, along criteria laid out in </w:t>
      </w:r>
      <w:hyperlink r:id="rId17" w:history="1">
        <w:r w:rsidRPr="006F72C6">
          <w:t xml:space="preserve">Addis </w:t>
        </w:r>
        <w:r w:rsidR="00337DDD" w:rsidRPr="006F72C6">
          <w:t>Ababa</w:t>
        </w:r>
        <w:r w:rsidRPr="006F72C6">
          <w:t xml:space="preserve"> Guidelines</w:t>
        </w:r>
      </w:hyperlink>
      <w:r w:rsidRPr="006F72C6">
        <w:rPr>
          <w:rFonts w:ascii="Arial" w:hAnsi="Arial" w:cs="Arial"/>
          <w:sz w:val="24"/>
        </w:rPr>
        <w:t xml:space="preserve"> </w:t>
      </w:r>
    </w:p>
    <w:p w14:paraId="023FF020" w14:textId="41649AD8" w:rsidR="00BF081C" w:rsidRDefault="00BF081C"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No vote trading on non-qualified candidates</w:t>
      </w:r>
    </w:p>
    <w:p w14:paraId="4B952237" w14:textId="77777777" w:rsidR="006F72C6" w:rsidRPr="006F72C6" w:rsidRDefault="006F72C6" w:rsidP="006F72C6">
      <w:pPr>
        <w:pStyle w:val="ListParagraph"/>
        <w:tabs>
          <w:tab w:val="left" w:pos="1185"/>
        </w:tabs>
        <w:spacing w:before="217"/>
        <w:ind w:left="720" w:right="112" w:firstLine="0"/>
        <w:rPr>
          <w:rFonts w:ascii="Arial" w:hAnsi="Arial" w:cs="Arial"/>
          <w:sz w:val="24"/>
        </w:rPr>
      </w:pPr>
    </w:p>
    <w:p w14:paraId="69EBB518" w14:textId="77777777" w:rsidR="00956BF3" w:rsidRPr="006F72C6" w:rsidRDefault="00956BF3" w:rsidP="006F72C6">
      <w:pPr>
        <w:tabs>
          <w:tab w:val="left" w:pos="1185"/>
        </w:tabs>
        <w:ind w:right="108"/>
        <w:rPr>
          <w:rFonts w:ascii="Arial" w:hAnsi="Arial" w:cs="Arial"/>
          <w:sz w:val="24"/>
        </w:rPr>
      </w:pPr>
    </w:p>
    <w:p w14:paraId="128F3FC7" w14:textId="77777777" w:rsidR="00927ACA" w:rsidRPr="006F72C6" w:rsidRDefault="00927ACA" w:rsidP="006F72C6">
      <w:pPr>
        <w:pStyle w:val="ListParagraph"/>
        <w:numPr>
          <w:ilvl w:val="0"/>
          <w:numId w:val="1"/>
        </w:numPr>
        <w:tabs>
          <w:tab w:val="left" w:pos="1185"/>
        </w:tabs>
        <w:rPr>
          <w:rFonts w:ascii="Arial" w:hAnsi="Arial" w:cs="Arial"/>
          <w:b/>
          <w:sz w:val="24"/>
        </w:rPr>
      </w:pPr>
      <w:r w:rsidRPr="006F72C6">
        <w:rPr>
          <w:rFonts w:ascii="Arial" w:hAnsi="Arial" w:cs="Arial"/>
          <w:b/>
          <w:sz w:val="24"/>
        </w:rPr>
        <w:t>Enhancement of the coordinating role of treaty bodies</w:t>
      </w:r>
      <w:r w:rsidRPr="006F72C6">
        <w:rPr>
          <w:rFonts w:ascii="Arial" w:hAnsi="Arial" w:cs="Arial"/>
          <w:b/>
          <w:spacing w:val="-14"/>
          <w:sz w:val="24"/>
        </w:rPr>
        <w:t xml:space="preserve"> </w:t>
      </w:r>
      <w:r w:rsidRPr="006F72C6">
        <w:rPr>
          <w:rFonts w:ascii="Arial" w:hAnsi="Arial" w:cs="Arial"/>
          <w:b/>
          <w:sz w:val="24"/>
        </w:rPr>
        <w:t>Chairpersons;</w:t>
      </w:r>
    </w:p>
    <w:p w14:paraId="1C8E688C" w14:textId="77777777" w:rsidR="00106C41" w:rsidRPr="006F72C6" w:rsidRDefault="00106C41" w:rsidP="006F72C6">
      <w:pPr>
        <w:pStyle w:val="ListParagraph"/>
        <w:tabs>
          <w:tab w:val="left" w:pos="1185"/>
        </w:tabs>
        <w:ind w:firstLine="0"/>
        <w:rPr>
          <w:rFonts w:ascii="Arial" w:hAnsi="Arial" w:cs="Arial"/>
          <w:b/>
          <w:sz w:val="24"/>
        </w:rPr>
      </w:pPr>
    </w:p>
    <w:p w14:paraId="1E4D7FA1" w14:textId="74A1EA75" w:rsidR="00BF081C" w:rsidRPr="006F72C6" w:rsidRDefault="00FD133E"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I</w:t>
      </w:r>
      <w:r w:rsidR="00BF081C" w:rsidRPr="006F72C6">
        <w:rPr>
          <w:rFonts w:ascii="Arial" w:hAnsi="Arial" w:cs="Arial"/>
          <w:sz w:val="24"/>
        </w:rPr>
        <w:t xml:space="preserve">t is in the authority of the Treaty Bodies to decide upon the level of </w:t>
      </w:r>
      <w:r w:rsidR="006F72C6" w:rsidRPr="006F72C6">
        <w:rPr>
          <w:rFonts w:ascii="Arial" w:hAnsi="Arial" w:cs="Arial"/>
          <w:sz w:val="24"/>
        </w:rPr>
        <w:t>decision-making</w:t>
      </w:r>
      <w:r w:rsidRPr="006F72C6">
        <w:rPr>
          <w:rFonts w:ascii="Arial" w:hAnsi="Arial" w:cs="Arial"/>
          <w:sz w:val="24"/>
        </w:rPr>
        <w:t xml:space="preserve"> </w:t>
      </w:r>
      <w:r w:rsidR="00BF081C" w:rsidRPr="006F72C6">
        <w:rPr>
          <w:rFonts w:ascii="Arial" w:hAnsi="Arial" w:cs="Arial"/>
          <w:sz w:val="24"/>
        </w:rPr>
        <w:t xml:space="preserve">authority given to the Chairs. A question of trust, this could be enhanced in following recommendations in point 12 above. </w:t>
      </w:r>
    </w:p>
    <w:p w14:paraId="1E2602E1" w14:textId="3D5B4BEE" w:rsidR="00BF081C" w:rsidRPr="006F72C6" w:rsidRDefault="00BF081C"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 xml:space="preserve">States need to give the opportunity to TB Chairs to consult and coordinate, including outside session time, by providing them with resources for virtual and face-to-face meetings. </w:t>
      </w:r>
      <w:r w:rsidR="006F72C6">
        <w:rPr>
          <w:rFonts w:ascii="Arial" w:hAnsi="Arial" w:cs="Arial"/>
          <w:sz w:val="24"/>
        </w:rPr>
        <w:br/>
      </w:r>
    </w:p>
    <w:p w14:paraId="33493ED7" w14:textId="77777777" w:rsidR="00956BF3" w:rsidRPr="006F72C6" w:rsidRDefault="00956BF3" w:rsidP="006F72C6">
      <w:pPr>
        <w:tabs>
          <w:tab w:val="left" w:pos="1185"/>
        </w:tabs>
        <w:rPr>
          <w:rFonts w:ascii="Arial" w:hAnsi="Arial" w:cs="Arial"/>
          <w:sz w:val="24"/>
        </w:rPr>
      </w:pPr>
    </w:p>
    <w:p w14:paraId="1BFC946D" w14:textId="77777777" w:rsidR="00927ACA" w:rsidRPr="006F72C6" w:rsidRDefault="00927ACA" w:rsidP="006F72C6">
      <w:pPr>
        <w:pStyle w:val="ListParagraph"/>
        <w:numPr>
          <w:ilvl w:val="0"/>
          <w:numId w:val="1"/>
        </w:numPr>
        <w:tabs>
          <w:tab w:val="left" w:pos="1185"/>
        </w:tabs>
        <w:ind w:left="1183" w:right="107" w:hanging="359"/>
        <w:rPr>
          <w:rFonts w:ascii="Arial" w:hAnsi="Arial" w:cs="Arial"/>
          <w:b/>
          <w:sz w:val="24"/>
        </w:rPr>
      </w:pPr>
      <w:r w:rsidRPr="006F72C6">
        <w:rPr>
          <w:rFonts w:ascii="Arial" w:hAnsi="Arial" w:cs="Arial"/>
          <w:b/>
          <w:sz w:val="24"/>
        </w:rPr>
        <w:t>Overall coherence of the treaty body system and the collaboration among treaty bodies as well as within the UN system and with regional monitoring</w:t>
      </w:r>
      <w:r w:rsidRPr="006F72C6">
        <w:rPr>
          <w:rFonts w:ascii="Arial" w:hAnsi="Arial" w:cs="Arial"/>
          <w:b/>
          <w:spacing w:val="-14"/>
          <w:sz w:val="24"/>
        </w:rPr>
        <w:t xml:space="preserve"> </w:t>
      </w:r>
      <w:r w:rsidRPr="006F72C6">
        <w:rPr>
          <w:rFonts w:ascii="Arial" w:hAnsi="Arial" w:cs="Arial"/>
          <w:b/>
          <w:sz w:val="24"/>
        </w:rPr>
        <w:t>bodies;</w:t>
      </w:r>
    </w:p>
    <w:p w14:paraId="43D6D6AA" w14:textId="77777777" w:rsidR="00927ACA" w:rsidRPr="006F72C6" w:rsidRDefault="00927ACA" w:rsidP="006F72C6">
      <w:pPr>
        <w:rPr>
          <w:rFonts w:ascii="Arial" w:hAnsi="Arial" w:cs="Arial"/>
          <w:sz w:val="24"/>
        </w:rPr>
      </w:pPr>
    </w:p>
    <w:p w14:paraId="23F61306" w14:textId="77777777" w:rsidR="00D72A98" w:rsidRPr="006F72C6" w:rsidRDefault="00B367E9"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 xml:space="preserve">Treaty Bodies need to be provided with opportunities for exchange, online and offline. (such as offered by the </w:t>
      </w:r>
      <w:hyperlink r:id="rId18" w:history="1">
        <w:r w:rsidRPr="006F72C6">
          <w:t>Treaty Body Members Platform</w:t>
        </w:r>
      </w:hyperlink>
      <w:r w:rsidRPr="006F72C6">
        <w:rPr>
          <w:rFonts w:ascii="Arial" w:hAnsi="Arial" w:cs="Arial"/>
          <w:sz w:val="24"/>
        </w:rPr>
        <w:t>)</w:t>
      </w:r>
    </w:p>
    <w:p w14:paraId="324489CC" w14:textId="77777777" w:rsidR="00B367E9" w:rsidRPr="006F72C6" w:rsidRDefault="00B367E9"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The main actor ensuring coherence and collaboration is OHCHR, acting as secretariat to all TBs. It’s role needs to be strengthened in this regard, e.g. via a GA resolution</w:t>
      </w:r>
    </w:p>
    <w:p w14:paraId="0A672EEE" w14:textId="5121D77D" w:rsidR="00B367E9" w:rsidRPr="006F72C6" w:rsidRDefault="00B367E9"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 xml:space="preserve">A cross-linked online jurisprudence data-base, including TBs and regional bodies outcomes would facilitate substantive coherence in </w:t>
      </w:r>
      <w:r w:rsidR="001222F4" w:rsidRPr="006F72C6">
        <w:rPr>
          <w:rFonts w:ascii="Arial" w:hAnsi="Arial" w:cs="Arial"/>
          <w:sz w:val="24"/>
        </w:rPr>
        <w:t xml:space="preserve">views </w:t>
      </w:r>
      <w:r w:rsidRPr="006F72C6">
        <w:rPr>
          <w:rFonts w:ascii="Arial" w:hAnsi="Arial" w:cs="Arial"/>
          <w:sz w:val="24"/>
        </w:rPr>
        <w:t>and recommendations.</w:t>
      </w:r>
    </w:p>
    <w:p w14:paraId="33800F71" w14:textId="092E1910" w:rsidR="00B367E9" w:rsidRPr="006F72C6" w:rsidRDefault="00304DF0"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States should make more use of the UPR as f</w:t>
      </w:r>
      <w:r w:rsidR="00B367E9" w:rsidRPr="006F72C6">
        <w:rPr>
          <w:rFonts w:ascii="Arial" w:hAnsi="Arial" w:cs="Arial"/>
          <w:sz w:val="24"/>
        </w:rPr>
        <w:t xml:space="preserve">ollow-up </w:t>
      </w:r>
      <w:r w:rsidRPr="006F72C6">
        <w:rPr>
          <w:rFonts w:ascii="Arial" w:hAnsi="Arial" w:cs="Arial"/>
          <w:sz w:val="24"/>
        </w:rPr>
        <w:t>to TB recommendations and views, focusing questions in particular on implementation thereof.</w:t>
      </w:r>
    </w:p>
    <w:p w14:paraId="52DD379E" w14:textId="20BA8B73" w:rsidR="00B367E9" w:rsidRPr="006F72C6" w:rsidRDefault="00337DDD" w:rsidP="006F72C6">
      <w:pPr>
        <w:pStyle w:val="ListParagraph"/>
        <w:numPr>
          <w:ilvl w:val="0"/>
          <w:numId w:val="4"/>
        </w:numPr>
        <w:tabs>
          <w:tab w:val="left" w:pos="1185"/>
        </w:tabs>
        <w:spacing w:before="217"/>
        <w:ind w:right="112"/>
        <w:rPr>
          <w:rFonts w:ascii="Arial" w:hAnsi="Arial" w:cs="Arial"/>
          <w:sz w:val="24"/>
        </w:rPr>
      </w:pPr>
      <w:r w:rsidRPr="006F72C6">
        <w:rPr>
          <w:rFonts w:ascii="Arial" w:hAnsi="Arial" w:cs="Arial"/>
          <w:sz w:val="24"/>
        </w:rPr>
        <w:t>Coherence across the UN human rights mechanisms would be strengthened by the use of a j</w:t>
      </w:r>
      <w:r w:rsidR="00B367E9" w:rsidRPr="006F72C6">
        <w:rPr>
          <w:rFonts w:ascii="Arial" w:hAnsi="Arial" w:cs="Arial"/>
          <w:sz w:val="24"/>
        </w:rPr>
        <w:t>oint implementation matrix to serve national level</w:t>
      </w:r>
      <w:r w:rsidRPr="006F72C6">
        <w:rPr>
          <w:rFonts w:ascii="Arial" w:hAnsi="Arial" w:cs="Arial"/>
          <w:sz w:val="24"/>
        </w:rPr>
        <w:t xml:space="preserve"> adaptaion</w:t>
      </w:r>
      <w:r w:rsidR="00B367E9" w:rsidRPr="006F72C6">
        <w:rPr>
          <w:rFonts w:ascii="Arial" w:hAnsi="Arial" w:cs="Arial"/>
          <w:sz w:val="24"/>
        </w:rPr>
        <w:t xml:space="preserve">, as suggested in </w:t>
      </w:r>
      <w:hyperlink r:id="rId19" w:history="1">
        <w:r w:rsidR="00B367E9" w:rsidRPr="006F72C6">
          <w:t>our Research Brief</w:t>
        </w:r>
      </w:hyperlink>
      <w:r w:rsidR="00B367E9" w:rsidRPr="006F72C6">
        <w:rPr>
          <w:rFonts w:ascii="Arial" w:hAnsi="Arial" w:cs="Arial"/>
          <w:sz w:val="24"/>
        </w:rPr>
        <w:t xml:space="preserve"> </w:t>
      </w:r>
      <w:r w:rsidRPr="006F72C6">
        <w:rPr>
          <w:rFonts w:ascii="Arial" w:hAnsi="Arial" w:cs="Arial"/>
          <w:sz w:val="24"/>
        </w:rPr>
        <w:t>on this issue.</w:t>
      </w:r>
      <w:r w:rsidR="006F72C6">
        <w:rPr>
          <w:rFonts w:ascii="Arial" w:hAnsi="Arial" w:cs="Arial"/>
          <w:sz w:val="24"/>
        </w:rPr>
        <w:br/>
      </w:r>
    </w:p>
    <w:p w14:paraId="0BAB92E0" w14:textId="77777777" w:rsidR="00B367E9" w:rsidRPr="006F72C6" w:rsidRDefault="00B367E9" w:rsidP="006F72C6">
      <w:pPr>
        <w:rPr>
          <w:rFonts w:ascii="Arial" w:hAnsi="Arial" w:cs="Arial"/>
          <w:sz w:val="24"/>
        </w:rPr>
      </w:pPr>
    </w:p>
    <w:p w14:paraId="502E531F" w14:textId="77777777" w:rsidR="00106C41" w:rsidRPr="006F72C6" w:rsidRDefault="00927ACA" w:rsidP="006F72C6">
      <w:pPr>
        <w:pStyle w:val="ListParagraph"/>
        <w:numPr>
          <w:ilvl w:val="0"/>
          <w:numId w:val="1"/>
        </w:numPr>
        <w:tabs>
          <w:tab w:val="left" w:pos="1184"/>
        </w:tabs>
        <w:spacing w:before="69"/>
        <w:ind w:right="111"/>
        <w:rPr>
          <w:rFonts w:ascii="Arial" w:hAnsi="Arial" w:cs="Arial"/>
          <w:b/>
          <w:sz w:val="24"/>
        </w:rPr>
      </w:pPr>
      <w:r w:rsidRPr="006F72C6">
        <w:rPr>
          <w:rFonts w:ascii="Arial" w:hAnsi="Arial" w:cs="Arial"/>
          <w:b/>
          <w:sz w:val="24"/>
        </w:rPr>
        <w:t>Funding of the treaty body system and ensuring that treaty bodies have an</w:t>
      </w:r>
      <w:r w:rsidRPr="006F72C6">
        <w:rPr>
          <w:rFonts w:ascii="Arial" w:hAnsi="Arial" w:cs="Arial"/>
          <w:b/>
          <w:spacing w:val="-22"/>
          <w:sz w:val="24"/>
        </w:rPr>
        <w:t xml:space="preserve"> </w:t>
      </w:r>
      <w:r w:rsidRPr="006F72C6">
        <w:rPr>
          <w:rFonts w:ascii="Arial" w:hAnsi="Arial" w:cs="Arial"/>
          <w:b/>
          <w:sz w:val="24"/>
        </w:rPr>
        <w:t>adequate allocation of financial and human resources for all their mandated</w:t>
      </w:r>
      <w:r w:rsidRPr="006F72C6">
        <w:rPr>
          <w:rFonts w:ascii="Arial" w:hAnsi="Arial" w:cs="Arial"/>
          <w:b/>
          <w:spacing w:val="-10"/>
          <w:sz w:val="24"/>
        </w:rPr>
        <w:t xml:space="preserve"> </w:t>
      </w:r>
      <w:r w:rsidRPr="006F72C6">
        <w:rPr>
          <w:rFonts w:ascii="Arial" w:hAnsi="Arial" w:cs="Arial"/>
          <w:b/>
          <w:sz w:val="24"/>
        </w:rPr>
        <w:t>activities;</w:t>
      </w:r>
    </w:p>
    <w:p w14:paraId="1C37AB80" w14:textId="77777777" w:rsidR="00106C41" w:rsidRPr="006F72C6" w:rsidRDefault="00106C41" w:rsidP="006F72C6">
      <w:pPr>
        <w:pStyle w:val="ListParagraph"/>
        <w:tabs>
          <w:tab w:val="left" w:pos="1184"/>
        </w:tabs>
        <w:spacing w:before="69"/>
        <w:ind w:left="720" w:right="111" w:firstLine="0"/>
        <w:rPr>
          <w:rFonts w:ascii="Arial" w:hAnsi="Arial" w:cs="Arial"/>
          <w:sz w:val="24"/>
        </w:rPr>
      </w:pPr>
    </w:p>
    <w:p w14:paraId="1EBAFBCF" w14:textId="77777777" w:rsidR="00106C41" w:rsidRPr="006F72C6" w:rsidRDefault="00106C41"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Funding in respect of the formula of 68/268, in particular concerning staff time, not only session time</w:t>
      </w:r>
    </w:p>
    <w:p w14:paraId="065AF16B" w14:textId="77777777" w:rsidR="00106C41" w:rsidRPr="006F72C6" w:rsidRDefault="00106C41"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Adjustment of the formula to include treating individual communications</w:t>
      </w:r>
    </w:p>
    <w:p w14:paraId="69EC58B4" w14:textId="77777777" w:rsidR="00106C41" w:rsidRPr="006F72C6" w:rsidRDefault="00106C41"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 xml:space="preserve">Adjustment of budget based on projection, not (faulty) retrospection </w:t>
      </w:r>
    </w:p>
    <w:p w14:paraId="2B13F27E" w14:textId="77777777" w:rsidR="00106C41" w:rsidRPr="006F72C6" w:rsidRDefault="00106C41" w:rsidP="006F72C6">
      <w:pPr>
        <w:pStyle w:val="ListParagraph"/>
        <w:tabs>
          <w:tab w:val="left" w:pos="1184"/>
        </w:tabs>
        <w:spacing w:before="69"/>
        <w:ind w:right="111" w:firstLine="0"/>
        <w:rPr>
          <w:rFonts w:ascii="Arial" w:hAnsi="Arial" w:cs="Arial"/>
          <w:b/>
          <w:bCs/>
          <w:sz w:val="24"/>
        </w:rPr>
      </w:pPr>
    </w:p>
    <w:p w14:paraId="374AA457" w14:textId="3CBD94A2" w:rsidR="00927ACA" w:rsidRPr="006F72C6" w:rsidRDefault="00927ACA" w:rsidP="006F72C6">
      <w:pPr>
        <w:pStyle w:val="ListParagraph"/>
        <w:numPr>
          <w:ilvl w:val="0"/>
          <w:numId w:val="1"/>
        </w:numPr>
        <w:tabs>
          <w:tab w:val="left" w:pos="1184"/>
        </w:tabs>
        <w:ind w:right="110"/>
        <w:rPr>
          <w:rFonts w:ascii="Arial" w:hAnsi="Arial" w:cs="Arial"/>
          <w:b/>
          <w:bCs/>
          <w:sz w:val="24"/>
        </w:rPr>
      </w:pPr>
      <w:r w:rsidRPr="006F72C6">
        <w:rPr>
          <w:rFonts w:ascii="Arial" w:hAnsi="Arial" w:cs="Arial"/>
          <w:b/>
          <w:bCs/>
          <w:sz w:val="24"/>
        </w:rPr>
        <w:t>Current system of processing individual communications, inter-State communications and urgent actions: its efficiency, effectiveness, strengths and weaknesses; suggestions for its further</w:t>
      </w:r>
      <w:r w:rsidRPr="006F72C6">
        <w:rPr>
          <w:rFonts w:ascii="Arial" w:hAnsi="Arial" w:cs="Arial"/>
          <w:b/>
          <w:bCs/>
          <w:spacing w:val="-3"/>
          <w:sz w:val="24"/>
        </w:rPr>
        <w:t xml:space="preserve"> </w:t>
      </w:r>
      <w:r w:rsidRPr="006F72C6">
        <w:rPr>
          <w:rFonts w:ascii="Arial" w:hAnsi="Arial" w:cs="Arial"/>
          <w:b/>
          <w:bCs/>
          <w:sz w:val="24"/>
        </w:rPr>
        <w:t>improvement;</w:t>
      </w:r>
    </w:p>
    <w:p w14:paraId="4FFBECDB" w14:textId="77777777" w:rsidR="00337DDD" w:rsidRPr="006F72C6" w:rsidRDefault="00337DDD" w:rsidP="006F72C6">
      <w:pPr>
        <w:pStyle w:val="ListParagraph"/>
        <w:tabs>
          <w:tab w:val="left" w:pos="1184"/>
        </w:tabs>
        <w:ind w:right="110" w:firstLine="0"/>
        <w:rPr>
          <w:rFonts w:ascii="Arial" w:hAnsi="Arial" w:cs="Arial"/>
          <w:b/>
          <w:bCs/>
          <w:sz w:val="24"/>
        </w:rPr>
      </w:pPr>
    </w:p>
    <w:p w14:paraId="3CD88625" w14:textId="05EF0B65" w:rsidR="00337DDD" w:rsidRPr="006F72C6" w:rsidRDefault="00337DDD" w:rsidP="006F72C6">
      <w:pPr>
        <w:tabs>
          <w:tab w:val="left" w:pos="1184"/>
        </w:tabs>
        <w:ind w:right="110"/>
        <w:rPr>
          <w:rFonts w:ascii="Arial" w:hAnsi="Arial" w:cs="Arial"/>
          <w:sz w:val="24"/>
        </w:rPr>
      </w:pPr>
      <w:r w:rsidRPr="006F72C6">
        <w:rPr>
          <w:rFonts w:ascii="Arial" w:hAnsi="Arial" w:cs="Arial"/>
          <w:sz w:val="24"/>
        </w:rPr>
        <w:t xml:space="preserve">The IC system is already currently treating a high number of cases per year and shows important results. Given the increase of its use, and the growing backlog of cases (see SG report)  it needs to be adequately resourced. To function well, two major updates are needed: </w:t>
      </w:r>
    </w:p>
    <w:p w14:paraId="3C1BD3BB" w14:textId="601FB1A8" w:rsidR="00337DDD" w:rsidRPr="006F72C6" w:rsidRDefault="00337DDD"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A modern (digital) case management system linked to a jurisprudence data-base;</w:t>
      </w:r>
    </w:p>
    <w:p w14:paraId="6CFF5898" w14:textId="483880F3" w:rsidR="00337DDD" w:rsidRPr="006F72C6" w:rsidRDefault="00337DDD"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A clear streamlined procedure, clearly setting out the functions and mandate of secretariat support, and a joint template for communications under all treaties.</w:t>
      </w:r>
    </w:p>
    <w:p w14:paraId="3AB7CA43" w14:textId="4FE02D84" w:rsidR="00337DDD" w:rsidRPr="006F72C6" w:rsidRDefault="00337DDD"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 xml:space="preserve">Specific suggestions regarding the improvement of the IC system are detailed in our publication: </w:t>
      </w:r>
      <w:hyperlink r:id="rId20" w:history="1">
        <w:r w:rsidRPr="006F72C6">
          <w:rPr>
            <w:rStyle w:val="Hyperlink"/>
            <w:rFonts w:ascii="Arial" w:hAnsi="Arial" w:cs="Arial"/>
            <w:sz w:val="24"/>
          </w:rPr>
          <w:t>Treaty Bodies Individual Communication Procedures</w:t>
        </w:r>
      </w:hyperlink>
      <w:r w:rsidRPr="006F72C6">
        <w:rPr>
          <w:rStyle w:val="Hyperlink"/>
          <w:rFonts w:ascii="Arial" w:hAnsi="Arial" w:cs="Arial"/>
          <w:sz w:val="24"/>
        </w:rPr>
        <w:t xml:space="preserve">. </w:t>
      </w:r>
    </w:p>
    <w:p w14:paraId="458F6BE8" w14:textId="610402E9" w:rsidR="00106C41" w:rsidRPr="006F72C6" w:rsidRDefault="006F72C6" w:rsidP="006F72C6">
      <w:pPr>
        <w:pStyle w:val="ListParagraph"/>
        <w:tabs>
          <w:tab w:val="left" w:pos="1184"/>
        </w:tabs>
        <w:ind w:right="110" w:firstLine="0"/>
        <w:rPr>
          <w:rFonts w:ascii="Arial" w:hAnsi="Arial" w:cs="Arial"/>
          <w:sz w:val="24"/>
        </w:rPr>
      </w:pPr>
      <w:r>
        <w:rPr>
          <w:rFonts w:ascii="Arial" w:hAnsi="Arial" w:cs="Arial"/>
          <w:sz w:val="24"/>
        </w:rPr>
        <w:br/>
      </w:r>
    </w:p>
    <w:p w14:paraId="2A2B7601" w14:textId="77777777" w:rsidR="00927ACA" w:rsidRPr="006F72C6" w:rsidRDefault="00927ACA" w:rsidP="006F72C6">
      <w:pPr>
        <w:pStyle w:val="ListParagraph"/>
        <w:numPr>
          <w:ilvl w:val="0"/>
          <w:numId w:val="1"/>
        </w:numPr>
        <w:tabs>
          <w:tab w:val="left" w:pos="1184"/>
        </w:tabs>
        <w:ind w:right="111"/>
        <w:rPr>
          <w:rFonts w:ascii="Arial" w:hAnsi="Arial" w:cs="Arial"/>
          <w:b/>
          <w:bCs/>
          <w:sz w:val="24"/>
        </w:rPr>
      </w:pPr>
      <w:r w:rsidRPr="006F72C6">
        <w:rPr>
          <w:rFonts w:ascii="Arial" w:hAnsi="Arial" w:cs="Arial"/>
          <w:b/>
          <w:bCs/>
          <w:sz w:val="24"/>
        </w:rPr>
        <w:t>Accessibility for persons with disabilities and wider accessibility and visibility of the work of the treaty</w:t>
      </w:r>
      <w:r w:rsidRPr="006F72C6">
        <w:rPr>
          <w:rFonts w:ascii="Arial" w:hAnsi="Arial" w:cs="Arial"/>
          <w:b/>
          <w:bCs/>
          <w:spacing w:val="-8"/>
          <w:sz w:val="24"/>
        </w:rPr>
        <w:t xml:space="preserve"> </w:t>
      </w:r>
      <w:r w:rsidRPr="006F72C6">
        <w:rPr>
          <w:rFonts w:ascii="Arial" w:hAnsi="Arial" w:cs="Arial"/>
          <w:b/>
          <w:bCs/>
          <w:sz w:val="24"/>
        </w:rPr>
        <w:t>bodies;</w:t>
      </w:r>
    </w:p>
    <w:p w14:paraId="217875A4" w14:textId="77777777" w:rsidR="00337DDD" w:rsidRPr="006F72C6" w:rsidRDefault="00337DDD" w:rsidP="006F72C6">
      <w:pPr>
        <w:rPr>
          <w:rFonts w:ascii="Arial" w:hAnsi="Arial" w:cs="Arial"/>
          <w:sz w:val="24"/>
        </w:rPr>
      </w:pPr>
    </w:p>
    <w:p w14:paraId="29CE79C4" w14:textId="7EA1EDFD" w:rsidR="002C62AF" w:rsidRPr="006F72C6" w:rsidRDefault="00337DDD" w:rsidP="006F72C6">
      <w:pPr>
        <w:rPr>
          <w:rFonts w:ascii="Arial" w:hAnsi="Arial" w:cs="Arial"/>
          <w:sz w:val="24"/>
        </w:rPr>
      </w:pPr>
      <w:r w:rsidRPr="006F72C6">
        <w:rPr>
          <w:rFonts w:ascii="Arial" w:hAnsi="Arial" w:cs="Arial"/>
          <w:sz w:val="24"/>
        </w:rPr>
        <w:t xml:space="preserve">Accessibility needs to be implemented across the system, not only in CRPD. </w:t>
      </w:r>
      <w:r w:rsidR="002C62AF" w:rsidRPr="006F72C6">
        <w:rPr>
          <w:rFonts w:ascii="Arial" w:hAnsi="Arial" w:cs="Arial"/>
          <w:sz w:val="24"/>
        </w:rPr>
        <w:t>Moves to digital participation offer great opportunities in this regard. Further aspects of accessibility include the visa policy of the host country where TB sessions are held.</w:t>
      </w:r>
    </w:p>
    <w:p w14:paraId="253410C0" w14:textId="77777777" w:rsidR="002C62AF" w:rsidRPr="006F72C6" w:rsidRDefault="002C62AF" w:rsidP="006F72C6">
      <w:pPr>
        <w:rPr>
          <w:rFonts w:ascii="Arial" w:hAnsi="Arial" w:cs="Arial"/>
          <w:sz w:val="24"/>
        </w:rPr>
      </w:pPr>
    </w:p>
    <w:p w14:paraId="605ACC38" w14:textId="652036BE" w:rsidR="00106C41" w:rsidRDefault="002C62AF" w:rsidP="006F72C6">
      <w:pPr>
        <w:rPr>
          <w:rFonts w:ascii="Arial" w:hAnsi="Arial" w:cs="Arial"/>
          <w:sz w:val="24"/>
        </w:rPr>
      </w:pPr>
      <w:r w:rsidRPr="006F72C6">
        <w:rPr>
          <w:rFonts w:ascii="Arial" w:hAnsi="Arial" w:cs="Arial"/>
          <w:sz w:val="24"/>
        </w:rPr>
        <w:t>Visibility of TBs depends on many factors. While dedicated communication services are a necessary step, this is not sufficient. TBs will become more visible, if their impact is growing</w:t>
      </w:r>
      <w:r w:rsidR="0085798C" w:rsidRPr="006F72C6">
        <w:rPr>
          <w:rFonts w:ascii="Arial" w:hAnsi="Arial" w:cs="Arial"/>
          <w:sz w:val="24"/>
        </w:rPr>
        <w:t>, including through consistent and predicable engagements with national level actors, more so in the follow up stage</w:t>
      </w:r>
      <w:r w:rsidRPr="006F72C6">
        <w:rPr>
          <w:rFonts w:ascii="Arial" w:hAnsi="Arial" w:cs="Arial"/>
          <w:sz w:val="24"/>
        </w:rPr>
        <w:t>. Further, a clustering of reports and reviews, along with a predictable reporting schedule will allow media and civil society to focus and strengthen the visibility.</w:t>
      </w:r>
    </w:p>
    <w:p w14:paraId="1FE10791" w14:textId="77777777" w:rsidR="006F72C6" w:rsidRPr="006F72C6" w:rsidRDefault="006F72C6" w:rsidP="006F72C6">
      <w:pPr>
        <w:rPr>
          <w:rFonts w:ascii="Arial" w:hAnsi="Arial" w:cs="Arial"/>
          <w:sz w:val="24"/>
        </w:rPr>
      </w:pPr>
    </w:p>
    <w:p w14:paraId="1659619B" w14:textId="77777777" w:rsidR="00106C41" w:rsidRPr="006F72C6" w:rsidRDefault="00106C41" w:rsidP="006F72C6">
      <w:pPr>
        <w:pStyle w:val="ListParagraph"/>
        <w:tabs>
          <w:tab w:val="left" w:pos="1184"/>
        </w:tabs>
        <w:ind w:right="111" w:firstLine="0"/>
        <w:rPr>
          <w:rFonts w:ascii="Arial" w:hAnsi="Arial" w:cs="Arial"/>
          <w:sz w:val="24"/>
        </w:rPr>
      </w:pPr>
    </w:p>
    <w:p w14:paraId="7E0221F0" w14:textId="77777777" w:rsidR="00927ACA" w:rsidRPr="006F72C6" w:rsidRDefault="00927ACA" w:rsidP="006F72C6">
      <w:pPr>
        <w:pStyle w:val="ListParagraph"/>
        <w:numPr>
          <w:ilvl w:val="0"/>
          <w:numId w:val="1"/>
        </w:numPr>
        <w:tabs>
          <w:tab w:val="left" w:pos="1184"/>
        </w:tabs>
        <w:rPr>
          <w:rFonts w:ascii="Arial" w:hAnsi="Arial" w:cs="Arial"/>
          <w:b/>
          <w:bCs/>
          <w:sz w:val="24"/>
        </w:rPr>
      </w:pPr>
      <w:r w:rsidRPr="006F72C6">
        <w:rPr>
          <w:rFonts w:ascii="Arial" w:hAnsi="Arial" w:cs="Arial"/>
          <w:b/>
          <w:bCs/>
          <w:sz w:val="24"/>
        </w:rPr>
        <w:t>Efficient and effective use of the meetings of States</w:t>
      </w:r>
      <w:r w:rsidRPr="006F72C6">
        <w:rPr>
          <w:rFonts w:ascii="Arial" w:hAnsi="Arial" w:cs="Arial"/>
          <w:b/>
          <w:bCs/>
          <w:spacing w:val="-6"/>
          <w:sz w:val="24"/>
        </w:rPr>
        <w:t xml:space="preserve"> </w:t>
      </w:r>
      <w:r w:rsidRPr="006F72C6">
        <w:rPr>
          <w:rFonts w:ascii="Arial" w:hAnsi="Arial" w:cs="Arial"/>
          <w:b/>
          <w:bCs/>
          <w:sz w:val="24"/>
        </w:rPr>
        <w:t>parties.</w:t>
      </w:r>
    </w:p>
    <w:p w14:paraId="63A0BA97" w14:textId="7077A7A0" w:rsidR="00BF081C" w:rsidRPr="006F72C6" w:rsidRDefault="00BF081C" w:rsidP="006F72C6">
      <w:pPr>
        <w:rPr>
          <w:rFonts w:ascii="Arial" w:hAnsi="Arial" w:cs="Arial"/>
          <w:sz w:val="24"/>
        </w:rPr>
      </w:pPr>
    </w:p>
    <w:p w14:paraId="39668F60" w14:textId="53FC6AB0" w:rsidR="002C62AF" w:rsidRDefault="002C62AF" w:rsidP="006F72C6">
      <w:pPr>
        <w:rPr>
          <w:rFonts w:ascii="Arial" w:hAnsi="Arial" w:cs="Arial"/>
          <w:color w:val="00B050"/>
          <w:sz w:val="24"/>
        </w:rPr>
      </w:pPr>
      <w:r w:rsidRPr="006F72C6">
        <w:rPr>
          <w:rFonts w:ascii="Arial" w:hAnsi="Arial" w:cs="Arial"/>
          <w:sz w:val="24"/>
        </w:rPr>
        <w:t>Taking decisions on funding in a system-wide resolution was a positive step forward to strengthen cooperation and coherence. Thus</w:t>
      </w:r>
      <w:r w:rsidR="004A696B" w:rsidRPr="006F72C6">
        <w:rPr>
          <w:rFonts w:ascii="Arial" w:hAnsi="Arial" w:cs="Arial"/>
          <w:sz w:val="24"/>
        </w:rPr>
        <w:t>,</w:t>
      </w:r>
      <w:r w:rsidRPr="006F72C6">
        <w:rPr>
          <w:rFonts w:ascii="Arial" w:hAnsi="Arial" w:cs="Arial"/>
          <w:sz w:val="24"/>
        </w:rPr>
        <w:t xml:space="preserve"> the State party meetings could mainly serve to present and discuss nominations for membership, and to comment on the development of understanding and </w:t>
      </w:r>
      <w:r w:rsidR="004A696B" w:rsidRPr="006F72C6">
        <w:rPr>
          <w:rFonts w:ascii="Arial" w:hAnsi="Arial" w:cs="Arial"/>
          <w:sz w:val="24"/>
        </w:rPr>
        <w:t>interpretation</w:t>
      </w:r>
      <w:r w:rsidRPr="006F72C6">
        <w:rPr>
          <w:rFonts w:ascii="Arial" w:hAnsi="Arial" w:cs="Arial"/>
          <w:sz w:val="24"/>
        </w:rPr>
        <w:t xml:space="preserve"> of the legal provisions contained in the specific treaty</w:t>
      </w:r>
      <w:r w:rsidR="004A696B" w:rsidRPr="006F72C6">
        <w:rPr>
          <w:rFonts w:ascii="Arial" w:hAnsi="Arial" w:cs="Arial"/>
          <w:sz w:val="24"/>
        </w:rPr>
        <w:t xml:space="preserve"> by the treaty body</w:t>
      </w:r>
      <w:r w:rsidR="006325DA" w:rsidRPr="006F72C6">
        <w:rPr>
          <w:rFonts w:ascii="Arial" w:hAnsi="Arial" w:cs="Arial"/>
          <w:sz w:val="24"/>
        </w:rPr>
        <w:t>.</w:t>
      </w:r>
      <w:r w:rsidR="00F705AF" w:rsidRPr="006F72C6">
        <w:rPr>
          <w:rFonts w:ascii="Arial" w:hAnsi="Arial" w:cs="Arial"/>
          <w:color w:val="00B050"/>
          <w:sz w:val="24"/>
        </w:rPr>
        <w:t xml:space="preserve"> </w:t>
      </w:r>
    </w:p>
    <w:p w14:paraId="1595D2DB" w14:textId="77777777" w:rsidR="006F72C6" w:rsidRPr="006F72C6" w:rsidRDefault="006F72C6" w:rsidP="006F72C6">
      <w:pPr>
        <w:rPr>
          <w:rFonts w:ascii="Arial" w:hAnsi="Arial" w:cs="Arial"/>
          <w:color w:val="00B050"/>
          <w:sz w:val="24"/>
        </w:rPr>
      </w:pPr>
    </w:p>
    <w:p w14:paraId="6E3F605F" w14:textId="77777777" w:rsidR="002C62AF" w:rsidRPr="006F72C6" w:rsidRDefault="002C62AF" w:rsidP="006F72C6">
      <w:pPr>
        <w:rPr>
          <w:rFonts w:ascii="Arial" w:hAnsi="Arial" w:cs="Arial"/>
          <w:color w:val="00B050"/>
        </w:rPr>
      </w:pPr>
    </w:p>
    <w:p w14:paraId="2823219A" w14:textId="77777777" w:rsidR="00BF081C" w:rsidRPr="006F72C6" w:rsidRDefault="00BF081C" w:rsidP="006F72C6">
      <w:pPr>
        <w:rPr>
          <w:rFonts w:ascii="Arial" w:hAnsi="Arial" w:cs="Arial"/>
          <w:b/>
          <w:bCs/>
          <w:sz w:val="24"/>
        </w:rPr>
      </w:pPr>
      <w:r w:rsidRPr="006F72C6">
        <w:rPr>
          <w:rFonts w:ascii="Arial" w:hAnsi="Arial" w:cs="Arial"/>
          <w:b/>
          <w:bCs/>
          <w:sz w:val="24"/>
        </w:rPr>
        <w:t xml:space="preserve">Additionally, we would like to share the following considerations on the way forward: </w:t>
      </w:r>
    </w:p>
    <w:p w14:paraId="66CCD640" w14:textId="77777777" w:rsidR="00BF081C" w:rsidRPr="006F72C6" w:rsidRDefault="00BF081C" w:rsidP="006F72C6">
      <w:pPr>
        <w:rPr>
          <w:rFonts w:ascii="Arial" w:hAnsi="Arial" w:cs="Arial"/>
          <w:sz w:val="24"/>
        </w:rPr>
      </w:pPr>
    </w:p>
    <w:p w14:paraId="764A1438" w14:textId="77777777" w:rsidR="0079162C" w:rsidRPr="006F72C6" w:rsidRDefault="002C62AF" w:rsidP="006F72C6">
      <w:pPr>
        <w:rPr>
          <w:rFonts w:ascii="Arial" w:hAnsi="Arial" w:cs="Arial"/>
          <w:sz w:val="24"/>
        </w:rPr>
      </w:pPr>
      <w:r w:rsidRPr="006F72C6">
        <w:rPr>
          <w:rFonts w:ascii="Arial" w:hAnsi="Arial" w:cs="Arial"/>
          <w:sz w:val="24"/>
        </w:rPr>
        <w:t>The o</w:t>
      </w:r>
      <w:r w:rsidR="00BF081C" w:rsidRPr="006F72C6">
        <w:rPr>
          <w:rFonts w:ascii="Arial" w:hAnsi="Arial" w:cs="Arial"/>
          <w:sz w:val="24"/>
        </w:rPr>
        <w:t xml:space="preserve">utcome </w:t>
      </w:r>
      <w:r w:rsidRPr="006F72C6">
        <w:rPr>
          <w:rFonts w:ascii="Arial" w:hAnsi="Arial" w:cs="Arial"/>
          <w:sz w:val="24"/>
        </w:rPr>
        <w:t xml:space="preserve">document of the </w:t>
      </w:r>
      <w:r w:rsidR="00BF081C" w:rsidRPr="006F72C6">
        <w:rPr>
          <w:rFonts w:ascii="Arial" w:hAnsi="Arial" w:cs="Arial"/>
          <w:sz w:val="24"/>
        </w:rPr>
        <w:t xml:space="preserve">consultation </w:t>
      </w:r>
      <w:r w:rsidRPr="006F72C6">
        <w:rPr>
          <w:rFonts w:ascii="Arial" w:hAnsi="Arial" w:cs="Arial"/>
          <w:sz w:val="24"/>
        </w:rPr>
        <w:t>should address all the aspects given above. Yet, this is only part of the</w:t>
      </w:r>
      <w:r w:rsidR="00BF081C" w:rsidRPr="006F72C6">
        <w:rPr>
          <w:rFonts w:ascii="Arial" w:hAnsi="Arial" w:cs="Arial"/>
          <w:sz w:val="24"/>
        </w:rPr>
        <w:t xml:space="preserve"> review process</w:t>
      </w:r>
      <w:r w:rsidRPr="006F72C6">
        <w:rPr>
          <w:rFonts w:ascii="Arial" w:hAnsi="Arial" w:cs="Arial"/>
          <w:sz w:val="24"/>
        </w:rPr>
        <w:t>. State action in a potential UNGA resolution in follow-up to 68/268 needs to zoom in on fewer issues, where the GA has a mandate to undertake changes.</w:t>
      </w:r>
    </w:p>
    <w:p w14:paraId="1CE90662" w14:textId="77777777" w:rsidR="0079162C" w:rsidRPr="006F72C6" w:rsidRDefault="0079162C" w:rsidP="006F72C6">
      <w:pPr>
        <w:rPr>
          <w:rFonts w:ascii="Arial" w:hAnsi="Arial" w:cs="Arial"/>
          <w:sz w:val="24"/>
        </w:rPr>
      </w:pPr>
    </w:p>
    <w:p w14:paraId="25A750B9" w14:textId="32A69EA4" w:rsidR="00BF081C" w:rsidRPr="006F72C6" w:rsidRDefault="002C62AF" w:rsidP="006F72C6">
      <w:pPr>
        <w:rPr>
          <w:rFonts w:ascii="Arial" w:hAnsi="Arial" w:cs="Arial"/>
          <w:sz w:val="24"/>
        </w:rPr>
      </w:pPr>
      <w:r w:rsidRPr="006F72C6">
        <w:rPr>
          <w:rFonts w:ascii="Arial" w:hAnsi="Arial" w:cs="Arial"/>
          <w:sz w:val="24"/>
        </w:rPr>
        <w:t>In an ev</w:t>
      </w:r>
      <w:r w:rsidR="00BF081C" w:rsidRPr="006F72C6">
        <w:rPr>
          <w:rFonts w:ascii="Arial" w:hAnsi="Arial" w:cs="Arial"/>
          <w:sz w:val="24"/>
        </w:rPr>
        <w:t>entual resolution</w:t>
      </w:r>
      <w:r w:rsidRPr="006F72C6">
        <w:rPr>
          <w:rFonts w:ascii="Arial" w:hAnsi="Arial" w:cs="Arial"/>
          <w:sz w:val="24"/>
        </w:rPr>
        <w:t xml:space="preserve">, </w:t>
      </w:r>
      <w:r w:rsidR="00BF081C" w:rsidRPr="006F72C6">
        <w:rPr>
          <w:rFonts w:ascii="Arial" w:hAnsi="Arial" w:cs="Arial"/>
          <w:sz w:val="24"/>
        </w:rPr>
        <w:t xml:space="preserve">States can </w:t>
      </w:r>
    </w:p>
    <w:p w14:paraId="1ED09B8E" w14:textId="0C0BFE99" w:rsidR="00BF081C" w:rsidRPr="006F72C6" w:rsidRDefault="00BF081C"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Commit to collective action</w:t>
      </w:r>
      <w:r w:rsidR="006F72C6">
        <w:rPr>
          <w:rFonts w:ascii="Arial" w:hAnsi="Arial" w:cs="Arial"/>
          <w:sz w:val="24"/>
        </w:rPr>
        <w:t>,</w:t>
      </w:r>
    </w:p>
    <w:p w14:paraId="43EC61F7" w14:textId="61FCDBF0" w:rsidR="00BF081C" w:rsidRPr="006F72C6" w:rsidRDefault="00BF081C"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Encourage bilateral state action</w:t>
      </w:r>
      <w:r w:rsidR="006F72C6">
        <w:rPr>
          <w:rFonts w:ascii="Arial" w:hAnsi="Arial" w:cs="Arial"/>
          <w:sz w:val="24"/>
        </w:rPr>
        <w:t>,</w:t>
      </w:r>
    </w:p>
    <w:p w14:paraId="5E77103A" w14:textId="5C985E56" w:rsidR="00BF081C" w:rsidRPr="006F72C6" w:rsidRDefault="00BF081C"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 xml:space="preserve">Recommend to TBs and TBMs to do </w:t>
      </w:r>
      <w:r w:rsidR="006F72C6">
        <w:rPr>
          <w:rFonts w:ascii="Arial" w:hAnsi="Arial" w:cs="Arial"/>
          <w:sz w:val="24"/>
        </w:rPr>
        <w:t>something,</w:t>
      </w:r>
    </w:p>
    <w:p w14:paraId="18B67690" w14:textId="52BFCA7C" w:rsidR="006325DA" w:rsidRPr="006F72C6" w:rsidRDefault="00901531" w:rsidP="006F72C6">
      <w:pPr>
        <w:pStyle w:val="ListParagraph"/>
        <w:numPr>
          <w:ilvl w:val="0"/>
          <w:numId w:val="4"/>
        </w:numPr>
        <w:tabs>
          <w:tab w:val="left" w:pos="1184"/>
        </w:tabs>
        <w:spacing w:before="217"/>
        <w:ind w:right="112"/>
        <w:rPr>
          <w:rFonts w:ascii="Arial" w:hAnsi="Arial" w:cs="Arial"/>
          <w:sz w:val="24"/>
        </w:rPr>
      </w:pPr>
      <w:r w:rsidRPr="006F72C6">
        <w:rPr>
          <w:rFonts w:ascii="Arial" w:hAnsi="Arial" w:cs="Arial"/>
          <w:sz w:val="24"/>
        </w:rPr>
        <w:t>Concretize the m</w:t>
      </w:r>
      <w:r w:rsidR="00BF081C" w:rsidRPr="006F72C6">
        <w:rPr>
          <w:rFonts w:ascii="Arial" w:hAnsi="Arial" w:cs="Arial"/>
          <w:sz w:val="24"/>
        </w:rPr>
        <w:t xml:space="preserve">andate to the UN </w:t>
      </w:r>
      <w:r w:rsidR="006325DA" w:rsidRPr="006F72C6">
        <w:rPr>
          <w:rFonts w:ascii="Arial" w:hAnsi="Arial" w:cs="Arial"/>
          <w:sz w:val="24"/>
        </w:rPr>
        <w:t>Secretary-General</w:t>
      </w:r>
      <w:r w:rsidR="00BF081C" w:rsidRPr="006F72C6">
        <w:rPr>
          <w:rFonts w:ascii="Arial" w:hAnsi="Arial" w:cs="Arial"/>
          <w:sz w:val="24"/>
        </w:rPr>
        <w:t>,</w:t>
      </w:r>
      <w:r w:rsidR="006325DA" w:rsidRPr="006F72C6">
        <w:rPr>
          <w:rFonts w:ascii="Arial" w:hAnsi="Arial" w:cs="Arial"/>
          <w:sz w:val="24"/>
        </w:rPr>
        <w:t xml:space="preserve"> and through him to OHCHR as part of the UN Secretariat</w:t>
      </w:r>
      <w:r w:rsidR="00BF081C" w:rsidRPr="006F72C6">
        <w:rPr>
          <w:rFonts w:ascii="Arial" w:hAnsi="Arial" w:cs="Arial"/>
          <w:sz w:val="24"/>
        </w:rPr>
        <w:t xml:space="preserve">, </w:t>
      </w:r>
      <w:r w:rsidR="002C62AF" w:rsidRPr="006F72C6">
        <w:rPr>
          <w:rFonts w:ascii="Arial" w:hAnsi="Arial" w:cs="Arial"/>
          <w:sz w:val="24"/>
        </w:rPr>
        <w:t>to complete</w:t>
      </w:r>
      <w:r w:rsidR="00BF081C" w:rsidRPr="006F72C6">
        <w:rPr>
          <w:rFonts w:ascii="Arial" w:hAnsi="Arial" w:cs="Arial"/>
          <w:sz w:val="24"/>
        </w:rPr>
        <w:t xml:space="preserve"> specific tasks – this </w:t>
      </w:r>
      <w:r w:rsidR="002C62AF" w:rsidRPr="006F72C6">
        <w:rPr>
          <w:rFonts w:ascii="Arial" w:hAnsi="Arial" w:cs="Arial"/>
          <w:sz w:val="24"/>
        </w:rPr>
        <w:t xml:space="preserve">last </w:t>
      </w:r>
      <w:r w:rsidR="00BF081C" w:rsidRPr="006F72C6">
        <w:rPr>
          <w:rFonts w:ascii="Arial" w:hAnsi="Arial" w:cs="Arial"/>
          <w:sz w:val="24"/>
        </w:rPr>
        <w:t>option</w:t>
      </w:r>
      <w:r w:rsidR="002C62AF" w:rsidRPr="006F72C6">
        <w:rPr>
          <w:rFonts w:ascii="Arial" w:hAnsi="Arial" w:cs="Arial"/>
          <w:sz w:val="24"/>
        </w:rPr>
        <w:t xml:space="preserve">, along with the </w:t>
      </w:r>
      <w:r w:rsidR="00F705AF" w:rsidRPr="006F72C6">
        <w:rPr>
          <w:rFonts w:ascii="Arial" w:hAnsi="Arial" w:cs="Arial"/>
          <w:sz w:val="24"/>
        </w:rPr>
        <w:t xml:space="preserve">guarantee </w:t>
      </w:r>
      <w:r w:rsidR="002C62AF" w:rsidRPr="006F72C6">
        <w:rPr>
          <w:rFonts w:ascii="Arial" w:hAnsi="Arial" w:cs="Arial"/>
          <w:sz w:val="24"/>
        </w:rPr>
        <w:t xml:space="preserve">of the necessary funding for the system, </w:t>
      </w:r>
      <w:r w:rsidR="00BF081C" w:rsidRPr="006F72C6">
        <w:rPr>
          <w:rFonts w:ascii="Arial" w:hAnsi="Arial" w:cs="Arial"/>
          <w:sz w:val="24"/>
        </w:rPr>
        <w:t xml:space="preserve">should </w:t>
      </w:r>
      <w:r w:rsidR="002C62AF" w:rsidRPr="006F72C6">
        <w:rPr>
          <w:rFonts w:ascii="Arial" w:hAnsi="Arial" w:cs="Arial"/>
          <w:sz w:val="24"/>
        </w:rPr>
        <w:t>be the center</w:t>
      </w:r>
      <w:r w:rsidR="00BF081C" w:rsidRPr="006F72C6">
        <w:rPr>
          <w:rFonts w:ascii="Arial" w:hAnsi="Arial" w:cs="Arial"/>
          <w:sz w:val="24"/>
        </w:rPr>
        <w:t xml:space="preserve"> in any future resolution</w:t>
      </w:r>
      <w:r w:rsidR="002C62AF" w:rsidRPr="006F72C6">
        <w:rPr>
          <w:rFonts w:ascii="Arial" w:hAnsi="Arial" w:cs="Arial"/>
          <w:sz w:val="24"/>
        </w:rPr>
        <w:t>.</w:t>
      </w:r>
      <w:r w:rsidR="00F705AF" w:rsidRPr="006F72C6">
        <w:rPr>
          <w:rFonts w:ascii="Arial" w:hAnsi="Arial" w:cs="Arial"/>
          <w:sz w:val="24"/>
        </w:rPr>
        <w:t xml:space="preserve"> </w:t>
      </w:r>
    </w:p>
    <w:p w14:paraId="63756C1D" w14:textId="464039C0" w:rsidR="00F705AF" w:rsidRPr="006F72C6" w:rsidRDefault="00F705AF" w:rsidP="006F72C6">
      <w:pPr>
        <w:rPr>
          <w:rFonts w:ascii="Arial" w:hAnsi="Arial" w:cs="Arial"/>
          <w:color w:val="00B050"/>
        </w:rPr>
      </w:pPr>
    </w:p>
    <w:sectPr w:rsidR="00F705AF" w:rsidRPr="006F72C6" w:rsidSect="00590211">
      <w:footerReference w:type="default" r:id="rId21"/>
      <w:headerReference w:type="first" r:id="rId22"/>
      <w:footerReference w:type="first" r:id="rId23"/>
      <w:pgSz w:w="12240" w:h="15840" w:code="1"/>
      <w:pgMar w:top="1440" w:right="1440" w:bottom="1440" w:left="1440" w:header="708" w:footer="15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A16B4" w14:textId="77777777" w:rsidR="000C21B4" w:rsidRDefault="000C21B4" w:rsidP="00351940">
      <w:r>
        <w:separator/>
      </w:r>
    </w:p>
  </w:endnote>
  <w:endnote w:type="continuationSeparator" w:id="0">
    <w:p w14:paraId="5E0DFA93" w14:textId="77777777" w:rsidR="000C21B4" w:rsidRDefault="000C21B4" w:rsidP="0035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310076"/>
      <w:docPartObj>
        <w:docPartGallery w:val="Page Numbers (Bottom of Page)"/>
        <w:docPartUnique/>
      </w:docPartObj>
    </w:sdtPr>
    <w:sdtEndPr>
      <w:rPr>
        <w:noProof/>
      </w:rPr>
    </w:sdtEndPr>
    <w:sdtContent>
      <w:p w14:paraId="6BC46E25" w14:textId="24435DB7" w:rsidR="006F72C6" w:rsidRDefault="006F72C6">
        <w:pPr>
          <w:pStyle w:val="Footer"/>
          <w:jc w:val="center"/>
        </w:pPr>
        <w:r>
          <w:fldChar w:fldCharType="begin"/>
        </w:r>
        <w:r>
          <w:instrText xml:space="preserve"> PAGE   \* MERGEFORMAT </w:instrText>
        </w:r>
        <w:r>
          <w:fldChar w:fldCharType="separate"/>
        </w:r>
        <w:r w:rsidR="00FA0139">
          <w:rPr>
            <w:noProof/>
          </w:rPr>
          <w:t>9</w:t>
        </w:r>
        <w:r>
          <w:rPr>
            <w:noProof/>
          </w:rPr>
          <w:fldChar w:fldCharType="end"/>
        </w:r>
      </w:p>
    </w:sdtContent>
  </w:sdt>
  <w:p w14:paraId="5A4E4BA4" w14:textId="77777777" w:rsidR="006F72C6" w:rsidRDefault="006F7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9A0DD" w14:textId="03C9A925" w:rsidR="00590211" w:rsidRDefault="00590211">
    <w:pPr>
      <w:pStyle w:val="Footer"/>
    </w:pPr>
    <w:r>
      <w:rPr>
        <w:noProof/>
        <w:lang w:val="en-GB" w:eastAsia="en-GB"/>
      </w:rPr>
      <w:drawing>
        <wp:anchor distT="0" distB="0" distL="114300" distR="114300" simplePos="0" relativeHeight="251659264" behindDoc="0" locked="0" layoutInCell="1" allowOverlap="1" wp14:anchorId="6A6A9B00" wp14:editId="0334CE58">
          <wp:simplePos x="0" y="0"/>
          <wp:positionH relativeFrom="margin">
            <wp:align>right</wp:align>
          </wp:positionH>
          <wp:positionV relativeFrom="margin">
            <wp:posOffset>7379335</wp:posOffset>
          </wp:positionV>
          <wp:extent cx="6010910" cy="768350"/>
          <wp:effectExtent l="0" t="0" r="8890" b="0"/>
          <wp:wrapSquare wrapText="bothSides"/>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GHRP logo académie rou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10910" cy="76835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5784F" w14:textId="77777777" w:rsidR="000C21B4" w:rsidRDefault="000C21B4" w:rsidP="00351940">
      <w:r>
        <w:separator/>
      </w:r>
    </w:p>
  </w:footnote>
  <w:footnote w:type="continuationSeparator" w:id="0">
    <w:p w14:paraId="64B2678B" w14:textId="77777777" w:rsidR="000C21B4" w:rsidRDefault="000C21B4" w:rsidP="00351940">
      <w:r>
        <w:continuationSeparator/>
      </w:r>
    </w:p>
  </w:footnote>
  <w:footnote w:id="1">
    <w:p w14:paraId="28ADAB14" w14:textId="50091068" w:rsidR="00351940" w:rsidRPr="00353AE7" w:rsidRDefault="00351940">
      <w:pPr>
        <w:pStyle w:val="FootnoteText"/>
      </w:pPr>
      <w:r>
        <w:rPr>
          <w:rStyle w:val="FootnoteReference"/>
        </w:rPr>
        <w:footnoteRef/>
      </w:r>
      <w:r>
        <w:t xml:space="preserve"> </w:t>
      </w:r>
      <w:r w:rsidRPr="00353AE7">
        <w:t>E.g. Art 36 ICCPR.</w:t>
      </w:r>
      <w:r w:rsidR="00353AE7" w:rsidRPr="00353AE7">
        <w:t xml:space="preserve"> The other treaties contain similar paragraphs.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F81C6" w14:textId="7293E4E0" w:rsidR="0079162C" w:rsidRDefault="0079162C">
    <w:pPr>
      <w:pStyle w:val="Header"/>
    </w:pPr>
    <w:r>
      <w:rPr>
        <w:noProof/>
        <w:lang w:val="en-GB" w:eastAsia="en-GB"/>
      </w:rPr>
      <w:drawing>
        <wp:inline distT="0" distB="0" distL="0" distR="0" wp14:anchorId="2EC04E93" wp14:editId="281918D3">
          <wp:extent cx="1958979" cy="1047750"/>
          <wp:effectExtent l="0" t="0" r="317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HRP-logo-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2613" cy="10550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91162"/>
    <w:multiLevelType w:val="hybridMultilevel"/>
    <w:tmpl w:val="D03C33A4"/>
    <w:lvl w:ilvl="0" w:tplc="506EF31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EC718C5"/>
    <w:multiLevelType w:val="hybridMultilevel"/>
    <w:tmpl w:val="E418063E"/>
    <w:lvl w:ilvl="0" w:tplc="4EA816F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599F6B2E"/>
    <w:multiLevelType w:val="hybridMultilevel"/>
    <w:tmpl w:val="A238EF10"/>
    <w:lvl w:ilvl="0" w:tplc="77F2F7D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764500A8"/>
    <w:multiLevelType w:val="hybridMultilevel"/>
    <w:tmpl w:val="3B907BBA"/>
    <w:lvl w:ilvl="0" w:tplc="61B83C22">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7B7348AC"/>
    <w:multiLevelType w:val="hybridMultilevel"/>
    <w:tmpl w:val="8866393E"/>
    <w:lvl w:ilvl="0" w:tplc="47446FCE">
      <w:start w:val="1"/>
      <w:numFmt w:val="decimal"/>
      <w:lvlText w:val="%1."/>
      <w:lvlJc w:val="left"/>
      <w:pPr>
        <w:ind w:left="1184" w:hanging="360"/>
      </w:pPr>
      <w:rPr>
        <w:rFonts w:ascii="Arial" w:eastAsia="Times New Roman" w:hAnsi="Arial" w:cs="Arial" w:hint="default"/>
        <w:w w:val="99"/>
        <w:sz w:val="24"/>
        <w:szCs w:val="24"/>
      </w:rPr>
    </w:lvl>
    <w:lvl w:ilvl="1" w:tplc="2FAA0718">
      <w:numFmt w:val="bullet"/>
      <w:lvlText w:val="•"/>
      <w:lvlJc w:val="left"/>
      <w:pPr>
        <w:ind w:left="1992" w:hanging="360"/>
      </w:pPr>
      <w:rPr>
        <w:rFonts w:hint="default"/>
      </w:rPr>
    </w:lvl>
    <w:lvl w:ilvl="2" w:tplc="97260732">
      <w:numFmt w:val="bullet"/>
      <w:lvlText w:val="•"/>
      <w:lvlJc w:val="left"/>
      <w:pPr>
        <w:ind w:left="2804" w:hanging="360"/>
      </w:pPr>
      <w:rPr>
        <w:rFonts w:hint="default"/>
      </w:rPr>
    </w:lvl>
    <w:lvl w:ilvl="3" w:tplc="49E2CED0">
      <w:numFmt w:val="bullet"/>
      <w:lvlText w:val="•"/>
      <w:lvlJc w:val="left"/>
      <w:pPr>
        <w:ind w:left="3616" w:hanging="360"/>
      </w:pPr>
      <w:rPr>
        <w:rFonts w:hint="default"/>
      </w:rPr>
    </w:lvl>
    <w:lvl w:ilvl="4" w:tplc="B6903378">
      <w:numFmt w:val="bullet"/>
      <w:lvlText w:val="•"/>
      <w:lvlJc w:val="left"/>
      <w:pPr>
        <w:ind w:left="4428" w:hanging="360"/>
      </w:pPr>
      <w:rPr>
        <w:rFonts w:hint="default"/>
      </w:rPr>
    </w:lvl>
    <w:lvl w:ilvl="5" w:tplc="C89CA7B4">
      <w:numFmt w:val="bullet"/>
      <w:lvlText w:val="•"/>
      <w:lvlJc w:val="left"/>
      <w:pPr>
        <w:ind w:left="5240" w:hanging="360"/>
      </w:pPr>
      <w:rPr>
        <w:rFonts w:hint="default"/>
      </w:rPr>
    </w:lvl>
    <w:lvl w:ilvl="6" w:tplc="15F015D2">
      <w:numFmt w:val="bullet"/>
      <w:lvlText w:val="•"/>
      <w:lvlJc w:val="left"/>
      <w:pPr>
        <w:ind w:left="6052" w:hanging="360"/>
      </w:pPr>
      <w:rPr>
        <w:rFonts w:hint="default"/>
      </w:rPr>
    </w:lvl>
    <w:lvl w:ilvl="7" w:tplc="9E6E5AEE">
      <w:numFmt w:val="bullet"/>
      <w:lvlText w:val="•"/>
      <w:lvlJc w:val="left"/>
      <w:pPr>
        <w:ind w:left="6864" w:hanging="360"/>
      </w:pPr>
      <w:rPr>
        <w:rFonts w:hint="default"/>
      </w:rPr>
    </w:lvl>
    <w:lvl w:ilvl="8" w:tplc="E61AF1A0">
      <w:numFmt w:val="bullet"/>
      <w:lvlText w:val="•"/>
      <w:lvlJc w:val="left"/>
      <w:pPr>
        <w:ind w:left="7676" w:hanging="36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CA"/>
    <w:rsid w:val="00010F7E"/>
    <w:rsid w:val="00040B78"/>
    <w:rsid w:val="000430A2"/>
    <w:rsid w:val="000C21B4"/>
    <w:rsid w:val="000C31E2"/>
    <w:rsid w:val="0010607C"/>
    <w:rsid w:val="00106C41"/>
    <w:rsid w:val="001222F4"/>
    <w:rsid w:val="002C62AF"/>
    <w:rsid w:val="002D0A5C"/>
    <w:rsid w:val="002F10E7"/>
    <w:rsid w:val="00304DF0"/>
    <w:rsid w:val="00337DDD"/>
    <w:rsid w:val="00351940"/>
    <w:rsid w:val="00353AE7"/>
    <w:rsid w:val="003C4599"/>
    <w:rsid w:val="004A696B"/>
    <w:rsid w:val="004B108D"/>
    <w:rsid w:val="00590211"/>
    <w:rsid w:val="005D79AB"/>
    <w:rsid w:val="006015F3"/>
    <w:rsid w:val="006325DA"/>
    <w:rsid w:val="006332C6"/>
    <w:rsid w:val="00670258"/>
    <w:rsid w:val="00686B0F"/>
    <w:rsid w:val="006F72C6"/>
    <w:rsid w:val="0075021F"/>
    <w:rsid w:val="007579B8"/>
    <w:rsid w:val="00763AAF"/>
    <w:rsid w:val="0079162C"/>
    <w:rsid w:val="007B1357"/>
    <w:rsid w:val="007F2CD6"/>
    <w:rsid w:val="00851091"/>
    <w:rsid w:val="0085798C"/>
    <w:rsid w:val="00880921"/>
    <w:rsid w:val="008D4644"/>
    <w:rsid w:val="00901531"/>
    <w:rsid w:val="00927ACA"/>
    <w:rsid w:val="00956BF3"/>
    <w:rsid w:val="00A114DB"/>
    <w:rsid w:val="00A9578E"/>
    <w:rsid w:val="00AA0918"/>
    <w:rsid w:val="00B367E9"/>
    <w:rsid w:val="00B67AE9"/>
    <w:rsid w:val="00B92D29"/>
    <w:rsid w:val="00B9317F"/>
    <w:rsid w:val="00BC6ECC"/>
    <w:rsid w:val="00BF081C"/>
    <w:rsid w:val="00C20593"/>
    <w:rsid w:val="00C21F66"/>
    <w:rsid w:val="00C61105"/>
    <w:rsid w:val="00CC3D22"/>
    <w:rsid w:val="00CD5869"/>
    <w:rsid w:val="00D34D93"/>
    <w:rsid w:val="00D62537"/>
    <w:rsid w:val="00D677F1"/>
    <w:rsid w:val="00D72A98"/>
    <w:rsid w:val="00D77992"/>
    <w:rsid w:val="00D85FBC"/>
    <w:rsid w:val="00E23350"/>
    <w:rsid w:val="00E3325C"/>
    <w:rsid w:val="00E562DE"/>
    <w:rsid w:val="00EC59DF"/>
    <w:rsid w:val="00F705AF"/>
    <w:rsid w:val="00FA0139"/>
    <w:rsid w:val="00FD1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90A19E"/>
  <w15:chartTrackingRefBased/>
  <w15:docId w15:val="{2AF9453E-4059-483A-8135-915FA84B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27ACA"/>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7ACA"/>
    <w:pPr>
      <w:ind w:left="1184" w:hanging="360"/>
    </w:pPr>
  </w:style>
  <w:style w:type="paragraph" w:styleId="BodyText">
    <w:name w:val="Body Text"/>
    <w:basedOn w:val="Normal"/>
    <w:link w:val="BodyTextChar"/>
    <w:uiPriority w:val="1"/>
    <w:qFormat/>
    <w:rsid w:val="00927ACA"/>
    <w:rPr>
      <w:sz w:val="24"/>
      <w:szCs w:val="24"/>
    </w:rPr>
  </w:style>
  <w:style w:type="character" w:customStyle="1" w:styleId="BodyTextChar">
    <w:name w:val="Body Text Char"/>
    <w:basedOn w:val="DefaultParagraphFont"/>
    <w:link w:val="BodyText"/>
    <w:uiPriority w:val="1"/>
    <w:rsid w:val="00927AC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0593"/>
    <w:rPr>
      <w:color w:val="0000FF" w:themeColor="hyperlink"/>
      <w:u w:val="single"/>
    </w:rPr>
  </w:style>
  <w:style w:type="character" w:styleId="FollowedHyperlink">
    <w:name w:val="FollowedHyperlink"/>
    <w:basedOn w:val="DefaultParagraphFont"/>
    <w:uiPriority w:val="99"/>
    <w:semiHidden/>
    <w:unhideWhenUsed/>
    <w:rsid w:val="00C20593"/>
    <w:rPr>
      <w:color w:val="800080" w:themeColor="followedHyperlink"/>
      <w:u w:val="single"/>
    </w:rPr>
  </w:style>
  <w:style w:type="paragraph" w:styleId="FootnoteText">
    <w:name w:val="footnote text"/>
    <w:basedOn w:val="Normal"/>
    <w:link w:val="FootnoteTextChar"/>
    <w:uiPriority w:val="99"/>
    <w:semiHidden/>
    <w:unhideWhenUsed/>
    <w:rsid w:val="00351940"/>
    <w:rPr>
      <w:sz w:val="20"/>
      <w:szCs w:val="20"/>
    </w:rPr>
  </w:style>
  <w:style w:type="character" w:customStyle="1" w:styleId="FootnoteTextChar">
    <w:name w:val="Footnote Text Char"/>
    <w:basedOn w:val="DefaultParagraphFont"/>
    <w:link w:val="FootnoteText"/>
    <w:uiPriority w:val="99"/>
    <w:semiHidden/>
    <w:rsid w:val="0035194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51940"/>
    <w:rPr>
      <w:vertAlign w:val="superscript"/>
    </w:rPr>
  </w:style>
  <w:style w:type="paragraph" w:styleId="BalloonText">
    <w:name w:val="Balloon Text"/>
    <w:basedOn w:val="Normal"/>
    <w:link w:val="BalloonTextChar"/>
    <w:uiPriority w:val="99"/>
    <w:semiHidden/>
    <w:unhideWhenUsed/>
    <w:rsid w:val="00D85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BC"/>
    <w:rPr>
      <w:rFonts w:ascii="Segoe UI" w:eastAsia="Times New Roman" w:hAnsi="Segoe UI" w:cs="Segoe UI"/>
      <w:sz w:val="18"/>
      <w:szCs w:val="18"/>
    </w:rPr>
  </w:style>
  <w:style w:type="paragraph" w:styleId="Header">
    <w:name w:val="header"/>
    <w:basedOn w:val="Normal"/>
    <w:link w:val="HeaderChar"/>
    <w:uiPriority w:val="99"/>
    <w:unhideWhenUsed/>
    <w:rsid w:val="0079162C"/>
    <w:pPr>
      <w:tabs>
        <w:tab w:val="center" w:pos="4513"/>
        <w:tab w:val="right" w:pos="9026"/>
      </w:tabs>
    </w:pPr>
  </w:style>
  <w:style w:type="character" w:customStyle="1" w:styleId="HeaderChar">
    <w:name w:val="Header Char"/>
    <w:basedOn w:val="DefaultParagraphFont"/>
    <w:link w:val="Header"/>
    <w:uiPriority w:val="99"/>
    <w:rsid w:val="0079162C"/>
    <w:rPr>
      <w:rFonts w:ascii="Times New Roman" w:eastAsia="Times New Roman" w:hAnsi="Times New Roman" w:cs="Times New Roman"/>
    </w:rPr>
  </w:style>
  <w:style w:type="paragraph" w:styleId="Footer">
    <w:name w:val="footer"/>
    <w:basedOn w:val="Normal"/>
    <w:link w:val="FooterChar"/>
    <w:uiPriority w:val="99"/>
    <w:unhideWhenUsed/>
    <w:rsid w:val="0079162C"/>
    <w:pPr>
      <w:tabs>
        <w:tab w:val="center" w:pos="4513"/>
        <w:tab w:val="right" w:pos="9026"/>
      </w:tabs>
    </w:pPr>
  </w:style>
  <w:style w:type="character" w:customStyle="1" w:styleId="FooterChar">
    <w:name w:val="Footer Char"/>
    <w:basedOn w:val="DefaultParagraphFont"/>
    <w:link w:val="Footer"/>
    <w:uiPriority w:val="99"/>
    <w:rsid w:val="0079162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tybodies@gmail.com" TargetMode="External"/><Relationship Id="rId13" Type="http://schemas.openxmlformats.org/officeDocument/2006/relationships/hyperlink" Target="https://www.geneva-academy.ch/joomlatools-files/docman-files/Optimizing%20UN%20Treaty%20Bodies.pdf" TargetMode="External"/><Relationship Id="rId18" Type="http://schemas.openxmlformats.org/officeDocument/2006/relationships/hyperlink" Target="https://www.geneva-academy.ch/geneva-humanrights-platform/initiatives/detail/15-treaty-body-members-platform"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eneva-academy.ch/geneva-humanrights-platform/initiatives/detail/70-treaty-body-review-2020" TargetMode="External"/><Relationship Id="rId17" Type="http://schemas.openxmlformats.org/officeDocument/2006/relationships/hyperlink" Target="https://tbinternet.ohchr.org/Treaties/CHAIRPERSONS/Shared%20Documents/1_Global/A_67_222__21887_E.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pr-info.org/sites/default/files/general-document/pdf/upr_info_guide_for_recommending_states_2015.pdf" TargetMode="External"/><Relationship Id="rId20" Type="http://schemas.openxmlformats.org/officeDocument/2006/relationships/hyperlink" Target="https://www.geneva-academy.ch/joomlatools-files/docman-files/UN%20Treaty%20Bodies%20Individual%20Communicat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neva-academy.ch/tb-review-20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eneva-academy.ch/joomlatools-files/docman-files/The%20Universal%20Periodic%20Review%20.pdf"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s://www.geneva-academy.ch/geneva-humanrights-platform" TargetMode="External"/><Relationship Id="rId19" Type="http://schemas.openxmlformats.org/officeDocument/2006/relationships/hyperlink" Target="https://www.geneva-academy.ch/joomlatools-files/docman-files/The%20Universal%20Periodic%20Review%20.pdf" TargetMode="External"/><Relationship Id="rId4" Type="http://schemas.openxmlformats.org/officeDocument/2006/relationships/settings" Target="settings.xml"/><Relationship Id="rId9" Type="http://schemas.openxmlformats.org/officeDocument/2006/relationships/hyperlink" Target="http://www.ohchr.org/EN/HRBodies/HRTD/Pages/TBStrengthening.aspx" TargetMode="External"/><Relationship Id="rId14" Type="http://schemas.openxmlformats.org/officeDocument/2006/relationships/hyperlink" Target="https://www.geneva-academy.ch/joomlatools-files/docman-files/UN%20Treaty%20Bodies%20Individual%20Communications.pdf" TargetMode="External"/><Relationship Id="rId22" Type="http://schemas.openxmlformats.org/officeDocument/2006/relationships/header" Target="header1.xm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09047A-7699-462C-8CB7-6D5B10BE8A4E}">
  <ds:schemaRefs>
    <ds:schemaRef ds:uri="http://schemas.openxmlformats.org/officeDocument/2006/bibliography"/>
  </ds:schemaRefs>
</ds:datastoreItem>
</file>

<file path=customXml/itemProps2.xml><?xml version="1.0" encoding="utf-8"?>
<ds:datastoreItem xmlns:ds="http://schemas.openxmlformats.org/officeDocument/2006/customXml" ds:itemID="{F4E99E0B-5C4A-41E8-9693-57DC9071F24C}"/>
</file>

<file path=customXml/itemProps3.xml><?xml version="1.0" encoding="utf-8"?>
<ds:datastoreItem xmlns:ds="http://schemas.openxmlformats.org/officeDocument/2006/customXml" ds:itemID="{00C370EB-4E17-4E7C-A43C-3F691D4BFEFE}"/>
</file>

<file path=customXml/itemProps4.xml><?xml version="1.0" encoding="utf-8"?>
<ds:datastoreItem xmlns:ds="http://schemas.openxmlformats.org/officeDocument/2006/customXml" ds:itemID="{AAC71BCE-2A49-43CC-9EDA-6968BCA38A6D}"/>
</file>

<file path=docProps/app.xml><?xml version="1.0" encoding="utf-8"?>
<Properties xmlns="http://schemas.openxmlformats.org/officeDocument/2006/extended-properties" xmlns:vt="http://schemas.openxmlformats.org/officeDocument/2006/docPropsVTypes">
  <Template>Normal.dotm</Template>
  <TotalTime>1</TotalTime>
  <Pages>9</Pages>
  <Words>2853</Words>
  <Characters>16266</Characters>
  <Application>Microsoft Office Word</Application>
  <DocSecurity>4</DocSecurity>
  <Lines>135</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IHEID</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Kirchmeier Kristahn Félix</dc:creator>
  <cp:keywords/>
  <dc:description/>
  <cp:lastModifiedBy>D'ANIELLO Denise</cp:lastModifiedBy>
  <cp:revision>2</cp:revision>
  <dcterms:created xsi:type="dcterms:W3CDTF">2020-07-21T13:59:00Z</dcterms:created>
  <dcterms:modified xsi:type="dcterms:W3CDTF">2020-07-21T13:59:00Z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