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DC85A" w14:textId="77777777" w:rsidR="002A0627" w:rsidRPr="002A0627" w:rsidRDefault="002A0627" w:rsidP="002A0627">
      <w:pPr>
        <w:jc w:val="both"/>
        <w:rPr>
          <w:rFonts w:cstheme="minorHAnsi"/>
          <w:sz w:val="24"/>
          <w:szCs w:val="24"/>
          <w:lang w:val="en-GB"/>
        </w:rPr>
      </w:pPr>
      <w:bookmarkStart w:id="0" w:name="_GoBack"/>
      <w:bookmarkEnd w:id="0"/>
      <w:r w:rsidRPr="002A0627">
        <w:rPr>
          <w:rFonts w:cstheme="minorHAnsi"/>
          <w:sz w:val="24"/>
          <w:szCs w:val="24"/>
          <w:lang w:val="en-GB"/>
        </w:rPr>
        <w:t xml:space="preserve">Ukraine sees great importance of the work of the UN human rights treaty bodies (TBs) as a key component of monitoring compliance of State Parties with their international human rights obligations, and supports every effort to increase TBs’ efficiency, effectiveness and accessibility. </w:t>
      </w:r>
    </w:p>
    <w:p w14:paraId="613C0174" w14:textId="77777777" w:rsidR="002A0627" w:rsidRPr="002A0627" w:rsidRDefault="002A0627" w:rsidP="002A0627">
      <w:pPr>
        <w:jc w:val="both"/>
        <w:rPr>
          <w:rFonts w:cstheme="minorHAnsi"/>
          <w:sz w:val="24"/>
          <w:szCs w:val="24"/>
          <w:lang w:val="en-GB"/>
        </w:rPr>
      </w:pPr>
      <w:r w:rsidRPr="002A0627">
        <w:rPr>
          <w:rFonts w:cstheme="minorHAnsi"/>
          <w:sz w:val="24"/>
          <w:szCs w:val="24"/>
          <w:lang w:val="en-GB"/>
        </w:rPr>
        <w:t xml:space="preserve">Ukraine would like to point out that resolution 68/268 has already contributed to strengthening and enhancing the effective functioning of the human rights TBs system. We positively note the introduction by some TBs of the simplified reporting procedure, which can be considered as a step forward to increasing their efficiency, as well as an important tool for more constructive cooperation with States Parties. The treaty bodies, with the OHCHR assistance, should establish a common practice of simplified reporting procedure. </w:t>
      </w:r>
    </w:p>
    <w:p w14:paraId="5610BA66" w14:textId="77777777" w:rsidR="002A0627" w:rsidRPr="002A0627" w:rsidRDefault="002A0627" w:rsidP="002A0627">
      <w:pPr>
        <w:jc w:val="both"/>
        <w:rPr>
          <w:rFonts w:cstheme="minorHAnsi"/>
          <w:sz w:val="24"/>
          <w:szCs w:val="24"/>
          <w:lang w:val="en-GB"/>
        </w:rPr>
      </w:pPr>
      <w:r w:rsidRPr="002A0627">
        <w:rPr>
          <w:rFonts w:cstheme="minorHAnsi"/>
          <w:sz w:val="24"/>
          <w:szCs w:val="24"/>
          <w:lang w:val="en-GB"/>
        </w:rPr>
        <w:t xml:space="preserve">The progress in reducing backlogs of reports processed by the TBs, use the of electronic tools, in particular access to database and webcasting, can also be considered as a positive development. </w:t>
      </w:r>
    </w:p>
    <w:p w14:paraId="5ACBAD2D" w14:textId="77777777" w:rsidR="002A0627" w:rsidRPr="002A0627" w:rsidRDefault="002A0627" w:rsidP="002A0627">
      <w:pPr>
        <w:jc w:val="both"/>
        <w:rPr>
          <w:rFonts w:cstheme="minorHAnsi"/>
          <w:sz w:val="24"/>
          <w:szCs w:val="24"/>
          <w:lang w:val="en-GB"/>
        </w:rPr>
      </w:pPr>
      <w:r w:rsidRPr="002A0627">
        <w:rPr>
          <w:rFonts w:cstheme="minorHAnsi"/>
          <w:sz w:val="24"/>
          <w:szCs w:val="24"/>
          <w:lang w:val="en-GB"/>
        </w:rPr>
        <w:t xml:space="preserve">Nevertheless, while recognizing the efforts of the Secretary-General, OHCHR and TBs themselves to implement the 68/268 resolution, in our point of view, there is still a room for improvement to implement fully the resolution’s provisions. </w:t>
      </w:r>
    </w:p>
    <w:p w14:paraId="52BF742F" w14:textId="77777777" w:rsidR="002A0627" w:rsidRPr="002A0627" w:rsidRDefault="002A0627" w:rsidP="002A0627">
      <w:pPr>
        <w:jc w:val="both"/>
        <w:rPr>
          <w:rFonts w:cstheme="minorHAnsi"/>
          <w:sz w:val="24"/>
          <w:szCs w:val="24"/>
          <w:lang w:val="en-GB"/>
        </w:rPr>
      </w:pPr>
      <w:r w:rsidRPr="002A0627">
        <w:rPr>
          <w:rFonts w:cstheme="minorHAnsi"/>
          <w:sz w:val="24"/>
          <w:szCs w:val="24"/>
          <w:lang w:val="en-GB"/>
        </w:rPr>
        <w:t xml:space="preserve">In this regard, Ukraine notes the lack of harmonization and coherence between working methods and rules of procedures of each TB. The OHCHR, as the TBs’ Secretariat, within its capacity and responsibility should address issues such as assisting the TBs with identifying ways and modalities to a better coordination and harmonization of their work, scheduling reviews, as well as assisting States Parties in preparation for the reviews, particularly through timely notification of reviews and their modalities. </w:t>
      </w:r>
    </w:p>
    <w:p w14:paraId="15D90AF0" w14:textId="77777777" w:rsidR="002A0627" w:rsidRPr="002A0627" w:rsidRDefault="002A0627" w:rsidP="002A0627">
      <w:pPr>
        <w:jc w:val="both"/>
        <w:rPr>
          <w:rFonts w:cstheme="minorHAnsi"/>
          <w:sz w:val="24"/>
          <w:szCs w:val="24"/>
          <w:lang w:val="en-GB"/>
        </w:rPr>
      </w:pPr>
      <w:r w:rsidRPr="002A0627">
        <w:rPr>
          <w:rFonts w:cstheme="minorHAnsi"/>
          <w:sz w:val="24"/>
          <w:szCs w:val="24"/>
          <w:lang w:val="en-GB"/>
        </w:rPr>
        <w:t xml:space="preserve">One of the main difficulties for states is the complexity of managing their schedules for the submission of reports and reviews to different </w:t>
      </w:r>
      <w:proofErr w:type="spellStart"/>
      <w:r w:rsidRPr="002A0627">
        <w:rPr>
          <w:rFonts w:cstheme="minorHAnsi"/>
          <w:sz w:val="24"/>
          <w:szCs w:val="24"/>
          <w:lang w:val="en-GB"/>
        </w:rPr>
        <w:t>TBs.</w:t>
      </w:r>
      <w:proofErr w:type="spellEnd"/>
      <w:r w:rsidRPr="002A0627">
        <w:rPr>
          <w:rFonts w:cstheme="minorHAnsi"/>
          <w:sz w:val="24"/>
          <w:szCs w:val="24"/>
          <w:lang w:val="en-GB"/>
        </w:rPr>
        <w:t xml:space="preserve">  Quite a long period of time between the submission of reports and the later reviews often obligates States Parties to submit written replies to the List of Issues, which covers all the relevant and recent developments that occurred after the submission of the reports before their reviewing. We believe that dialogue between State Party and the respective TB should take place shortly after the national report has been submitted. </w:t>
      </w:r>
    </w:p>
    <w:p w14:paraId="42856730" w14:textId="1E7A3231" w:rsidR="002A0627" w:rsidRPr="002A0627" w:rsidRDefault="002A0627" w:rsidP="002A0627">
      <w:pPr>
        <w:jc w:val="both"/>
        <w:rPr>
          <w:rFonts w:cstheme="minorHAnsi"/>
          <w:sz w:val="24"/>
          <w:szCs w:val="24"/>
          <w:lang w:val="en-GB"/>
        </w:rPr>
      </w:pPr>
      <w:r w:rsidRPr="002A0627">
        <w:rPr>
          <w:rFonts w:cstheme="minorHAnsi"/>
          <w:sz w:val="24"/>
          <w:szCs w:val="24"/>
          <w:lang w:val="en-GB"/>
        </w:rPr>
        <w:t>Another problem which many states faced</w:t>
      </w:r>
      <w:r>
        <w:rPr>
          <w:rFonts w:cstheme="minorHAnsi"/>
          <w:sz w:val="24"/>
          <w:szCs w:val="24"/>
        </w:rPr>
        <w:t xml:space="preserve"> </w:t>
      </w:r>
      <w:r w:rsidRPr="002A0627">
        <w:rPr>
          <w:rFonts w:cstheme="minorHAnsi"/>
          <w:sz w:val="24"/>
          <w:szCs w:val="24"/>
          <w:lang w:val="en-GB"/>
        </w:rPr>
        <w:t xml:space="preserve">is scheduling reviews to different TBs for one state during one given year. The lack of guidance based on the principles of predictability, transparency, flexibility and coordination between the TBs resulted in reviewing one state by different (3-4) TBs within a short time frame. </w:t>
      </w:r>
    </w:p>
    <w:p w14:paraId="12D479A7" w14:textId="77777777" w:rsidR="002A0627" w:rsidRPr="002A0627" w:rsidRDefault="002A0627" w:rsidP="002A0627">
      <w:pPr>
        <w:jc w:val="both"/>
        <w:rPr>
          <w:rFonts w:cstheme="minorHAnsi"/>
          <w:sz w:val="24"/>
          <w:szCs w:val="24"/>
          <w:lang w:val="en-GB"/>
        </w:rPr>
      </w:pPr>
      <w:r w:rsidRPr="002A0627">
        <w:rPr>
          <w:rFonts w:cstheme="minorHAnsi"/>
          <w:sz w:val="24"/>
          <w:szCs w:val="24"/>
          <w:lang w:val="en-GB"/>
        </w:rPr>
        <w:t xml:space="preserve">Therefore, we believe, in order to ensure the predictability and better coordinated review cycles, it is important to establish a multi-year calendar for all the </w:t>
      </w:r>
      <w:proofErr w:type="spellStart"/>
      <w:r w:rsidRPr="002A0627">
        <w:rPr>
          <w:rFonts w:cstheme="minorHAnsi"/>
          <w:sz w:val="24"/>
          <w:szCs w:val="24"/>
          <w:lang w:val="en-GB"/>
        </w:rPr>
        <w:t>TBs.</w:t>
      </w:r>
      <w:proofErr w:type="spellEnd"/>
      <w:r w:rsidRPr="002A0627">
        <w:rPr>
          <w:rFonts w:cstheme="minorHAnsi"/>
          <w:sz w:val="24"/>
          <w:szCs w:val="24"/>
          <w:lang w:val="en-GB"/>
        </w:rPr>
        <w:t xml:space="preserve"> The OHCHR should guide the TBs in creating the review cycles system, within which States Parties could be reviewed according to above multi-annual calendar specifying the deadline of the national reports submissions and the TB’s sessions. In our point of view, the UPR system provides a decent model to follow.  </w:t>
      </w:r>
    </w:p>
    <w:p w14:paraId="3A0B0B16" w14:textId="73ED0771" w:rsidR="002A0627" w:rsidRPr="002A0627" w:rsidRDefault="002A0627" w:rsidP="002A0627">
      <w:pPr>
        <w:spacing w:after="0"/>
        <w:jc w:val="both"/>
        <w:rPr>
          <w:rFonts w:cstheme="minorHAnsi"/>
          <w:sz w:val="24"/>
          <w:szCs w:val="24"/>
          <w:lang w:val="en-US"/>
        </w:rPr>
      </w:pPr>
      <w:r w:rsidRPr="002A0627">
        <w:rPr>
          <w:rFonts w:cstheme="minorHAnsi"/>
          <w:sz w:val="24"/>
          <w:szCs w:val="24"/>
          <w:lang w:val="en-US"/>
        </w:rPr>
        <w:lastRenderedPageBreak/>
        <w:t>According to working methods of relevant committees after the constructive dialogue committee may ask the State party to provide supplementary information within 48 hours.</w:t>
      </w:r>
      <w:r>
        <w:rPr>
          <w:rFonts w:cstheme="minorHAnsi"/>
          <w:sz w:val="24"/>
          <w:szCs w:val="24"/>
        </w:rPr>
        <w:t xml:space="preserve"> </w:t>
      </w:r>
      <w:r w:rsidRPr="002A0627">
        <w:rPr>
          <w:rFonts w:cstheme="minorHAnsi"/>
          <w:sz w:val="24"/>
          <w:szCs w:val="24"/>
          <w:lang w:val="en-US"/>
        </w:rPr>
        <w:t>In order to facilitate collection and effective provision of supplementary information we would like to propose to enlarge the timeline dedicated for submission of such supplementary information from current 48 hours up to at least 72 hours (it is deemed desirable to consider proposed 72 hours exclusively during the working days), taking into consideration that preparation of such information and its translation into committee`s working languages, as a rule, takes considerable amount of time, including searching statistical data or requesting specific information from local authorities or territorial offices.</w:t>
      </w:r>
    </w:p>
    <w:p w14:paraId="465F6B5C" w14:textId="77777777" w:rsidR="002A0627" w:rsidRPr="002A0627" w:rsidRDefault="002A0627">
      <w:pPr>
        <w:rPr>
          <w:lang w:val="en-US"/>
        </w:rPr>
      </w:pPr>
    </w:p>
    <w:sectPr w:rsidR="002A0627" w:rsidRPr="002A0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27"/>
    <w:rsid w:val="00165045"/>
    <w:rsid w:val="002A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510A"/>
  <w15:chartTrackingRefBased/>
  <w15:docId w15:val="{253F2A76-195B-4481-AE99-5EDE5030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627"/>
    <w:rPr>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E4204D-4772-4778-9B91-EBE2DE676482}"/>
</file>

<file path=customXml/itemProps2.xml><?xml version="1.0" encoding="utf-8"?>
<ds:datastoreItem xmlns:ds="http://schemas.openxmlformats.org/officeDocument/2006/customXml" ds:itemID="{589F289D-0C29-43DF-9F29-793AB84810F9}"/>
</file>

<file path=customXml/itemProps3.xml><?xml version="1.0" encoding="utf-8"?>
<ds:datastoreItem xmlns:ds="http://schemas.openxmlformats.org/officeDocument/2006/customXml" ds:itemID="{2F1FAA87-CE72-4FBE-8D39-985412934C5B}"/>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D'ANIELLO Denise</cp:lastModifiedBy>
  <cp:revision>2</cp:revision>
  <dcterms:created xsi:type="dcterms:W3CDTF">2020-07-14T09:08:00Z</dcterms:created>
  <dcterms:modified xsi:type="dcterms:W3CDTF">2020-07-14T09:08:00Z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