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A4C6" w14:textId="77777777" w:rsidR="00BE2C35" w:rsidRPr="00BE2C35" w:rsidRDefault="00BE2C35" w:rsidP="00BE2C35">
      <w:pPr>
        <w:pStyle w:val="NormalforQ"/>
      </w:pPr>
      <w:bookmarkStart w:id="0" w:name="_GoBack"/>
      <w:bookmarkEnd w:id="0"/>
    </w:p>
    <w:p w14:paraId="6FF0A4C7" w14:textId="77777777" w:rsidR="00BE2C35" w:rsidRPr="00BE2C35" w:rsidRDefault="00BE2C35" w:rsidP="00BE2C35">
      <w:pPr>
        <w:pStyle w:val="NormalforQ"/>
      </w:pPr>
    </w:p>
    <w:p w14:paraId="6FF0A4C8" w14:textId="77777777" w:rsidR="00BE2C35" w:rsidRDefault="00903E49" w:rsidP="00BE2C35">
      <w:pPr>
        <w:pStyle w:val="NormalforQ"/>
      </w:pPr>
      <w:r>
        <w:t>1</w:t>
      </w:r>
      <w:r w:rsidR="00A836DC">
        <w:t xml:space="preserve"> March </w:t>
      </w:r>
      <w:r w:rsidR="00BE2C35" w:rsidRPr="003F62D1">
        <w:t>201</w:t>
      </w:r>
      <w:r w:rsidR="00A836DC">
        <w:t>8</w:t>
      </w:r>
    </w:p>
    <w:p w14:paraId="6FF0A4C9" w14:textId="77777777" w:rsidR="00BE2C35" w:rsidRDefault="00BE2C35" w:rsidP="00BE2C35">
      <w:pPr>
        <w:pStyle w:val="NormalforQ"/>
      </w:pPr>
    </w:p>
    <w:p w14:paraId="6FF0A4CA" w14:textId="77777777" w:rsidR="0001501C" w:rsidRDefault="00BE2C35" w:rsidP="0001501C">
      <w:pPr>
        <w:pStyle w:val="TopHeadingforQ"/>
      </w:pPr>
      <w:r w:rsidRPr="000C1A79">
        <w:t xml:space="preserve">Subject: </w:t>
      </w:r>
      <w:r w:rsidR="0001501C" w:rsidRPr="000C1A79">
        <w:t>Australian Response</w:t>
      </w:r>
      <w:r w:rsidR="0001501C">
        <w:t xml:space="preserve"> to Request for Information</w:t>
      </w:r>
    </w:p>
    <w:p w14:paraId="6FF0A4CB" w14:textId="77777777" w:rsidR="00BE2C35" w:rsidRPr="00BE2C35" w:rsidRDefault="00A836DC" w:rsidP="00A836DC">
      <w:pPr>
        <w:pStyle w:val="TopHeadingforQ"/>
      </w:pPr>
      <w:r>
        <w:t>Questionnaire re: General Assembly resolution 68/269</w:t>
      </w:r>
      <w:r w:rsidR="00BE2C35">
        <w:br/>
      </w:r>
    </w:p>
    <w:p w14:paraId="6FF0A4CC" w14:textId="77777777" w:rsidR="00E43578" w:rsidRDefault="00E43578" w:rsidP="00A836DC">
      <w:pPr>
        <w:rPr>
          <w:iCs/>
        </w:rPr>
      </w:pPr>
      <w:r>
        <w:rPr>
          <w:iCs/>
        </w:rPr>
        <w:t>The Australian Government released its Foreign Policy White Paper in November 2017. In it</w:t>
      </w:r>
      <w:r w:rsidR="00794A4D">
        <w:rPr>
          <w:iCs/>
        </w:rPr>
        <w:t>, the Government</w:t>
      </w:r>
      <w:r>
        <w:rPr>
          <w:iCs/>
        </w:rPr>
        <w:t xml:space="preserve"> committed to a strong multilateral human rights system, including promoting efforts to strengthen the system and the Human Rights Council.</w:t>
      </w:r>
    </w:p>
    <w:p w14:paraId="6FF0A4CD" w14:textId="77777777" w:rsidR="00794A4D" w:rsidRDefault="00794A4D" w:rsidP="00794A4D">
      <w:pPr>
        <w:rPr>
          <w:iCs/>
        </w:rPr>
      </w:pPr>
    </w:p>
    <w:p w14:paraId="6FF0A4CE" w14:textId="77777777" w:rsidR="00794A4D" w:rsidRDefault="00794A4D" w:rsidP="00794A4D">
      <w:pPr>
        <w:rPr>
          <w:iCs/>
        </w:rPr>
      </w:pPr>
      <w:r>
        <w:rPr>
          <w:iCs/>
        </w:rPr>
        <w:t xml:space="preserve">Australia is party to the seven core human rights treaties: </w:t>
      </w:r>
      <w:r w:rsidRPr="00794A4D">
        <w:rPr>
          <w:iCs/>
        </w:rPr>
        <w:t>the International Covenant on Civil and Political Rights</w:t>
      </w:r>
      <w:r>
        <w:rPr>
          <w:iCs/>
        </w:rPr>
        <w:t xml:space="preserve">; </w:t>
      </w:r>
      <w:r w:rsidRPr="00794A4D">
        <w:rPr>
          <w:iCs/>
        </w:rPr>
        <w:t>the International Covenant on Economic, Social and Cultural Rights</w:t>
      </w:r>
      <w:r>
        <w:rPr>
          <w:iCs/>
        </w:rPr>
        <w:t xml:space="preserve">; </w:t>
      </w:r>
      <w:r w:rsidRPr="00794A4D">
        <w:rPr>
          <w:iCs/>
        </w:rPr>
        <w:t>the International Convention on the Elimination of All Forms of Racial Discrimination</w:t>
      </w:r>
      <w:r>
        <w:rPr>
          <w:iCs/>
        </w:rPr>
        <w:t xml:space="preserve">; </w:t>
      </w:r>
      <w:r w:rsidRPr="00794A4D">
        <w:rPr>
          <w:iCs/>
        </w:rPr>
        <w:t>the Convention on the Elimination of All Forms of Discrimination against Women</w:t>
      </w:r>
      <w:r>
        <w:rPr>
          <w:iCs/>
        </w:rPr>
        <w:t xml:space="preserve">; </w:t>
      </w:r>
      <w:r w:rsidRPr="00794A4D">
        <w:rPr>
          <w:iCs/>
        </w:rPr>
        <w:t>the Convention against Torture and Other Cruel, Inhuman or Degrading Treatment or Punishment</w:t>
      </w:r>
      <w:r>
        <w:rPr>
          <w:iCs/>
        </w:rPr>
        <w:t xml:space="preserve">; </w:t>
      </w:r>
      <w:r w:rsidRPr="00794A4D">
        <w:rPr>
          <w:iCs/>
        </w:rPr>
        <w:t>the Convention on the Rights of the Child</w:t>
      </w:r>
      <w:r>
        <w:rPr>
          <w:iCs/>
        </w:rPr>
        <w:t xml:space="preserve">; and </w:t>
      </w:r>
      <w:r w:rsidRPr="00794A4D">
        <w:rPr>
          <w:iCs/>
        </w:rPr>
        <w:t xml:space="preserve">the Convention on the Rights of Persons with Disabilities. </w:t>
      </w:r>
    </w:p>
    <w:p w14:paraId="6FF0A4CF" w14:textId="77777777" w:rsidR="00794A4D" w:rsidRDefault="00794A4D" w:rsidP="00794A4D">
      <w:pPr>
        <w:rPr>
          <w:iCs/>
        </w:rPr>
      </w:pPr>
    </w:p>
    <w:p w14:paraId="6FF0A4D0" w14:textId="77777777" w:rsidR="00794A4D" w:rsidRDefault="00794A4D" w:rsidP="00794A4D">
      <w:pPr>
        <w:spacing w:after="240"/>
        <w:rPr>
          <w:iCs/>
        </w:rPr>
      </w:pPr>
      <w:r w:rsidRPr="00175588">
        <w:rPr>
          <w:iCs/>
        </w:rPr>
        <w:t xml:space="preserve">Australia ratified </w:t>
      </w:r>
      <w:r>
        <w:rPr>
          <w:iCs/>
        </w:rPr>
        <w:t>the Optional Protocol to the Convention Against Torture and Other Cruel, Inhuman or Degrading Treatment or Punishment</w:t>
      </w:r>
      <w:r w:rsidRPr="00175588">
        <w:rPr>
          <w:iCs/>
        </w:rPr>
        <w:t xml:space="preserve"> </w:t>
      </w:r>
      <w:r>
        <w:rPr>
          <w:iCs/>
        </w:rPr>
        <w:t xml:space="preserve">(OPCAT) </w:t>
      </w:r>
      <w:r w:rsidRPr="00175588">
        <w:rPr>
          <w:iCs/>
        </w:rPr>
        <w:t>on 21 December 2017.</w:t>
      </w:r>
      <w:r>
        <w:rPr>
          <w:iCs/>
        </w:rPr>
        <w:t xml:space="preserve"> </w:t>
      </w:r>
    </w:p>
    <w:p w14:paraId="6FF0A4D1" w14:textId="77777777" w:rsidR="00A836DC" w:rsidRDefault="00A836DC" w:rsidP="00A836DC">
      <w:pPr>
        <w:rPr>
          <w:i/>
          <w:iCs/>
        </w:rPr>
      </w:pPr>
      <w:r>
        <w:rPr>
          <w:i/>
          <w:iCs/>
        </w:rPr>
        <w:t xml:space="preserve">Australia’s engagement in treaty body reporting </w:t>
      </w:r>
    </w:p>
    <w:p w14:paraId="6FF0A4D2" w14:textId="77777777" w:rsidR="00A836DC" w:rsidRDefault="00A836DC" w:rsidP="00A836DC">
      <w:pPr>
        <w:rPr>
          <w:i/>
          <w:iCs/>
        </w:rPr>
      </w:pPr>
    </w:p>
    <w:p w14:paraId="6FF0A4D3" w14:textId="77777777" w:rsidR="00A836DC" w:rsidRPr="00175588" w:rsidRDefault="00A836DC" w:rsidP="00A836DC">
      <w:pPr>
        <w:rPr>
          <w:iCs/>
        </w:rPr>
      </w:pPr>
      <w:r w:rsidRPr="00175588">
        <w:rPr>
          <w:iCs/>
        </w:rPr>
        <w:t>The Australian Government is a strong supporter of the independent United Nations human rights monitoring system. Australia takes its obligations seriously and appreciates t</w:t>
      </w:r>
      <w:r>
        <w:rPr>
          <w:iCs/>
        </w:rPr>
        <w:t>he opportunity to reflect on</w:t>
      </w:r>
      <w:r w:rsidRPr="00175588">
        <w:rPr>
          <w:iCs/>
        </w:rPr>
        <w:t xml:space="preserve"> achievements and challen</w:t>
      </w:r>
      <w:r>
        <w:rPr>
          <w:iCs/>
        </w:rPr>
        <w:t>ges in the implementation of its</w:t>
      </w:r>
      <w:r w:rsidRPr="00175588">
        <w:rPr>
          <w:iCs/>
        </w:rPr>
        <w:t xml:space="preserve"> international </w:t>
      </w:r>
      <w:r>
        <w:rPr>
          <w:iCs/>
        </w:rPr>
        <w:t xml:space="preserve">human rights </w:t>
      </w:r>
      <w:r w:rsidRPr="00175588">
        <w:rPr>
          <w:iCs/>
        </w:rPr>
        <w:t>obligations.  Australia dedicates significant resources to this work and will continue to support the system and engage constructively</w:t>
      </w:r>
      <w:r>
        <w:rPr>
          <w:iCs/>
        </w:rPr>
        <w:t xml:space="preserve"> with human rights treaty bodies</w:t>
      </w:r>
      <w:r w:rsidRPr="00175588">
        <w:rPr>
          <w:iCs/>
        </w:rPr>
        <w:t xml:space="preserve">. </w:t>
      </w:r>
    </w:p>
    <w:p w14:paraId="6FF0A4D4" w14:textId="77777777" w:rsidR="00A836DC" w:rsidRPr="00175588" w:rsidRDefault="00A836DC" w:rsidP="00A836DC">
      <w:pPr>
        <w:rPr>
          <w:iCs/>
        </w:rPr>
      </w:pPr>
    </w:p>
    <w:p w14:paraId="6FF0A4D5" w14:textId="77777777" w:rsidR="00A836DC" w:rsidRDefault="00A836DC" w:rsidP="00A836DC">
      <w:pPr>
        <w:rPr>
          <w:iCs/>
        </w:rPr>
      </w:pPr>
      <w:r>
        <w:rPr>
          <w:iCs/>
        </w:rPr>
        <w:t xml:space="preserve">In 2016, Australia </w:t>
      </w:r>
      <w:r w:rsidRPr="00175588">
        <w:rPr>
          <w:iCs/>
        </w:rPr>
        <w:t xml:space="preserve">submitted </w:t>
      </w:r>
      <w:r>
        <w:rPr>
          <w:iCs/>
        </w:rPr>
        <w:t xml:space="preserve">three written </w:t>
      </w:r>
      <w:r w:rsidRPr="00175588">
        <w:rPr>
          <w:iCs/>
        </w:rPr>
        <w:t>reports</w:t>
      </w:r>
      <w:r>
        <w:rPr>
          <w:iCs/>
        </w:rPr>
        <w:t xml:space="preserve">: </w:t>
      </w:r>
    </w:p>
    <w:p w14:paraId="6FF0A4D6" w14:textId="77777777" w:rsidR="00A836DC" w:rsidRPr="00155B66" w:rsidRDefault="00A836DC" w:rsidP="00A836DC">
      <w:pPr>
        <w:pStyle w:val="ListParagraph"/>
        <w:widowControl/>
        <w:numPr>
          <w:ilvl w:val="0"/>
          <w:numId w:val="19"/>
        </w:numPr>
        <w:contextualSpacing/>
      </w:pPr>
      <w:r>
        <w:rPr>
          <w:iCs/>
        </w:rPr>
        <w:t xml:space="preserve">A periodic report to </w:t>
      </w:r>
      <w:r w:rsidRPr="00155B66">
        <w:rPr>
          <w:iCs/>
        </w:rPr>
        <w:t>the Committee on Economic, Social and Cultural Rights,</w:t>
      </w:r>
    </w:p>
    <w:p w14:paraId="6FF0A4D7" w14:textId="77777777" w:rsidR="00A836DC" w:rsidRPr="00155B66" w:rsidRDefault="00A836DC" w:rsidP="00A836DC">
      <w:pPr>
        <w:pStyle w:val="ListParagraph"/>
        <w:widowControl/>
        <w:numPr>
          <w:ilvl w:val="0"/>
          <w:numId w:val="19"/>
        </w:numPr>
        <w:contextualSpacing/>
      </w:pPr>
      <w:r>
        <w:rPr>
          <w:iCs/>
        </w:rPr>
        <w:t xml:space="preserve">A periodic report to </w:t>
      </w:r>
      <w:r w:rsidRPr="00155B66">
        <w:rPr>
          <w:iCs/>
        </w:rPr>
        <w:t>the Human Rights Committee</w:t>
      </w:r>
      <w:r>
        <w:rPr>
          <w:iCs/>
        </w:rPr>
        <w:t>;</w:t>
      </w:r>
    </w:p>
    <w:p w14:paraId="6FF0A4D8" w14:textId="77777777" w:rsidR="00A836DC" w:rsidRDefault="00A836DC" w:rsidP="00A836DC">
      <w:pPr>
        <w:pStyle w:val="ListParagraph"/>
        <w:widowControl/>
        <w:numPr>
          <w:ilvl w:val="0"/>
          <w:numId w:val="19"/>
        </w:numPr>
        <w:contextualSpacing/>
      </w:pPr>
      <w:r>
        <w:rPr>
          <w:iCs/>
        </w:rPr>
        <w:t xml:space="preserve">A periodic report to </w:t>
      </w:r>
      <w:r w:rsidRPr="00155B66">
        <w:rPr>
          <w:iCs/>
        </w:rPr>
        <w:t xml:space="preserve">the Committee on the Elimination of Racial Discrimination. </w:t>
      </w:r>
    </w:p>
    <w:p w14:paraId="6FF0A4D9" w14:textId="77777777" w:rsidR="00A836DC" w:rsidRPr="0097300C" w:rsidRDefault="00A836DC" w:rsidP="00A836DC">
      <w:pPr>
        <w:spacing w:before="120"/>
        <w:ind w:left="45"/>
      </w:pPr>
      <w:r w:rsidRPr="00155B66">
        <w:rPr>
          <w:iCs/>
        </w:rPr>
        <w:t>Australia appeared before these three committees in 2017.</w:t>
      </w:r>
      <w:r>
        <w:rPr>
          <w:iCs/>
        </w:rPr>
        <w:t xml:space="preserve"> During 2017, Australia also submitted a written response to a list of issues provided by the </w:t>
      </w:r>
      <w:r w:rsidRPr="00155B66">
        <w:rPr>
          <w:iCs/>
        </w:rPr>
        <w:t>Committee on Economic, Social and Cultural Rights</w:t>
      </w:r>
      <w:r>
        <w:rPr>
          <w:iCs/>
        </w:rPr>
        <w:t>.</w:t>
      </w:r>
    </w:p>
    <w:p w14:paraId="6FF0A4DA" w14:textId="77777777" w:rsidR="00A836DC" w:rsidRDefault="00A836DC" w:rsidP="00A836DC">
      <w:pPr>
        <w:rPr>
          <w:iCs/>
        </w:rPr>
      </w:pPr>
      <w:r>
        <w:rPr>
          <w:iCs/>
        </w:rPr>
        <w:t xml:space="preserve"> </w:t>
      </w:r>
    </w:p>
    <w:p w14:paraId="6FF0A4DB" w14:textId="77777777" w:rsidR="00A836DC" w:rsidRDefault="00A836DC" w:rsidP="00A836DC">
      <w:pPr>
        <w:rPr>
          <w:iCs/>
        </w:rPr>
      </w:pPr>
      <w:r>
        <w:rPr>
          <w:iCs/>
        </w:rPr>
        <w:t xml:space="preserve">In 2018, Australia </w:t>
      </w:r>
      <w:r w:rsidRPr="00175588">
        <w:rPr>
          <w:iCs/>
        </w:rPr>
        <w:t>submitted its report to the Committee on the Rights of Child</w:t>
      </w:r>
      <w:r>
        <w:rPr>
          <w:iCs/>
        </w:rPr>
        <w:t xml:space="preserve">, </w:t>
      </w:r>
      <w:r w:rsidRPr="00175588">
        <w:rPr>
          <w:iCs/>
        </w:rPr>
        <w:t xml:space="preserve">will appear before the Committee on the Elimination of Discrimination </w:t>
      </w:r>
      <w:r>
        <w:rPr>
          <w:iCs/>
        </w:rPr>
        <w:t>A</w:t>
      </w:r>
      <w:r w:rsidRPr="00175588">
        <w:rPr>
          <w:iCs/>
        </w:rPr>
        <w:t>gainst Women</w:t>
      </w:r>
      <w:r>
        <w:rPr>
          <w:iCs/>
        </w:rPr>
        <w:t xml:space="preserve">, and </w:t>
      </w:r>
      <w:r w:rsidRPr="00175588">
        <w:rPr>
          <w:iCs/>
        </w:rPr>
        <w:t>will submit report</w:t>
      </w:r>
      <w:r>
        <w:rPr>
          <w:iCs/>
        </w:rPr>
        <w:t>s</w:t>
      </w:r>
      <w:r w:rsidRPr="00175588">
        <w:rPr>
          <w:iCs/>
        </w:rPr>
        <w:t xml:space="preserve"> to</w:t>
      </w:r>
      <w:r>
        <w:rPr>
          <w:iCs/>
        </w:rPr>
        <w:t xml:space="preserve"> the Committee against Torture and </w:t>
      </w:r>
      <w:r w:rsidRPr="00175588">
        <w:rPr>
          <w:iCs/>
        </w:rPr>
        <w:t xml:space="preserve">the Committee on the Rights of Persons with Disabilities. </w:t>
      </w:r>
      <w:r>
        <w:rPr>
          <w:iCs/>
        </w:rPr>
        <w:t xml:space="preserve"> </w:t>
      </w:r>
      <w:r w:rsidRPr="00175588">
        <w:rPr>
          <w:iCs/>
        </w:rPr>
        <w:t>There is currently no backlog of reports due</w:t>
      </w:r>
      <w:r>
        <w:rPr>
          <w:iCs/>
        </w:rPr>
        <w:t>.</w:t>
      </w:r>
    </w:p>
    <w:p w14:paraId="6FF0A4DC" w14:textId="77777777" w:rsidR="00A836DC" w:rsidRDefault="00A836DC" w:rsidP="00A836DC">
      <w:pPr>
        <w:rPr>
          <w:iCs/>
        </w:rPr>
      </w:pPr>
    </w:p>
    <w:p w14:paraId="6FF0A4DD" w14:textId="77777777" w:rsidR="00A836DC" w:rsidRDefault="00A836DC" w:rsidP="00A836DC">
      <w:pPr>
        <w:rPr>
          <w:i/>
          <w:iCs/>
        </w:rPr>
      </w:pPr>
      <w:r>
        <w:rPr>
          <w:i/>
          <w:iCs/>
        </w:rPr>
        <w:t>Individual communications</w:t>
      </w:r>
    </w:p>
    <w:p w14:paraId="6FF0A4DE" w14:textId="77777777" w:rsidR="00A836DC" w:rsidRPr="00CD04B5" w:rsidRDefault="00A836DC" w:rsidP="00A836DC">
      <w:pPr>
        <w:rPr>
          <w:i/>
          <w:iCs/>
        </w:rPr>
      </w:pPr>
    </w:p>
    <w:p w14:paraId="6FF0A4DF" w14:textId="77777777" w:rsidR="00A836DC" w:rsidRPr="00175588" w:rsidRDefault="00A836DC" w:rsidP="00A836DC">
      <w:pPr>
        <w:rPr>
          <w:iCs/>
        </w:rPr>
      </w:pPr>
      <w:r w:rsidRPr="00175588">
        <w:rPr>
          <w:iCs/>
        </w:rPr>
        <w:t>In the i</w:t>
      </w:r>
      <w:r>
        <w:rPr>
          <w:iCs/>
        </w:rPr>
        <w:t>nterests of strengthening the United Nations</w:t>
      </w:r>
      <w:r w:rsidRPr="00175588">
        <w:rPr>
          <w:iCs/>
        </w:rPr>
        <w:t xml:space="preserve">, the Australian Government considers that it is important to approach treaty body reform from a holistic and harmonised perspective, focussed on </w:t>
      </w:r>
      <w:r w:rsidRPr="00175588">
        <w:rPr>
          <w:iCs/>
        </w:rPr>
        <w:lastRenderedPageBreak/>
        <w:t>improving the range of Committees’ work.</w:t>
      </w:r>
    </w:p>
    <w:p w14:paraId="6FF0A4E0" w14:textId="77777777" w:rsidR="00A836DC" w:rsidRPr="00175588" w:rsidRDefault="00A836DC" w:rsidP="00A836DC">
      <w:pPr>
        <w:rPr>
          <w:iCs/>
          <w:lang w:val="en-GB"/>
        </w:rPr>
      </w:pPr>
    </w:p>
    <w:p w14:paraId="6FF0A4E1" w14:textId="77777777" w:rsidR="00A836DC" w:rsidRPr="00175588" w:rsidRDefault="00A836DC" w:rsidP="00A836DC">
      <w:pPr>
        <w:spacing w:after="240"/>
        <w:rPr>
          <w:iCs/>
        </w:rPr>
      </w:pPr>
      <w:r w:rsidRPr="00175588">
        <w:rPr>
          <w:iCs/>
        </w:rPr>
        <w:t>There are a number of practices that Australia suggests could be considered to address the current backlog and improve the use of Committee time and resources while maintaining the integrity of the system as a whole.  For example:</w:t>
      </w:r>
    </w:p>
    <w:p w14:paraId="6FF0A4E2" w14:textId="77777777" w:rsidR="00A836DC" w:rsidRPr="00175588" w:rsidRDefault="00A836DC" w:rsidP="00A836DC">
      <w:pPr>
        <w:pStyle w:val="ListParagraph"/>
        <w:widowControl/>
        <w:numPr>
          <w:ilvl w:val="0"/>
          <w:numId w:val="17"/>
        </w:numPr>
        <w:contextualSpacing/>
        <w:rPr>
          <w:iCs/>
        </w:rPr>
      </w:pPr>
      <w:r w:rsidRPr="00175588">
        <w:rPr>
          <w:iCs/>
        </w:rPr>
        <w:t xml:space="preserve">Improving Committee efficiency by considering the admissibility of the communication before merits arguments are required and considered.   This would narrow the scope of many communications and reduce time and resources spent on unnecessarily responding to, translating and reviewing the merits of arguments that are ultimately found inadmissible by a Committee.   </w:t>
      </w:r>
    </w:p>
    <w:p w14:paraId="6FF0A4E3" w14:textId="77777777" w:rsidR="00A836DC" w:rsidRPr="00175588" w:rsidRDefault="00A836DC" w:rsidP="00A836DC">
      <w:pPr>
        <w:pStyle w:val="ListParagraph"/>
        <w:widowControl/>
        <w:numPr>
          <w:ilvl w:val="0"/>
          <w:numId w:val="17"/>
        </w:numPr>
        <w:contextualSpacing/>
        <w:rPr>
          <w:iCs/>
        </w:rPr>
      </w:pPr>
      <w:r w:rsidRPr="00175588">
        <w:rPr>
          <w:iCs/>
        </w:rPr>
        <w:t>Establishing clear timeframes/schedules for the Committees’ consideration of communications.</w:t>
      </w:r>
    </w:p>
    <w:p w14:paraId="6FF0A4E4" w14:textId="77777777" w:rsidR="00A836DC" w:rsidRPr="00175588" w:rsidRDefault="00A836DC" w:rsidP="00A836DC">
      <w:pPr>
        <w:pStyle w:val="ListParagraph"/>
        <w:widowControl/>
        <w:numPr>
          <w:ilvl w:val="0"/>
          <w:numId w:val="17"/>
        </w:numPr>
        <w:contextualSpacing/>
        <w:rPr>
          <w:iCs/>
        </w:rPr>
      </w:pPr>
      <w:r w:rsidRPr="00175588">
        <w:rPr>
          <w:iCs/>
        </w:rPr>
        <w:t>Limiting the number of times an author (and States) can lodge additional submissions with the Committee before the matter will be considered.</w:t>
      </w:r>
    </w:p>
    <w:p w14:paraId="6FF0A4E5" w14:textId="77777777" w:rsidR="00794A4D" w:rsidRDefault="00A836DC" w:rsidP="00A836DC">
      <w:pPr>
        <w:pStyle w:val="ListParagraph"/>
        <w:widowControl/>
        <w:numPr>
          <w:ilvl w:val="0"/>
          <w:numId w:val="17"/>
        </w:numPr>
        <w:contextualSpacing/>
        <w:rPr>
          <w:iCs/>
        </w:rPr>
      </w:pPr>
      <w:r w:rsidRPr="00175588">
        <w:rPr>
          <w:iCs/>
        </w:rPr>
        <w:t>Reviewing whether the current templates for the lodgement of communications and page limits for submissions are appropriate to ensuring the targeted provision of information to the Committees.</w:t>
      </w:r>
    </w:p>
    <w:p w14:paraId="6FF0A4E6" w14:textId="77777777" w:rsidR="00A836DC" w:rsidRDefault="00A836DC" w:rsidP="00794A4D">
      <w:pPr>
        <w:widowControl/>
        <w:contextualSpacing/>
        <w:rPr>
          <w:iCs/>
        </w:rPr>
      </w:pPr>
      <w:r w:rsidRPr="00794A4D">
        <w:rPr>
          <w:iCs/>
        </w:rPr>
        <w:t xml:space="preserve">  </w:t>
      </w:r>
    </w:p>
    <w:tbl>
      <w:tblPr>
        <w:tblStyle w:val="TableGrid"/>
        <w:tblW w:w="0" w:type="auto"/>
        <w:tblLook w:val="04A0" w:firstRow="1" w:lastRow="0" w:firstColumn="1" w:lastColumn="0" w:noHBand="0" w:noVBand="1"/>
      </w:tblPr>
      <w:tblGrid>
        <w:gridCol w:w="9628"/>
      </w:tblGrid>
      <w:tr w:rsidR="00794A4D" w:rsidRPr="00794A4D" w14:paraId="6FF0A4ED" w14:textId="77777777" w:rsidTr="00794A4D">
        <w:tc>
          <w:tcPr>
            <w:tcW w:w="9628" w:type="dxa"/>
          </w:tcPr>
          <w:p w14:paraId="6FF0A4E7" w14:textId="77777777" w:rsidR="00794A4D" w:rsidRDefault="00794A4D" w:rsidP="00794A4D">
            <w:pPr>
              <w:widowControl/>
              <w:contextualSpacing/>
              <w:rPr>
                <w:b/>
                <w:iCs/>
              </w:rPr>
            </w:pPr>
          </w:p>
          <w:p w14:paraId="6FF0A4E8" w14:textId="77777777" w:rsidR="00794A4D" w:rsidRPr="00794A4D" w:rsidRDefault="00794A4D" w:rsidP="00794A4D">
            <w:pPr>
              <w:widowControl/>
              <w:contextualSpacing/>
              <w:rPr>
                <w:b/>
                <w:iCs/>
              </w:rPr>
            </w:pPr>
            <w:r>
              <w:rPr>
                <w:b/>
                <w:iCs/>
              </w:rPr>
              <w:t>Questionnaire</w:t>
            </w:r>
          </w:p>
          <w:p w14:paraId="6FF0A4E9" w14:textId="77777777" w:rsidR="00794A4D" w:rsidRPr="00794A4D" w:rsidRDefault="00794A4D" w:rsidP="00794A4D">
            <w:pPr>
              <w:widowControl/>
              <w:contextualSpacing/>
              <w:rPr>
                <w:iCs/>
              </w:rPr>
            </w:pPr>
          </w:p>
          <w:p w14:paraId="6FF0A4EA" w14:textId="77777777" w:rsidR="00794A4D" w:rsidRPr="0036474C" w:rsidRDefault="00794A4D" w:rsidP="00794A4D">
            <w:pPr>
              <w:pStyle w:val="ListParagraph"/>
              <w:widowControl/>
              <w:numPr>
                <w:ilvl w:val="0"/>
                <w:numId w:val="18"/>
              </w:numPr>
              <w:contextualSpacing/>
              <w:rPr>
                <w:b/>
                <w:iCs/>
              </w:rPr>
            </w:pPr>
            <w:r w:rsidRPr="0036474C">
              <w:rPr>
                <w:b/>
                <w:iCs/>
              </w:rPr>
              <w:t>Comments by States on the implementation of the General Assembly resolution 68/268 in general</w:t>
            </w:r>
          </w:p>
          <w:p w14:paraId="6FF0A4EB" w14:textId="77777777" w:rsidR="00794A4D" w:rsidRPr="0036474C" w:rsidRDefault="00794A4D" w:rsidP="00794A4D">
            <w:pPr>
              <w:pStyle w:val="ListParagraph"/>
              <w:widowControl/>
              <w:numPr>
                <w:ilvl w:val="0"/>
                <w:numId w:val="18"/>
              </w:numPr>
              <w:spacing w:before="240"/>
              <w:contextualSpacing/>
              <w:rPr>
                <w:b/>
                <w:iCs/>
              </w:rPr>
            </w:pPr>
            <w:r w:rsidRPr="0036474C">
              <w:rPr>
                <w:b/>
                <w:iCs/>
              </w:rPr>
              <w:t>Information on any action taken to follow-up on and/or implement provisions of the General Assembly resolution 68/268, which are specifically addressed to States</w:t>
            </w:r>
          </w:p>
          <w:p w14:paraId="6FF0A4EC" w14:textId="77777777" w:rsidR="00794A4D" w:rsidRPr="00794A4D" w:rsidRDefault="00794A4D" w:rsidP="00046A96">
            <w:pPr>
              <w:widowControl/>
              <w:contextualSpacing/>
              <w:rPr>
                <w:b/>
                <w:iCs/>
              </w:rPr>
            </w:pPr>
          </w:p>
        </w:tc>
      </w:tr>
    </w:tbl>
    <w:p w14:paraId="6FF0A4EE" w14:textId="77777777" w:rsidR="00A836DC" w:rsidRDefault="00A836DC" w:rsidP="00A836DC">
      <w:pPr>
        <w:rPr>
          <w:i/>
          <w:iCs/>
        </w:rPr>
      </w:pPr>
    </w:p>
    <w:p w14:paraId="6FF0A4EF" w14:textId="77777777" w:rsidR="00794A4D" w:rsidRDefault="00794A4D" w:rsidP="00A836DC">
      <w:pPr>
        <w:rPr>
          <w:iCs/>
        </w:rPr>
      </w:pPr>
      <w:r>
        <w:rPr>
          <w:iCs/>
        </w:rPr>
        <w:t>In respect of the Office of the High Commissioner for Human Rights’ specific request, Australia offers the following.</w:t>
      </w:r>
    </w:p>
    <w:p w14:paraId="6FF0A4F0" w14:textId="77777777" w:rsidR="00794A4D" w:rsidRPr="00794A4D" w:rsidRDefault="00794A4D" w:rsidP="00A836DC">
      <w:pPr>
        <w:rPr>
          <w:iCs/>
        </w:rPr>
      </w:pPr>
    </w:p>
    <w:p w14:paraId="6FF0A4F1" w14:textId="77777777" w:rsidR="00A836DC" w:rsidRPr="00CD04B5" w:rsidRDefault="00A836DC" w:rsidP="00A836DC">
      <w:pPr>
        <w:rPr>
          <w:i/>
          <w:iCs/>
        </w:rPr>
      </w:pPr>
      <w:r>
        <w:rPr>
          <w:i/>
          <w:iCs/>
        </w:rPr>
        <w:t xml:space="preserve">Paragraph 2 of the General Assembly Resolution: Adoption of the simplified reporting procedure </w:t>
      </w:r>
    </w:p>
    <w:p w14:paraId="6FF0A4F2" w14:textId="77777777" w:rsidR="00A836DC" w:rsidRDefault="00A836DC" w:rsidP="00A836DC">
      <w:pPr>
        <w:rPr>
          <w:iCs/>
        </w:rPr>
      </w:pPr>
    </w:p>
    <w:p w14:paraId="6FF0A4F3" w14:textId="77777777" w:rsidR="00A836DC" w:rsidRPr="00175588" w:rsidRDefault="00A836DC" w:rsidP="00A836DC">
      <w:pPr>
        <w:spacing w:after="240"/>
        <w:rPr>
          <w:iCs/>
        </w:rPr>
      </w:pPr>
      <w:r w:rsidRPr="00175588">
        <w:rPr>
          <w:iCs/>
        </w:rPr>
        <w:t xml:space="preserve">The Australian Government has adopted the simplified reporting procedure to facilitate preparation of reports under </w:t>
      </w:r>
      <w:r>
        <w:rPr>
          <w:iCs/>
        </w:rPr>
        <w:t xml:space="preserve">the ICCPR, CAT and CRPD.  Australia has not received an invitation to adopt the simplified reporting procedure under the CRC as that procedure is only available to States whose periodic reports are due from 1 September 2019 onwards.  </w:t>
      </w:r>
    </w:p>
    <w:p w14:paraId="6FF0A4F4" w14:textId="77777777" w:rsidR="00A836DC" w:rsidRDefault="00A836DC" w:rsidP="00A836DC">
      <w:pPr>
        <w:spacing w:after="240"/>
        <w:rPr>
          <w:iCs/>
        </w:rPr>
      </w:pPr>
      <w:r>
        <w:rPr>
          <w:iCs/>
        </w:rPr>
        <w:t>Australia considers that t</w:t>
      </w:r>
      <w:r w:rsidRPr="00175588">
        <w:rPr>
          <w:iCs/>
        </w:rPr>
        <w:t xml:space="preserve">he List of Issues Prior to Reporting (LOIPR) process is a positive move towards streamlining and focusing the reporting process. </w:t>
      </w:r>
    </w:p>
    <w:p w14:paraId="6FF0A4F5" w14:textId="77777777" w:rsidR="00A836DC" w:rsidRPr="0036474C" w:rsidRDefault="00A836DC" w:rsidP="00A836DC">
      <w:pPr>
        <w:spacing w:after="240"/>
        <w:rPr>
          <w:i/>
          <w:iCs/>
        </w:rPr>
      </w:pPr>
      <w:r>
        <w:rPr>
          <w:i/>
          <w:iCs/>
        </w:rPr>
        <w:t>Paragraph</w:t>
      </w:r>
      <w:r w:rsidRPr="0036474C">
        <w:rPr>
          <w:i/>
          <w:iCs/>
        </w:rPr>
        <w:t xml:space="preserve"> 3</w:t>
      </w:r>
      <w:r>
        <w:rPr>
          <w:i/>
          <w:iCs/>
        </w:rPr>
        <w:t xml:space="preserve"> of the General Assembly Resolution</w:t>
      </w:r>
      <w:r w:rsidRPr="0036474C">
        <w:rPr>
          <w:i/>
          <w:iCs/>
        </w:rPr>
        <w:t xml:space="preserve">: </w:t>
      </w:r>
      <w:r w:rsidRPr="00813A32">
        <w:rPr>
          <w:i/>
          <w:iCs/>
        </w:rPr>
        <w:t xml:space="preserve">Common </w:t>
      </w:r>
      <w:r>
        <w:rPr>
          <w:i/>
          <w:iCs/>
        </w:rPr>
        <w:t>C</w:t>
      </w:r>
      <w:r w:rsidRPr="0036474C">
        <w:rPr>
          <w:i/>
          <w:iCs/>
        </w:rPr>
        <w:t>ore</w:t>
      </w:r>
      <w:r>
        <w:rPr>
          <w:i/>
          <w:iCs/>
        </w:rPr>
        <w:t xml:space="preserve"> Document</w:t>
      </w:r>
    </w:p>
    <w:p w14:paraId="6FF0A4F6" w14:textId="77777777" w:rsidR="00A836DC" w:rsidRDefault="00A836DC" w:rsidP="00A836DC">
      <w:pPr>
        <w:spacing w:after="240"/>
        <w:rPr>
          <w:iCs/>
        </w:rPr>
      </w:pPr>
      <w:r>
        <w:rPr>
          <w:iCs/>
        </w:rPr>
        <w:t xml:space="preserve">Australia has lodged a </w:t>
      </w:r>
      <w:r w:rsidRPr="008A3BD0">
        <w:rPr>
          <w:iCs/>
        </w:rPr>
        <w:t>Common Core Document with the United Nations</w:t>
      </w:r>
      <w:r>
        <w:rPr>
          <w:iCs/>
        </w:rPr>
        <w:t xml:space="preserve"> to accompany</w:t>
      </w:r>
      <w:r w:rsidRPr="008A3BD0">
        <w:rPr>
          <w:iCs/>
        </w:rPr>
        <w:t xml:space="preserve"> report</w:t>
      </w:r>
      <w:r>
        <w:rPr>
          <w:iCs/>
        </w:rPr>
        <w:t>s</w:t>
      </w:r>
      <w:r w:rsidRPr="008A3BD0">
        <w:rPr>
          <w:iCs/>
        </w:rPr>
        <w:t xml:space="preserve"> Australia submits under the seven core human rights treaties. </w:t>
      </w:r>
    </w:p>
    <w:p w14:paraId="6FF0A4F7" w14:textId="77777777" w:rsidR="00A836DC" w:rsidRDefault="00A836DC" w:rsidP="00A836DC">
      <w:pPr>
        <w:rPr>
          <w:i/>
          <w:iCs/>
        </w:rPr>
      </w:pPr>
      <w:r>
        <w:rPr>
          <w:i/>
          <w:iCs/>
        </w:rPr>
        <w:t>Paragraph 8 of the General Assembly Resolution: Reprisals</w:t>
      </w:r>
    </w:p>
    <w:p w14:paraId="6FF0A4F8" w14:textId="77777777" w:rsidR="00A836DC" w:rsidRDefault="00A836DC" w:rsidP="00A836DC">
      <w:pPr>
        <w:rPr>
          <w:i/>
          <w:iCs/>
        </w:rPr>
      </w:pPr>
    </w:p>
    <w:p w14:paraId="6FF0A4F9" w14:textId="77777777" w:rsidR="00794A4D" w:rsidRDefault="00794A4D" w:rsidP="00794A4D">
      <w:pPr>
        <w:rPr>
          <w:iCs/>
        </w:rPr>
      </w:pPr>
      <w:r w:rsidRPr="00794A4D">
        <w:rPr>
          <w:iCs/>
        </w:rPr>
        <w:t>Australia is a traditional co-sponsor and strong defender of the resolution on  Cooperation with the United Nations, its representatives and mechanisms in the fi</w:t>
      </w:r>
      <w:r>
        <w:rPr>
          <w:iCs/>
        </w:rPr>
        <w:t xml:space="preserve">eld of human rights (reprisals). </w:t>
      </w:r>
      <w:r w:rsidR="00A836DC">
        <w:rPr>
          <w:iCs/>
        </w:rPr>
        <w:t xml:space="preserve">Australia condemns all acts of intimidation or reprisals against </w:t>
      </w:r>
      <w:r w:rsidR="0060221F" w:rsidRPr="0060221F">
        <w:rPr>
          <w:iCs/>
        </w:rPr>
        <w:t>individuals and groups who seek to cooperate, cooperate or have cooperated with the United Nations, its representatives and mechanisms in the field of human rights</w:t>
      </w:r>
      <w:r w:rsidR="00A836DC">
        <w:rPr>
          <w:iCs/>
        </w:rPr>
        <w:t xml:space="preserve">. At HRC35, Australia joined the Dutch-led joint statement committing to, inter alia, ‘engage robustly to prevent and address acts of intimidation and reprisals, speaking up to address such incidents when they occur’. </w:t>
      </w:r>
    </w:p>
    <w:p w14:paraId="6FF0A4FA" w14:textId="77777777" w:rsidR="00794A4D" w:rsidRDefault="00794A4D" w:rsidP="00794A4D">
      <w:pPr>
        <w:rPr>
          <w:iCs/>
        </w:rPr>
      </w:pPr>
    </w:p>
    <w:p w14:paraId="6FF0A4FB" w14:textId="77777777" w:rsidR="00A836DC" w:rsidRPr="0036474C" w:rsidRDefault="00A836DC" w:rsidP="00A836DC">
      <w:pPr>
        <w:spacing w:after="240"/>
        <w:rPr>
          <w:iCs/>
        </w:rPr>
      </w:pPr>
      <w:r>
        <w:rPr>
          <w:iCs/>
        </w:rPr>
        <w:t xml:space="preserve">The Australian Government values the important role civil society plays in ensuring transparency and accountability in human rights treaty body reporting. </w:t>
      </w:r>
      <w:r w:rsidRPr="00CC4413">
        <w:rPr>
          <w:iCs/>
        </w:rPr>
        <w:t>Australia actively seeks to engage civil society and NGOs during</w:t>
      </w:r>
      <w:r>
        <w:rPr>
          <w:iCs/>
        </w:rPr>
        <w:t xml:space="preserve"> </w:t>
      </w:r>
      <w:r w:rsidRPr="00CC4413">
        <w:rPr>
          <w:iCs/>
        </w:rPr>
        <w:t xml:space="preserve">the preparation of all human rights treaty reports. Additionally, in 2017 the Australian </w:t>
      </w:r>
      <w:r w:rsidRPr="00CC4413">
        <w:rPr>
          <w:iCs/>
        </w:rPr>
        <w:lastRenderedPageBreak/>
        <w:t xml:space="preserve">Government provided funding to </w:t>
      </w:r>
      <w:r>
        <w:rPr>
          <w:iCs/>
        </w:rPr>
        <w:t>civil society organisations</w:t>
      </w:r>
      <w:r w:rsidRPr="00CC4413">
        <w:rPr>
          <w:iCs/>
        </w:rPr>
        <w:t xml:space="preserve"> to undertake consultations and shadow reporting for Australia’s appearance before the Human Rights Committee</w:t>
      </w:r>
      <w:r>
        <w:rPr>
          <w:iCs/>
        </w:rPr>
        <w:t>, A</w:t>
      </w:r>
      <w:r w:rsidRPr="00CC4413">
        <w:rPr>
          <w:iCs/>
        </w:rPr>
        <w:t>ustralia’s appearance before the Committee on the Elimination of All Fo</w:t>
      </w:r>
      <w:r>
        <w:rPr>
          <w:iCs/>
        </w:rPr>
        <w:t xml:space="preserve">rms of Racial Discrimination </w:t>
      </w:r>
      <w:r w:rsidRPr="00CC4413">
        <w:rPr>
          <w:iCs/>
        </w:rPr>
        <w:t xml:space="preserve">and Australia’s report to the Committee on the Rights of the Child. </w:t>
      </w:r>
    </w:p>
    <w:p w14:paraId="6FF0A4FC" w14:textId="77777777" w:rsidR="00A836DC" w:rsidRDefault="00A836DC" w:rsidP="00A836DC">
      <w:pPr>
        <w:keepNext/>
        <w:rPr>
          <w:i/>
          <w:iCs/>
        </w:rPr>
      </w:pPr>
      <w:r>
        <w:rPr>
          <w:i/>
          <w:iCs/>
        </w:rPr>
        <w:t>Paragraph 10 of the General Assembly Resolution: nomination of experts to treaty bodies</w:t>
      </w:r>
    </w:p>
    <w:p w14:paraId="6FF0A4FD" w14:textId="77777777" w:rsidR="00A836DC" w:rsidRDefault="00A836DC" w:rsidP="00A836DC">
      <w:pPr>
        <w:rPr>
          <w:iCs/>
          <w:highlight w:val="yellow"/>
        </w:rPr>
      </w:pPr>
    </w:p>
    <w:p w14:paraId="6FF0A4FE" w14:textId="77777777" w:rsidR="00A836DC" w:rsidRDefault="00A836DC" w:rsidP="00A836DC">
      <w:pPr>
        <w:rPr>
          <w:iCs/>
        </w:rPr>
      </w:pPr>
      <w:r>
        <w:rPr>
          <w:iCs/>
        </w:rPr>
        <w:t>Australia seeks to nominate qualified and recognised experts to human rights treaty bodies as appropriate. The Australian Government will consider enhanced processes to identify and nominate suitable candidates for treaty bodies in 2018.</w:t>
      </w:r>
      <w:r w:rsidR="00BE089B">
        <w:rPr>
          <w:iCs/>
        </w:rPr>
        <w:t xml:space="preserve"> For example, Australia supports the nomination of Ms Rosemary Kayess, an accomplished human rights lawyer, researcher and academic, as candidate to the Committee on the Rights of Persons with Disabilities for the term 2019-2022.</w:t>
      </w:r>
    </w:p>
    <w:p w14:paraId="6FF0A4FF" w14:textId="77777777" w:rsidR="00A836DC" w:rsidRDefault="00A836DC" w:rsidP="00A836DC">
      <w:pPr>
        <w:rPr>
          <w:iCs/>
        </w:rPr>
      </w:pPr>
    </w:p>
    <w:p w14:paraId="6FF0A500" w14:textId="77777777" w:rsidR="00A836DC" w:rsidRPr="00235600" w:rsidRDefault="00A836DC" w:rsidP="00A836DC">
      <w:pPr>
        <w:keepNext/>
        <w:rPr>
          <w:i/>
          <w:iCs/>
        </w:rPr>
      </w:pPr>
      <w:r>
        <w:rPr>
          <w:i/>
          <w:iCs/>
        </w:rPr>
        <w:t>Paragraph 13 of the General Assembly Resolution</w:t>
      </w:r>
      <w:r w:rsidRPr="00235600">
        <w:rPr>
          <w:i/>
          <w:iCs/>
        </w:rPr>
        <w:t>: election of experts to treaty bodies</w:t>
      </w:r>
    </w:p>
    <w:p w14:paraId="6FF0A501" w14:textId="77777777" w:rsidR="00A836DC" w:rsidRPr="008A3BD0" w:rsidRDefault="00A836DC" w:rsidP="00A836DC">
      <w:pPr>
        <w:rPr>
          <w:iCs/>
        </w:rPr>
      </w:pPr>
    </w:p>
    <w:p w14:paraId="6FF0A502" w14:textId="77777777" w:rsidR="00A836DC" w:rsidRDefault="00A836DC" w:rsidP="00A836DC">
      <w:pPr>
        <w:rPr>
          <w:iCs/>
        </w:rPr>
      </w:pPr>
      <w:r>
        <w:rPr>
          <w:iCs/>
        </w:rPr>
        <w:t>Australia considers the qualifications, experience and expertise of candidates in the election of treaty body experts, and gives careful consideration to matters such as geographical distribution, gender balance and the participation of persons with a disability in the membership of human rights treaty bodies.</w:t>
      </w:r>
    </w:p>
    <w:p w14:paraId="6FF0A503" w14:textId="77777777" w:rsidR="00A836DC" w:rsidRPr="0036474C" w:rsidRDefault="00A836DC" w:rsidP="00A836DC">
      <w:pPr>
        <w:rPr>
          <w:iCs/>
        </w:rPr>
      </w:pPr>
    </w:p>
    <w:p w14:paraId="6FF0A504" w14:textId="77777777" w:rsidR="00A836DC" w:rsidRPr="0036474C" w:rsidRDefault="00A836DC" w:rsidP="00A836DC">
      <w:pPr>
        <w:spacing w:after="240"/>
        <w:rPr>
          <w:i/>
          <w:iCs/>
        </w:rPr>
      </w:pPr>
      <w:r>
        <w:rPr>
          <w:i/>
          <w:iCs/>
        </w:rPr>
        <w:t>Paragraph</w:t>
      </w:r>
      <w:r w:rsidRPr="0036474C">
        <w:rPr>
          <w:i/>
          <w:iCs/>
        </w:rPr>
        <w:t xml:space="preserve"> 20</w:t>
      </w:r>
      <w:r>
        <w:rPr>
          <w:i/>
          <w:iCs/>
        </w:rPr>
        <w:t xml:space="preserve"> of the General Assembly Resolution</w:t>
      </w:r>
      <w:r w:rsidRPr="0036474C">
        <w:rPr>
          <w:i/>
          <w:iCs/>
        </w:rPr>
        <w:t>: technical assistance re coordination of reporting</w:t>
      </w:r>
    </w:p>
    <w:p w14:paraId="6FF0A505" w14:textId="77777777" w:rsidR="00A836DC" w:rsidRPr="0036474C" w:rsidRDefault="00A836DC" w:rsidP="00A836DC">
      <w:pPr>
        <w:rPr>
          <w:iCs/>
        </w:rPr>
      </w:pPr>
      <w:r w:rsidRPr="0036474C">
        <w:rPr>
          <w:iCs/>
        </w:rPr>
        <w:t>In November 2015, Australian officials (who were in Geneva in connection with Australia’s second Universal Periodic Review) engaged the OHCHR in relation to the establishment of a Standing National Mechanism on Human Rights in Australia. During the 2015 Universal Periodic Review, Australia pledged that it would</w:t>
      </w:r>
      <w:r w:rsidRPr="0036474C">
        <w:t xml:space="preserve"> designate a standing national mechanism to strengthen its overall engagement with United Nations human rights reporting, </w:t>
      </w:r>
      <w:r w:rsidRPr="0036474C">
        <w:rPr>
          <w:iCs/>
        </w:rPr>
        <w:t xml:space="preserve">including coordination at a national level. In September 2016 Australian officials met with Dr </w:t>
      </w:r>
      <w:r w:rsidRPr="0036474C">
        <w:rPr>
          <w:bCs/>
          <w:iCs/>
        </w:rPr>
        <w:t>Chitra Massey</w:t>
      </w:r>
      <w:r w:rsidRPr="0036474C">
        <w:rPr>
          <w:iCs/>
        </w:rPr>
        <w:t>, Regional Representative for the High Commissioner for Human Rights, to further discuss Australia’s Standing National Mechanism.</w:t>
      </w:r>
    </w:p>
    <w:p w14:paraId="6FF0A506" w14:textId="77777777" w:rsidR="00A836DC" w:rsidRPr="0036474C" w:rsidRDefault="00A836DC" w:rsidP="00A836DC">
      <w:pPr>
        <w:rPr>
          <w:iCs/>
        </w:rPr>
      </w:pPr>
    </w:p>
    <w:p w14:paraId="6FF0A507" w14:textId="77777777" w:rsidR="00A836DC" w:rsidRPr="0036474C" w:rsidRDefault="00A836DC" w:rsidP="00A836DC">
      <w:pPr>
        <w:rPr>
          <w:iCs/>
        </w:rPr>
      </w:pPr>
      <w:r w:rsidRPr="0036474C">
        <w:rPr>
          <w:iCs/>
        </w:rPr>
        <w:t>Australia’s Standing National Mechanism on Human Rights was established in 2016 and comprises four parts:</w:t>
      </w:r>
    </w:p>
    <w:p w14:paraId="6FF0A508" w14:textId="77777777" w:rsidR="00A836DC" w:rsidRPr="0036474C" w:rsidRDefault="00A836DC" w:rsidP="00A836DC">
      <w:pPr>
        <w:pStyle w:val="ListParagraph"/>
        <w:widowControl/>
        <w:numPr>
          <w:ilvl w:val="0"/>
          <w:numId w:val="20"/>
        </w:numPr>
        <w:contextualSpacing/>
        <w:rPr>
          <w:iCs/>
        </w:rPr>
      </w:pPr>
      <w:r w:rsidRPr="0036474C">
        <w:rPr>
          <w:iCs/>
        </w:rPr>
        <w:t xml:space="preserve">An Australian Government Inter-departmental committee (IDC) involving departments responsible for leading UN human rights reporting and domestic human rights policies and programs. The IDC provides a coordinated, consistent and efficient approach to UN human rights reporting and other processes across government agencies. </w:t>
      </w:r>
    </w:p>
    <w:p w14:paraId="6FF0A509" w14:textId="77777777" w:rsidR="00A836DC" w:rsidRPr="0036474C" w:rsidRDefault="00A836DC" w:rsidP="00A836DC">
      <w:pPr>
        <w:pStyle w:val="ListParagraph"/>
        <w:widowControl/>
        <w:numPr>
          <w:ilvl w:val="0"/>
          <w:numId w:val="20"/>
        </w:numPr>
        <w:contextualSpacing/>
        <w:rPr>
          <w:iCs/>
        </w:rPr>
      </w:pPr>
      <w:r w:rsidRPr="0036474C">
        <w:rPr>
          <w:iCs/>
        </w:rPr>
        <w:t>The Commonwealth‐State‐Territory Standing Committee on Treaties</w:t>
      </w:r>
      <w:r w:rsidRPr="0036474C" w:rsidDel="009C178E">
        <w:rPr>
          <w:iCs/>
        </w:rPr>
        <w:t xml:space="preserve"> </w:t>
      </w:r>
      <w:r w:rsidRPr="0036474C">
        <w:rPr>
          <w:iCs/>
        </w:rPr>
        <w:t>(SCOT), which is an established network for consultation between Commonwealth, State and Territory governments on treaty matters, including on UN human rights treaty reporting and the UPR.</w:t>
      </w:r>
    </w:p>
    <w:p w14:paraId="6FF0A50A" w14:textId="77777777" w:rsidR="00A836DC" w:rsidRPr="0036474C" w:rsidRDefault="00A836DC" w:rsidP="00A836DC">
      <w:pPr>
        <w:pStyle w:val="ListParagraph"/>
        <w:widowControl/>
        <w:numPr>
          <w:ilvl w:val="0"/>
          <w:numId w:val="20"/>
        </w:numPr>
        <w:contextualSpacing/>
        <w:rPr>
          <w:iCs/>
        </w:rPr>
      </w:pPr>
      <w:r w:rsidRPr="0036474C">
        <w:rPr>
          <w:iCs/>
        </w:rPr>
        <w:t>A process for consultation with the Australian Human Rights Commission (AHRC), as Australia’s National Human Rights institution, as well as civil society; and,</w:t>
      </w:r>
    </w:p>
    <w:p w14:paraId="6FF0A50B" w14:textId="77777777" w:rsidR="00A836DC" w:rsidRPr="0036474C" w:rsidRDefault="00A836DC" w:rsidP="00A836DC">
      <w:pPr>
        <w:pStyle w:val="ListParagraph"/>
        <w:widowControl/>
        <w:numPr>
          <w:ilvl w:val="0"/>
          <w:numId w:val="20"/>
        </w:numPr>
        <w:contextualSpacing/>
        <w:rPr>
          <w:iCs/>
        </w:rPr>
      </w:pPr>
      <w:r w:rsidRPr="0036474C">
        <w:rPr>
          <w:iCs/>
        </w:rPr>
        <w:t>Publicly available information on Australia’s processes. For example, the Attorney-General’s Department website hosts information for the public on Australia’s UN human rights reporting processes, including information about the Standing National Mechanism and the UPR monitoring page(</w:t>
      </w:r>
      <w:hyperlink r:id="rId11" w:history="1">
        <w:r w:rsidRPr="0036474C">
          <w:rPr>
            <w:rStyle w:val="Hyperlink"/>
            <w:iCs/>
          </w:rPr>
          <w:t>https://www.ag.gov.au/RightsAndProtections/HumanRights/United-Nations-Human-Rights-Reporting/upr-recommendations/Pages/default.aspx</w:t>
        </w:r>
      </w:hyperlink>
      <w:r w:rsidRPr="0036474C">
        <w:rPr>
          <w:iCs/>
        </w:rPr>
        <w:t xml:space="preserve">) </w:t>
      </w:r>
    </w:p>
    <w:p w14:paraId="6FF0A50C" w14:textId="77777777" w:rsidR="00A836DC" w:rsidRPr="0036474C" w:rsidRDefault="00A836DC" w:rsidP="00A836DC">
      <w:pPr>
        <w:rPr>
          <w:iCs/>
        </w:rPr>
      </w:pPr>
    </w:p>
    <w:p w14:paraId="6FF0A50D" w14:textId="77777777" w:rsidR="00A836DC" w:rsidRPr="003375EC" w:rsidRDefault="00A836DC" w:rsidP="00A836DC">
      <w:pPr>
        <w:rPr>
          <w:iCs/>
        </w:rPr>
      </w:pPr>
      <w:r w:rsidRPr="0036474C">
        <w:rPr>
          <w:iCs/>
        </w:rPr>
        <w:t>Australia will continue to consider and review the operation of the Standing National Mechanism and make changes where required to ensure that it is effective and fulfils its purpose.</w:t>
      </w:r>
    </w:p>
    <w:p w14:paraId="6FF0A50E" w14:textId="77777777" w:rsidR="00A836DC" w:rsidRDefault="00A836DC" w:rsidP="00A836DC">
      <w:pPr>
        <w:rPr>
          <w:i/>
          <w:iCs/>
        </w:rPr>
      </w:pPr>
    </w:p>
    <w:p w14:paraId="6FF0A50F" w14:textId="77777777" w:rsidR="00A836DC" w:rsidRPr="00084398" w:rsidRDefault="00A836DC" w:rsidP="00A836DC">
      <w:pPr>
        <w:pStyle w:val="SingleTxt"/>
        <w:ind w:left="0"/>
        <w:rPr>
          <w:rFonts w:asciiTheme="minorHAnsi" w:hAnsiTheme="minorHAnsi"/>
          <w:lang w:val="en-GB"/>
        </w:rPr>
      </w:pPr>
    </w:p>
    <w:p w14:paraId="6FF0A510" w14:textId="77777777" w:rsidR="00D10294" w:rsidRPr="00B7686A" w:rsidRDefault="00D10294" w:rsidP="00A836DC">
      <w:pPr>
        <w:pStyle w:val="NormalforQ"/>
        <w:rPr>
          <w:rFonts w:ascii="Constantia" w:eastAsia="Times New Roman" w:hAnsi="Constantia"/>
          <w:b/>
          <w:szCs w:val="24"/>
          <w:u w:val="single"/>
        </w:rPr>
      </w:pPr>
    </w:p>
    <w:sectPr w:rsidR="00D10294" w:rsidRPr="00B7686A" w:rsidSect="00A4676A">
      <w:headerReference w:type="default" r:id="rId12"/>
      <w:footerReference w:type="default" r:id="rId13"/>
      <w:headerReference w:type="first" r:id="rId14"/>
      <w:footerReference w:type="first" r:id="rId15"/>
      <w:type w:val="continuous"/>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A513" w14:textId="77777777" w:rsidR="00EB12C4" w:rsidRDefault="00EB12C4" w:rsidP="00BE2C35">
      <w:r>
        <w:separator/>
      </w:r>
    </w:p>
  </w:endnote>
  <w:endnote w:type="continuationSeparator" w:id="0">
    <w:p w14:paraId="6FF0A514" w14:textId="77777777" w:rsidR="00EB12C4" w:rsidRDefault="00EB12C4" w:rsidP="00BE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85234818"/>
      <w:docPartObj>
        <w:docPartGallery w:val="Page Numbers (Bottom of Page)"/>
        <w:docPartUnique/>
      </w:docPartObj>
    </w:sdtPr>
    <w:sdtEndPr>
      <w:rPr>
        <w:b/>
      </w:rPr>
    </w:sdtEndPr>
    <w:sdtContent>
      <w:sdt>
        <w:sdtPr>
          <w:rPr>
            <w:b/>
            <w:sz w:val="18"/>
            <w:szCs w:val="18"/>
          </w:rPr>
          <w:id w:val="258258362"/>
          <w:docPartObj>
            <w:docPartGallery w:val="Page Numbers (Top of Page)"/>
            <w:docPartUnique/>
          </w:docPartObj>
        </w:sdtPr>
        <w:sdtEndPr/>
        <w:sdtContent>
          <w:p w14:paraId="6FF0A516" w14:textId="36394309" w:rsidR="00CA0C00" w:rsidRPr="00A4676A" w:rsidRDefault="00CA0C00" w:rsidP="00CA0C00">
            <w:pPr>
              <w:pStyle w:val="Footer"/>
              <w:jc w:val="right"/>
              <w:rPr>
                <w:b/>
                <w:sz w:val="18"/>
                <w:szCs w:val="18"/>
              </w:rPr>
            </w:pPr>
            <w:r w:rsidRPr="00A4676A">
              <w:rPr>
                <w:b/>
                <w:sz w:val="18"/>
                <w:szCs w:val="18"/>
              </w:rPr>
              <w:t xml:space="preserve">Page </w:t>
            </w:r>
            <w:r w:rsidRPr="00A4676A">
              <w:rPr>
                <w:b/>
                <w:bCs/>
                <w:sz w:val="18"/>
                <w:szCs w:val="18"/>
              </w:rPr>
              <w:fldChar w:fldCharType="begin"/>
            </w:r>
            <w:r w:rsidRPr="00A4676A">
              <w:rPr>
                <w:b/>
                <w:bCs/>
                <w:sz w:val="18"/>
                <w:szCs w:val="18"/>
              </w:rPr>
              <w:instrText xml:space="preserve"> PAGE </w:instrText>
            </w:r>
            <w:r w:rsidRPr="00A4676A">
              <w:rPr>
                <w:b/>
                <w:bCs/>
                <w:sz w:val="18"/>
                <w:szCs w:val="18"/>
              </w:rPr>
              <w:fldChar w:fldCharType="separate"/>
            </w:r>
            <w:r w:rsidR="00BF57A5">
              <w:rPr>
                <w:b/>
                <w:bCs/>
                <w:noProof/>
                <w:sz w:val="18"/>
                <w:szCs w:val="18"/>
              </w:rPr>
              <w:t>2</w:t>
            </w:r>
            <w:r w:rsidRPr="00A4676A">
              <w:rPr>
                <w:b/>
                <w:bCs/>
                <w:sz w:val="18"/>
                <w:szCs w:val="18"/>
              </w:rPr>
              <w:fldChar w:fldCharType="end"/>
            </w:r>
            <w:r w:rsidRPr="00A4676A">
              <w:rPr>
                <w:b/>
                <w:sz w:val="18"/>
                <w:szCs w:val="18"/>
              </w:rPr>
              <w:t xml:space="preserve"> of </w:t>
            </w:r>
            <w:r w:rsidRPr="00A4676A">
              <w:rPr>
                <w:b/>
                <w:bCs/>
                <w:sz w:val="18"/>
                <w:szCs w:val="18"/>
              </w:rPr>
              <w:fldChar w:fldCharType="begin"/>
            </w:r>
            <w:r w:rsidRPr="00A4676A">
              <w:rPr>
                <w:b/>
                <w:bCs/>
                <w:sz w:val="18"/>
                <w:szCs w:val="18"/>
              </w:rPr>
              <w:instrText xml:space="preserve"> NUMPAGES  </w:instrText>
            </w:r>
            <w:r w:rsidRPr="00A4676A">
              <w:rPr>
                <w:b/>
                <w:bCs/>
                <w:sz w:val="18"/>
                <w:szCs w:val="18"/>
              </w:rPr>
              <w:fldChar w:fldCharType="separate"/>
            </w:r>
            <w:r w:rsidR="00BF57A5">
              <w:rPr>
                <w:b/>
                <w:bCs/>
                <w:noProof/>
                <w:sz w:val="18"/>
                <w:szCs w:val="18"/>
              </w:rPr>
              <w:t>2</w:t>
            </w:r>
            <w:r w:rsidRPr="00A4676A">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764529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FF0A518" w14:textId="7CEDA515" w:rsidR="00CA0C00" w:rsidRPr="00CA0C00" w:rsidRDefault="00CA0C00" w:rsidP="00CA0C00">
            <w:pPr>
              <w:pStyle w:val="Footer"/>
              <w:jc w:val="right"/>
              <w:rPr>
                <w:sz w:val="18"/>
                <w:szCs w:val="18"/>
              </w:rPr>
            </w:pPr>
            <w:r w:rsidRPr="00CA0C00">
              <w:rPr>
                <w:sz w:val="18"/>
                <w:szCs w:val="18"/>
              </w:rPr>
              <w:t xml:space="preserve">Page </w:t>
            </w:r>
            <w:r w:rsidRPr="00CA0C00">
              <w:rPr>
                <w:bCs/>
                <w:sz w:val="18"/>
                <w:szCs w:val="18"/>
              </w:rPr>
              <w:fldChar w:fldCharType="begin"/>
            </w:r>
            <w:r w:rsidRPr="00CA0C00">
              <w:rPr>
                <w:bCs/>
                <w:sz w:val="18"/>
                <w:szCs w:val="18"/>
              </w:rPr>
              <w:instrText xml:space="preserve"> PAGE </w:instrText>
            </w:r>
            <w:r w:rsidRPr="00CA0C00">
              <w:rPr>
                <w:bCs/>
                <w:sz w:val="18"/>
                <w:szCs w:val="18"/>
              </w:rPr>
              <w:fldChar w:fldCharType="separate"/>
            </w:r>
            <w:r w:rsidR="00BF57A5">
              <w:rPr>
                <w:bCs/>
                <w:noProof/>
                <w:sz w:val="18"/>
                <w:szCs w:val="18"/>
              </w:rPr>
              <w:t>1</w:t>
            </w:r>
            <w:r w:rsidRPr="00CA0C00">
              <w:rPr>
                <w:bCs/>
                <w:sz w:val="18"/>
                <w:szCs w:val="18"/>
              </w:rPr>
              <w:fldChar w:fldCharType="end"/>
            </w:r>
            <w:r w:rsidRPr="00CA0C00">
              <w:rPr>
                <w:sz w:val="18"/>
                <w:szCs w:val="18"/>
              </w:rPr>
              <w:t xml:space="preserve"> of </w:t>
            </w:r>
            <w:r w:rsidRPr="00CA0C00">
              <w:rPr>
                <w:bCs/>
                <w:sz w:val="18"/>
                <w:szCs w:val="18"/>
              </w:rPr>
              <w:fldChar w:fldCharType="begin"/>
            </w:r>
            <w:r w:rsidRPr="00CA0C00">
              <w:rPr>
                <w:bCs/>
                <w:sz w:val="18"/>
                <w:szCs w:val="18"/>
              </w:rPr>
              <w:instrText xml:space="preserve"> NUMPAGES  </w:instrText>
            </w:r>
            <w:r w:rsidRPr="00CA0C00">
              <w:rPr>
                <w:bCs/>
                <w:sz w:val="18"/>
                <w:szCs w:val="18"/>
              </w:rPr>
              <w:fldChar w:fldCharType="separate"/>
            </w:r>
            <w:r w:rsidR="00BF57A5">
              <w:rPr>
                <w:bCs/>
                <w:noProof/>
                <w:sz w:val="18"/>
                <w:szCs w:val="18"/>
              </w:rPr>
              <w:t>1</w:t>
            </w:r>
            <w:r w:rsidRPr="00CA0C0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511" w14:textId="77777777" w:rsidR="00EB12C4" w:rsidRDefault="00EB12C4" w:rsidP="00BE2C35">
      <w:r>
        <w:separator/>
      </w:r>
    </w:p>
  </w:footnote>
  <w:footnote w:type="continuationSeparator" w:id="0">
    <w:p w14:paraId="6FF0A512" w14:textId="77777777" w:rsidR="00EB12C4" w:rsidRDefault="00EB12C4" w:rsidP="00BE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0A515" w14:textId="77777777" w:rsidR="00BE2C35" w:rsidRPr="00BE2C35" w:rsidRDefault="00BE2C35" w:rsidP="00BE2C3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0A517" w14:textId="77777777" w:rsidR="00CA0C00" w:rsidRDefault="00CA0C00" w:rsidP="00CA0C00">
    <w:pPr>
      <w:pStyle w:val="Header"/>
      <w:jc w:val="center"/>
    </w:pPr>
    <w:r>
      <w:rPr>
        <w:noProof/>
        <w:lang w:val="en-GB" w:eastAsia="en-GB"/>
      </w:rPr>
      <w:drawing>
        <wp:inline distT="0" distB="0" distL="0" distR="0" wp14:anchorId="6FF0A519" wp14:editId="6FF0A51A">
          <wp:extent cx="2390603" cy="101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8117" cy="1024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2E4B"/>
    <w:multiLevelType w:val="hybridMultilevel"/>
    <w:tmpl w:val="6A5A9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C444D9"/>
    <w:multiLevelType w:val="hybridMultilevel"/>
    <w:tmpl w:val="172A0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87977"/>
    <w:multiLevelType w:val="hybridMultilevel"/>
    <w:tmpl w:val="49E8C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852A03"/>
    <w:multiLevelType w:val="hybridMultilevel"/>
    <w:tmpl w:val="BF4C6842"/>
    <w:lvl w:ilvl="0" w:tplc="244276C4">
      <w:start w:val="1"/>
      <w:numFmt w:val="bullet"/>
      <w:pStyle w:val="Style1forQ"/>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22AC9"/>
    <w:multiLevelType w:val="hybridMultilevel"/>
    <w:tmpl w:val="53B24E32"/>
    <w:lvl w:ilvl="0" w:tplc="4C8E7044">
      <w:start w:val="1"/>
      <w:numFmt w:val="lowerLetter"/>
      <w:pStyle w:val="QuestionLevel2WGDA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4E2E12"/>
    <w:multiLevelType w:val="multilevel"/>
    <w:tmpl w:val="51B2917C"/>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o"/>
      <w:lvlJc w:val="left"/>
      <w:pPr>
        <w:tabs>
          <w:tab w:val="num" w:pos="1701"/>
        </w:tabs>
        <w:ind w:left="1701" w:hanging="567"/>
      </w:pPr>
      <w:rPr>
        <w:rFonts w:ascii="Courier New" w:hAnsi="Courier New" w:cs="Courier New"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263B6ED9"/>
    <w:multiLevelType w:val="multilevel"/>
    <w:tmpl w:val="8996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27647"/>
    <w:multiLevelType w:val="hybridMultilevel"/>
    <w:tmpl w:val="9FA86E42"/>
    <w:lvl w:ilvl="0" w:tplc="43D2305C">
      <w:start w:val="1"/>
      <w:numFmt w:val="lowerLetter"/>
      <w:lvlText w:val="%1."/>
      <w:lvlJc w:val="left"/>
      <w:pPr>
        <w:ind w:left="100" w:hanging="284"/>
      </w:pPr>
      <w:rPr>
        <w:rFonts w:ascii="Times New Roman" w:eastAsia="Times New Roman" w:hAnsi="Times New Roman" w:hint="default"/>
        <w:spacing w:val="-1"/>
        <w:sz w:val="24"/>
        <w:szCs w:val="24"/>
      </w:rPr>
    </w:lvl>
    <w:lvl w:ilvl="1" w:tplc="9634CD1E">
      <w:start w:val="1"/>
      <w:numFmt w:val="bullet"/>
      <w:lvlText w:val="•"/>
      <w:lvlJc w:val="left"/>
      <w:pPr>
        <w:ind w:left="1015" w:hanging="284"/>
      </w:pPr>
      <w:rPr>
        <w:rFonts w:hint="default"/>
      </w:rPr>
    </w:lvl>
    <w:lvl w:ilvl="2" w:tplc="93D617DA">
      <w:start w:val="1"/>
      <w:numFmt w:val="bullet"/>
      <w:lvlText w:val="•"/>
      <w:lvlJc w:val="left"/>
      <w:pPr>
        <w:ind w:left="1929" w:hanging="284"/>
      </w:pPr>
      <w:rPr>
        <w:rFonts w:hint="default"/>
      </w:rPr>
    </w:lvl>
    <w:lvl w:ilvl="3" w:tplc="64B29E66">
      <w:start w:val="1"/>
      <w:numFmt w:val="bullet"/>
      <w:lvlText w:val="•"/>
      <w:lvlJc w:val="left"/>
      <w:pPr>
        <w:ind w:left="2844" w:hanging="284"/>
      </w:pPr>
      <w:rPr>
        <w:rFonts w:hint="default"/>
      </w:rPr>
    </w:lvl>
    <w:lvl w:ilvl="4" w:tplc="5AE46A1C">
      <w:start w:val="1"/>
      <w:numFmt w:val="bullet"/>
      <w:lvlText w:val="•"/>
      <w:lvlJc w:val="left"/>
      <w:pPr>
        <w:ind w:left="3758" w:hanging="284"/>
      </w:pPr>
      <w:rPr>
        <w:rFonts w:hint="default"/>
      </w:rPr>
    </w:lvl>
    <w:lvl w:ilvl="5" w:tplc="391420B6">
      <w:start w:val="1"/>
      <w:numFmt w:val="bullet"/>
      <w:lvlText w:val="•"/>
      <w:lvlJc w:val="left"/>
      <w:pPr>
        <w:ind w:left="4673" w:hanging="284"/>
      </w:pPr>
      <w:rPr>
        <w:rFonts w:hint="default"/>
      </w:rPr>
    </w:lvl>
    <w:lvl w:ilvl="6" w:tplc="27C6264E">
      <w:start w:val="1"/>
      <w:numFmt w:val="bullet"/>
      <w:lvlText w:val="•"/>
      <w:lvlJc w:val="left"/>
      <w:pPr>
        <w:ind w:left="5588" w:hanging="284"/>
      </w:pPr>
      <w:rPr>
        <w:rFonts w:hint="default"/>
      </w:rPr>
    </w:lvl>
    <w:lvl w:ilvl="7" w:tplc="FB2EA412">
      <w:start w:val="1"/>
      <w:numFmt w:val="bullet"/>
      <w:lvlText w:val="•"/>
      <w:lvlJc w:val="left"/>
      <w:pPr>
        <w:ind w:left="6502" w:hanging="284"/>
      </w:pPr>
      <w:rPr>
        <w:rFonts w:hint="default"/>
      </w:rPr>
    </w:lvl>
    <w:lvl w:ilvl="8" w:tplc="CEB692E4">
      <w:start w:val="1"/>
      <w:numFmt w:val="bullet"/>
      <w:lvlText w:val="•"/>
      <w:lvlJc w:val="left"/>
      <w:pPr>
        <w:ind w:left="7417" w:hanging="284"/>
      </w:pPr>
      <w:rPr>
        <w:rFonts w:hint="default"/>
      </w:rPr>
    </w:lvl>
  </w:abstractNum>
  <w:abstractNum w:abstractNumId="8" w15:restartNumberingAfterBreak="0">
    <w:nsid w:val="3E806D71"/>
    <w:multiLevelType w:val="hybridMultilevel"/>
    <w:tmpl w:val="B1827B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85CDB"/>
    <w:multiLevelType w:val="hybridMultilevel"/>
    <w:tmpl w:val="F08CD890"/>
    <w:lvl w:ilvl="0" w:tplc="0C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0" w15:restartNumberingAfterBreak="0">
    <w:nsid w:val="48856A84"/>
    <w:multiLevelType w:val="hybridMultilevel"/>
    <w:tmpl w:val="0F129500"/>
    <w:lvl w:ilvl="0" w:tplc="66F4FE8A">
      <w:numFmt w:val="bullet"/>
      <w:lvlText w:val="-"/>
      <w:lvlJc w:val="left"/>
      <w:pPr>
        <w:ind w:left="1080" w:hanging="360"/>
      </w:pPr>
      <w:rPr>
        <w:rFonts w:ascii="Arial" w:eastAsia="Calibr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4B9A25B7"/>
    <w:multiLevelType w:val="hybridMultilevel"/>
    <w:tmpl w:val="223470DE"/>
    <w:lvl w:ilvl="0" w:tplc="7FEAB984">
      <w:start w:val="1"/>
      <w:numFmt w:val="decimal"/>
      <w:lvlText w:val="%1."/>
      <w:lvlJc w:val="left"/>
      <w:pPr>
        <w:ind w:left="820" w:hanging="720"/>
      </w:pPr>
      <w:rPr>
        <w:rFonts w:ascii="Times New Roman" w:eastAsia="Times New Roman" w:hAnsi="Times New Roman" w:hint="default"/>
        <w:sz w:val="24"/>
        <w:szCs w:val="24"/>
      </w:rPr>
    </w:lvl>
    <w:lvl w:ilvl="1" w:tplc="7FE4BCEC">
      <w:start w:val="1"/>
      <w:numFmt w:val="lowerLetter"/>
      <w:lvlText w:val="%2."/>
      <w:lvlJc w:val="left"/>
      <w:pPr>
        <w:ind w:left="100" w:hanging="720"/>
      </w:pPr>
      <w:rPr>
        <w:rFonts w:ascii="Times New Roman" w:eastAsia="Times New Roman" w:hAnsi="Times New Roman" w:hint="default"/>
        <w:spacing w:val="-1"/>
        <w:sz w:val="24"/>
        <w:szCs w:val="24"/>
      </w:rPr>
    </w:lvl>
    <w:lvl w:ilvl="2" w:tplc="39586E92">
      <w:start w:val="1"/>
      <w:numFmt w:val="bullet"/>
      <w:lvlText w:val="•"/>
      <w:lvlJc w:val="left"/>
      <w:pPr>
        <w:ind w:left="1756" w:hanging="720"/>
      </w:pPr>
      <w:rPr>
        <w:rFonts w:hint="default"/>
      </w:rPr>
    </w:lvl>
    <w:lvl w:ilvl="3" w:tplc="4724C5B2">
      <w:start w:val="1"/>
      <w:numFmt w:val="bullet"/>
      <w:lvlText w:val="•"/>
      <w:lvlJc w:val="left"/>
      <w:pPr>
        <w:ind w:left="2692" w:hanging="720"/>
      </w:pPr>
      <w:rPr>
        <w:rFonts w:hint="default"/>
      </w:rPr>
    </w:lvl>
    <w:lvl w:ilvl="4" w:tplc="CDE45BB4">
      <w:start w:val="1"/>
      <w:numFmt w:val="bullet"/>
      <w:lvlText w:val="•"/>
      <w:lvlJc w:val="left"/>
      <w:pPr>
        <w:ind w:left="3629" w:hanging="720"/>
      </w:pPr>
      <w:rPr>
        <w:rFonts w:hint="default"/>
      </w:rPr>
    </w:lvl>
    <w:lvl w:ilvl="5" w:tplc="80945666">
      <w:start w:val="1"/>
      <w:numFmt w:val="bullet"/>
      <w:lvlText w:val="•"/>
      <w:lvlJc w:val="left"/>
      <w:pPr>
        <w:ind w:left="4565" w:hanging="720"/>
      </w:pPr>
      <w:rPr>
        <w:rFonts w:hint="default"/>
      </w:rPr>
    </w:lvl>
    <w:lvl w:ilvl="6" w:tplc="FDBE1A0C">
      <w:start w:val="1"/>
      <w:numFmt w:val="bullet"/>
      <w:lvlText w:val="•"/>
      <w:lvlJc w:val="left"/>
      <w:pPr>
        <w:ind w:left="5501" w:hanging="720"/>
      </w:pPr>
      <w:rPr>
        <w:rFonts w:hint="default"/>
      </w:rPr>
    </w:lvl>
    <w:lvl w:ilvl="7" w:tplc="A5509DE4">
      <w:start w:val="1"/>
      <w:numFmt w:val="bullet"/>
      <w:lvlText w:val="•"/>
      <w:lvlJc w:val="left"/>
      <w:pPr>
        <w:ind w:left="6437" w:hanging="720"/>
      </w:pPr>
      <w:rPr>
        <w:rFonts w:hint="default"/>
      </w:rPr>
    </w:lvl>
    <w:lvl w:ilvl="8" w:tplc="A19C4D7C">
      <w:start w:val="1"/>
      <w:numFmt w:val="bullet"/>
      <w:lvlText w:val="•"/>
      <w:lvlJc w:val="left"/>
      <w:pPr>
        <w:ind w:left="7373" w:hanging="720"/>
      </w:pPr>
      <w:rPr>
        <w:rFonts w:hint="default"/>
      </w:rPr>
    </w:lvl>
  </w:abstractNum>
  <w:abstractNum w:abstractNumId="12" w15:restartNumberingAfterBreak="0">
    <w:nsid w:val="4C94217F"/>
    <w:multiLevelType w:val="hybridMultilevel"/>
    <w:tmpl w:val="9E024A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DD51BB5"/>
    <w:multiLevelType w:val="hybridMultilevel"/>
    <w:tmpl w:val="90E62C82"/>
    <w:lvl w:ilvl="0" w:tplc="0C090001">
      <w:start w:val="1"/>
      <w:numFmt w:val="bullet"/>
      <w:lvlText w:val=""/>
      <w:lvlJc w:val="left"/>
      <w:pPr>
        <w:ind w:left="360" w:hanging="360"/>
      </w:pPr>
      <w:rPr>
        <w:rFonts w:ascii="Symbol" w:hAnsi="Symbol" w:hint="default"/>
      </w:rPr>
    </w:lvl>
    <w:lvl w:ilvl="1" w:tplc="66F4FE8A">
      <w:numFmt w:val="bullet"/>
      <w:lvlText w:val="-"/>
      <w:lvlJc w:val="left"/>
      <w:pPr>
        <w:ind w:left="1080" w:hanging="360"/>
      </w:pPr>
      <w:rPr>
        <w:rFonts w:ascii="Arial" w:eastAsia="Calibri" w:hAnsi="Arial" w:cs="Aria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60C532AA"/>
    <w:multiLevelType w:val="hybridMultilevel"/>
    <w:tmpl w:val="6258655A"/>
    <w:lvl w:ilvl="0" w:tplc="3982B08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A9B0D97"/>
    <w:multiLevelType w:val="hybridMultilevel"/>
    <w:tmpl w:val="2E920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FF4AA2"/>
    <w:multiLevelType w:val="hybridMultilevel"/>
    <w:tmpl w:val="0802B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5"/>
  </w:num>
  <w:num w:numId="9">
    <w:abstractNumId w:val="0"/>
  </w:num>
  <w:num w:numId="10">
    <w:abstractNumId w:val="3"/>
  </w:num>
  <w:num w:numId="11">
    <w:abstractNumId w:val="5"/>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6"/>
  </w:num>
  <w:num w:numId="16">
    <w:abstractNumId w:val="10"/>
  </w:num>
  <w:num w:numId="17">
    <w:abstractNumId w:val="1"/>
  </w:num>
  <w:num w:numId="18">
    <w:abstractNumId w:val="14"/>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35"/>
    <w:rsid w:val="0001501C"/>
    <w:rsid w:val="000204C7"/>
    <w:rsid w:val="0002052E"/>
    <w:rsid w:val="00043933"/>
    <w:rsid w:val="00062A4A"/>
    <w:rsid w:val="000E45EA"/>
    <w:rsid w:val="001036A4"/>
    <w:rsid w:val="001C66FF"/>
    <w:rsid w:val="002571C7"/>
    <w:rsid w:val="002702CC"/>
    <w:rsid w:val="002A2BFA"/>
    <w:rsid w:val="002A4928"/>
    <w:rsid w:val="003802F8"/>
    <w:rsid w:val="00462E06"/>
    <w:rsid w:val="0049456B"/>
    <w:rsid w:val="004E6A2D"/>
    <w:rsid w:val="004F5033"/>
    <w:rsid w:val="00575912"/>
    <w:rsid w:val="0060221F"/>
    <w:rsid w:val="00794A4D"/>
    <w:rsid w:val="007D53DA"/>
    <w:rsid w:val="008D71BC"/>
    <w:rsid w:val="00903E49"/>
    <w:rsid w:val="009C6E35"/>
    <w:rsid w:val="00A4676A"/>
    <w:rsid w:val="00A836DC"/>
    <w:rsid w:val="00AB3CFF"/>
    <w:rsid w:val="00B2710D"/>
    <w:rsid w:val="00B648FC"/>
    <w:rsid w:val="00B7686A"/>
    <w:rsid w:val="00BE089B"/>
    <w:rsid w:val="00BE2C35"/>
    <w:rsid w:val="00BF1F0F"/>
    <w:rsid w:val="00BF57A5"/>
    <w:rsid w:val="00C61498"/>
    <w:rsid w:val="00CA0C00"/>
    <w:rsid w:val="00D10294"/>
    <w:rsid w:val="00E43578"/>
    <w:rsid w:val="00E50B68"/>
    <w:rsid w:val="00E736DF"/>
    <w:rsid w:val="00EB12C4"/>
    <w:rsid w:val="00EF7FB5"/>
    <w:rsid w:val="00F32670"/>
    <w:rsid w:val="00F75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0A4C6"/>
  <w15:chartTrackingRefBased/>
  <w15:docId w15:val="{7249A794-A5E0-4EFB-96C1-4BF0FCE4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2C35"/>
    <w:pPr>
      <w:widowControl w:val="0"/>
      <w:spacing w:after="0" w:line="240" w:lineRule="auto"/>
    </w:pPr>
    <w:rPr>
      <w:lang w:val="en-US"/>
    </w:rPr>
  </w:style>
  <w:style w:type="paragraph" w:styleId="Heading1">
    <w:name w:val="heading 1"/>
    <w:basedOn w:val="NormalforQ"/>
    <w:next w:val="Normal"/>
    <w:link w:val="Heading1Char"/>
    <w:uiPriority w:val="1"/>
    <w:qFormat/>
    <w:rsid w:val="00A4676A"/>
    <w:pPr>
      <w:outlineLvl w:val="0"/>
    </w:pPr>
    <w:rPr>
      <w:b/>
    </w:rPr>
  </w:style>
  <w:style w:type="paragraph" w:styleId="Heading2">
    <w:name w:val="heading 2"/>
    <w:basedOn w:val="NormalforQ"/>
    <w:next w:val="Normal"/>
    <w:link w:val="Heading2Char"/>
    <w:uiPriority w:val="1"/>
    <w:unhideWhenUsed/>
    <w:qFormat/>
    <w:rsid w:val="00A4676A"/>
    <w:pPr>
      <w:spacing w:line="276" w:lineRule="auto"/>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TopHeadingforQ"/>
    <w:next w:val="NormalforQ"/>
    <w:link w:val="BodyTextChar"/>
    <w:uiPriority w:val="1"/>
    <w:qFormat/>
    <w:rsid w:val="00A4676A"/>
    <w:pPr>
      <w:ind w:left="100"/>
      <w:jc w:val="left"/>
    </w:pPr>
    <w:rPr>
      <w:rFonts w:ascii="Constantia" w:eastAsia="Times New Roman" w:hAnsi="Constantia"/>
      <w:sz w:val="22"/>
      <w:szCs w:val="24"/>
    </w:rPr>
  </w:style>
  <w:style w:type="character" w:customStyle="1" w:styleId="BodyTextChar">
    <w:name w:val="Body Text Char"/>
    <w:basedOn w:val="DefaultParagraphFont"/>
    <w:link w:val="BodyText"/>
    <w:uiPriority w:val="1"/>
    <w:rsid w:val="00A4676A"/>
    <w:rPr>
      <w:rFonts w:ascii="Constantia" w:eastAsia="Times New Roman" w:hAnsi="Constantia"/>
      <w:b/>
      <w:szCs w:val="24"/>
      <w:u w:val="single"/>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列"/>
    <w:basedOn w:val="Normal"/>
    <w:link w:val="ListParagraphChar"/>
    <w:uiPriority w:val="34"/>
    <w:qFormat/>
    <w:rsid w:val="00BE2C35"/>
  </w:style>
  <w:style w:type="paragraph" w:styleId="Header">
    <w:name w:val="header"/>
    <w:basedOn w:val="Normal"/>
    <w:link w:val="HeaderChar"/>
    <w:uiPriority w:val="99"/>
    <w:unhideWhenUsed/>
    <w:rsid w:val="00BE2C35"/>
    <w:pPr>
      <w:tabs>
        <w:tab w:val="center" w:pos="4513"/>
        <w:tab w:val="right" w:pos="9026"/>
      </w:tabs>
    </w:pPr>
  </w:style>
  <w:style w:type="character" w:customStyle="1" w:styleId="HeaderChar">
    <w:name w:val="Header Char"/>
    <w:basedOn w:val="DefaultParagraphFont"/>
    <w:link w:val="Header"/>
    <w:uiPriority w:val="99"/>
    <w:rsid w:val="00BE2C35"/>
    <w:rPr>
      <w:lang w:val="en-US"/>
    </w:rPr>
  </w:style>
  <w:style w:type="paragraph" w:styleId="Footer">
    <w:name w:val="footer"/>
    <w:basedOn w:val="Normal"/>
    <w:link w:val="FooterChar"/>
    <w:uiPriority w:val="99"/>
    <w:unhideWhenUsed/>
    <w:rsid w:val="00BE2C35"/>
    <w:pPr>
      <w:tabs>
        <w:tab w:val="center" w:pos="4513"/>
        <w:tab w:val="right" w:pos="9026"/>
      </w:tabs>
    </w:pPr>
  </w:style>
  <w:style w:type="character" w:customStyle="1" w:styleId="FooterChar">
    <w:name w:val="Footer Char"/>
    <w:basedOn w:val="DefaultParagraphFont"/>
    <w:link w:val="Footer"/>
    <w:uiPriority w:val="99"/>
    <w:rsid w:val="00BE2C35"/>
    <w:rPr>
      <w:lang w:val="en-US"/>
    </w:rPr>
  </w:style>
  <w:style w:type="paragraph" w:customStyle="1" w:styleId="NormalforQ">
    <w:name w:val="Normal for Q"/>
    <w:basedOn w:val="Subtitle"/>
    <w:link w:val="NormalforQChar"/>
    <w:qFormat/>
    <w:rsid w:val="00BE2C35"/>
    <w:pPr>
      <w:widowControl/>
      <w:numPr>
        <w:ilvl w:val="0"/>
      </w:numPr>
      <w:spacing w:before="120" w:after="120"/>
    </w:pPr>
    <w:rPr>
      <w:rFonts w:eastAsiaTheme="minorHAnsi" w:cs="Helvetica"/>
      <w:color w:val="222222"/>
      <w:spacing w:val="0"/>
      <w:shd w:val="clear" w:color="auto" w:fill="FFFFFF"/>
      <w:lang w:val="en-AU"/>
    </w:rPr>
  </w:style>
  <w:style w:type="paragraph" w:styleId="Subtitle">
    <w:name w:val="Subtitle"/>
    <w:basedOn w:val="Normal"/>
    <w:next w:val="Normal"/>
    <w:link w:val="SubtitleChar"/>
    <w:uiPriority w:val="11"/>
    <w:qFormat/>
    <w:rsid w:val="00BE2C3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2C35"/>
    <w:rPr>
      <w:rFonts w:eastAsiaTheme="minorEastAsia"/>
      <w:color w:val="5A5A5A" w:themeColor="text1" w:themeTint="A5"/>
      <w:spacing w:val="15"/>
      <w:lang w:val="en-US"/>
    </w:rPr>
  </w:style>
  <w:style w:type="paragraph" w:customStyle="1" w:styleId="TopHeadingforQ">
    <w:name w:val="Top Heading for Q"/>
    <w:basedOn w:val="Normal"/>
    <w:qFormat/>
    <w:rsid w:val="00BE2C35"/>
    <w:pPr>
      <w:widowControl/>
      <w:spacing w:before="120" w:after="120"/>
      <w:jc w:val="center"/>
    </w:pPr>
    <w:rPr>
      <w:b/>
      <w:sz w:val="26"/>
      <w:szCs w:val="25"/>
      <w:u w:val="single"/>
      <w:lang w:val="en-AU"/>
    </w:rPr>
  </w:style>
  <w:style w:type="paragraph" w:customStyle="1" w:styleId="QuestionLevel1WGDAW">
    <w:name w:val="Question Level 1 WGDAW"/>
    <w:basedOn w:val="NormalforQ"/>
    <w:uiPriority w:val="1"/>
    <w:qFormat/>
    <w:rsid w:val="00CA0C00"/>
    <w:pPr>
      <w:spacing w:before="240"/>
    </w:pPr>
    <w:rPr>
      <w:rFonts w:ascii="Garamond" w:hAnsi="Garamond"/>
      <w:b/>
    </w:rPr>
  </w:style>
  <w:style w:type="paragraph" w:customStyle="1" w:styleId="QuestionLevel2WGDAW">
    <w:name w:val="Question Level 2 WGDAW"/>
    <w:basedOn w:val="NormalforQ"/>
    <w:uiPriority w:val="1"/>
    <w:qFormat/>
    <w:rsid w:val="00BE2C35"/>
    <w:pPr>
      <w:numPr>
        <w:numId w:val="3"/>
      </w:numPr>
    </w:pPr>
    <w:rPr>
      <w:rFonts w:ascii="Garamond" w:hAnsi="Garamond"/>
      <w:b/>
      <w:spacing w:val="-2"/>
    </w:rPr>
  </w:style>
  <w:style w:type="paragraph" w:styleId="BalloonText">
    <w:name w:val="Balloon Text"/>
    <w:basedOn w:val="Normal"/>
    <w:link w:val="BalloonTextChar"/>
    <w:uiPriority w:val="99"/>
    <w:semiHidden/>
    <w:unhideWhenUsed/>
    <w:rsid w:val="00B64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FC"/>
    <w:rPr>
      <w:rFonts w:ascii="Segoe UI" w:hAnsi="Segoe UI" w:cs="Segoe UI"/>
      <w:sz w:val="18"/>
      <w:szCs w:val="18"/>
      <w:lang w:val="en-US"/>
    </w:rPr>
  </w:style>
  <w:style w:type="character" w:customStyle="1" w:styleId="Heading1Char">
    <w:name w:val="Heading 1 Char"/>
    <w:basedOn w:val="DefaultParagraphFont"/>
    <w:link w:val="Heading1"/>
    <w:uiPriority w:val="1"/>
    <w:rsid w:val="00A4676A"/>
    <w:rPr>
      <w:rFonts w:cs="Helvetica"/>
      <w:b/>
      <w:color w:val="222222"/>
    </w:rPr>
  </w:style>
  <w:style w:type="character" w:customStyle="1" w:styleId="Heading2Char">
    <w:name w:val="Heading 2 Char"/>
    <w:basedOn w:val="DefaultParagraphFont"/>
    <w:link w:val="Heading2"/>
    <w:uiPriority w:val="1"/>
    <w:rsid w:val="00A4676A"/>
    <w:rPr>
      <w:rFonts w:cs="Helvetica"/>
      <w:i/>
      <w:color w:val="222222"/>
    </w:rPr>
  </w:style>
  <w:style w:type="character" w:styleId="Hyperlink">
    <w:name w:val="Hyperlink"/>
    <w:basedOn w:val="DefaultParagraphFont"/>
    <w:uiPriority w:val="99"/>
    <w:unhideWhenUsed/>
    <w:rsid w:val="00F75D4D"/>
    <w:rPr>
      <w:color w:val="0563C1" w:themeColor="hyperlink"/>
      <w:u w:val="single"/>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F75D4D"/>
    <w:rPr>
      <w:lang w:val="en-US"/>
    </w:rPr>
  </w:style>
  <w:style w:type="paragraph" w:customStyle="1" w:styleId="Style1forQ">
    <w:name w:val="Style1 for Q"/>
    <w:basedOn w:val="NormalforQ"/>
    <w:next w:val="NormalforQ"/>
    <w:link w:val="Style1forQChar"/>
    <w:uiPriority w:val="1"/>
    <w:qFormat/>
    <w:rsid w:val="00A4676A"/>
    <w:pPr>
      <w:numPr>
        <w:numId w:val="10"/>
      </w:numPr>
      <w:spacing w:before="0"/>
      <w:ind w:left="426" w:hanging="284"/>
      <w:contextualSpacing/>
    </w:pPr>
  </w:style>
  <w:style w:type="paragraph" w:styleId="EndnoteText">
    <w:name w:val="endnote text"/>
    <w:basedOn w:val="Normal"/>
    <w:link w:val="EndnoteTextChar"/>
    <w:uiPriority w:val="99"/>
    <w:semiHidden/>
    <w:unhideWhenUsed/>
    <w:rsid w:val="00A4676A"/>
    <w:rPr>
      <w:sz w:val="20"/>
      <w:szCs w:val="20"/>
    </w:rPr>
  </w:style>
  <w:style w:type="character" w:customStyle="1" w:styleId="NormalforQChar">
    <w:name w:val="Normal for Q Char"/>
    <w:basedOn w:val="SubtitleChar"/>
    <w:link w:val="NormalforQ"/>
    <w:rsid w:val="00A4676A"/>
    <w:rPr>
      <w:rFonts w:eastAsiaTheme="minorEastAsia" w:cs="Helvetica"/>
      <w:color w:val="222222"/>
      <w:spacing w:val="15"/>
      <w:lang w:val="en-US"/>
    </w:rPr>
  </w:style>
  <w:style w:type="character" w:customStyle="1" w:styleId="Style1forQChar">
    <w:name w:val="Style1 for Q Char"/>
    <w:basedOn w:val="NormalforQChar"/>
    <w:link w:val="Style1forQ"/>
    <w:uiPriority w:val="1"/>
    <w:rsid w:val="00A4676A"/>
    <w:rPr>
      <w:rFonts w:eastAsiaTheme="minorEastAsia" w:cs="Helvetica"/>
      <w:color w:val="222222"/>
      <w:spacing w:val="15"/>
      <w:lang w:val="en-US"/>
    </w:rPr>
  </w:style>
  <w:style w:type="character" w:customStyle="1" w:styleId="EndnoteTextChar">
    <w:name w:val="Endnote Text Char"/>
    <w:basedOn w:val="DefaultParagraphFont"/>
    <w:link w:val="EndnoteText"/>
    <w:uiPriority w:val="99"/>
    <w:semiHidden/>
    <w:rsid w:val="00A4676A"/>
    <w:rPr>
      <w:sz w:val="20"/>
      <w:szCs w:val="20"/>
      <w:lang w:val="en-US"/>
    </w:rPr>
  </w:style>
  <w:style w:type="character" w:styleId="EndnoteReference">
    <w:name w:val="endnote reference"/>
    <w:basedOn w:val="DefaultParagraphFont"/>
    <w:uiPriority w:val="99"/>
    <w:semiHidden/>
    <w:unhideWhenUsed/>
    <w:rsid w:val="00A4676A"/>
    <w:rPr>
      <w:vertAlign w:val="superscript"/>
    </w:rPr>
  </w:style>
  <w:style w:type="paragraph" w:styleId="FootnoteText">
    <w:name w:val="footnote text"/>
    <w:basedOn w:val="Normal"/>
    <w:link w:val="FootnoteTextChar"/>
    <w:uiPriority w:val="99"/>
    <w:semiHidden/>
    <w:unhideWhenUsed/>
    <w:rsid w:val="00A4676A"/>
    <w:rPr>
      <w:sz w:val="20"/>
      <w:szCs w:val="20"/>
    </w:rPr>
  </w:style>
  <w:style w:type="character" w:customStyle="1" w:styleId="FootnoteTextChar">
    <w:name w:val="Footnote Text Char"/>
    <w:basedOn w:val="DefaultParagraphFont"/>
    <w:link w:val="FootnoteText"/>
    <w:uiPriority w:val="99"/>
    <w:semiHidden/>
    <w:rsid w:val="00A4676A"/>
    <w:rPr>
      <w:sz w:val="20"/>
      <w:szCs w:val="20"/>
      <w:lang w:val="en-US"/>
    </w:rPr>
  </w:style>
  <w:style w:type="character" w:styleId="FootnoteReference">
    <w:name w:val="footnote reference"/>
    <w:basedOn w:val="DefaultParagraphFont"/>
    <w:uiPriority w:val="99"/>
    <w:semiHidden/>
    <w:unhideWhenUsed/>
    <w:rsid w:val="00A4676A"/>
    <w:rPr>
      <w:vertAlign w:val="superscript"/>
    </w:rPr>
  </w:style>
  <w:style w:type="table" w:styleId="TableGrid">
    <w:name w:val="Table Grid"/>
    <w:basedOn w:val="TableNormal"/>
    <w:uiPriority w:val="59"/>
    <w:rsid w:val="008D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qFormat/>
    <w:rsid w:val="00D10294"/>
    <w:pPr>
      <w:widowControl/>
      <w:numPr>
        <w:numId w:val="11"/>
      </w:numPr>
      <w:tabs>
        <w:tab w:val="clear" w:pos="567"/>
        <w:tab w:val="num" w:pos="360"/>
      </w:tabs>
      <w:ind w:left="720" w:firstLine="0"/>
      <w:contextualSpacing/>
    </w:pPr>
    <w:rPr>
      <w:rFonts w:ascii="Calibri" w:hAnsi="Calibri" w:cs="Times New Roman"/>
      <w:sz w:val="24"/>
      <w:szCs w:val="24"/>
      <w:lang w:val="en-AU"/>
    </w:rPr>
  </w:style>
  <w:style w:type="paragraph" w:customStyle="1" w:styleId="Bullet2">
    <w:name w:val="Bullet 2"/>
    <w:basedOn w:val="Bullet1"/>
    <w:qFormat/>
    <w:rsid w:val="00D10294"/>
    <w:pPr>
      <w:numPr>
        <w:ilvl w:val="1"/>
      </w:numPr>
      <w:tabs>
        <w:tab w:val="clear" w:pos="1134"/>
        <w:tab w:val="num" w:pos="360"/>
      </w:tabs>
    </w:pPr>
  </w:style>
  <w:style w:type="paragraph" w:customStyle="1" w:styleId="Bullet3">
    <w:name w:val="Bullet 3"/>
    <w:basedOn w:val="Bullet2"/>
    <w:qFormat/>
    <w:rsid w:val="00D10294"/>
    <w:pPr>
      <w:numPr>
        <w:ilvl w:val="2"/>
      </w:numPr>
      <w:tabs>
        <w:tab w:val="clear" w:pos="1701"/>
        <w:tab w:val="num" w:pos="360"/>
      </w:tabs>
    </w:pPr>
  </w:style>
  <w:style w:type="paragraph" w:customStyle="1" w:styleId="SingleTxt">
    <w:name w:val="__Single Txt"/>
    <w:basedOn w:val="Normal"/>
    <w:rsid w:val="00A836DC"/>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8188">
      <w:bodyDiv w:val="1"/>
      <w:marLeft w:val="0"/>
      <w:marRight w:val="0"/>
      <w:marTop w:val="0"/>
      <w:marBottom w:val="0"/>
      <w:divBdr>
        <w:top w:val="none" w:sz="0" w:space="0" w:color="auto"/>
        <w:left w:val="none" w:sz="0" w:space="0" w:color="auto"/>
        <w:bottom w:val="none" w:sz="0" w:space="0" w:color="auto"/>
        <w:right w:val="none" w:sz="0" w:space="0" w:color="auto"/>
      </w:divBdr>
      <w:divsChild>
        <w:div w:id="297348257">
          <w:marLeft w:val="0"/>
          <w:marRight w:val="0"/>
          <w:marTop w:val="0"/>
          <w:marBottom w:val="0"/>
          <w:divBdr>
            <w:top w:val="none" w:sz="0" w:space="0" w:color="auto"/>
            <w:left w:val="none" w:sz="0" w:space="0" w:color="auto"/>
            <w:bottom w:val="none" w:sz="0" w:space="0" w:color="auto"/>
            <w:right w:val="none" w:sz="0" w:space="0" w:color="auto"/>
          </w:divBdr>
          <w:divsChild>
            <w:div w:id="1748530555">
              <w:marLeft w:val="0"/>
              <w:marRight w:val="0"/>
              <w:marTop w:val="0"/>
              <w:marBottom w:val="0"/>
              <w:divBdr>
                <w:top w:val="none" w:sz="0" w:space="0" w:color="auto"/>
                <w:left w:val="none" w:sz="0" w:space="0" w:color="auto"/>
                <w:bottom w:val="none" w:sz="0" w:space="0" w:color="auto"/>
                <w:right w:val="none" w:sz="0" w:space="0" w:color="auto"/>
              </w:divBdr>
              <w:divsChild>
                <w:div w:id="2081757021">
                  <w:marLeft w:val="0"/>
                  <w:marRight w:val="0"/>
                  <w:marTop w:val="100"/>
                  <w:marBottom w:val="100"/>
                  <w:divBdr>
                    <w:top w:val="none" w:sz="0" w:space="0" w:color="auto"/>
                    <w:left w:val="none" w:sz="0" w:space="0" w:color="auto"/>
                    <w:bottom w:val="none" w:sz="0" w:space="0" w:color="auto"/>
                    <w:right w:val="none" w:sz="0" w:space="0" w:color="auto"/>
                  </w:divBdr>
                  <w:divsChild>
                    <w:div w:id="1744914510">
                      <w:marLeft w:val="0"/>
                      <w:marRight w:val="0"/>
                      <w:marTop w:val="0"/>
                      <w:marBottom w:val="0"/>
                      <w:divBdr>
                        <w:top w:val="none" w:sz="0" w:space="0" w:color="auto"/>
                        <w:left w:val="none" w:sz="0" w:space="0" w:color="auto"/>
                        <w:bottom w:val="none" w:sz="0" w:space="0" w:color="auto"/>
                        <w:right w:val="none" w:sz="0" w:space="0" w:color="auto"/>
                      </w:divBdr>
                      <w:divsChild>
                        <w:div w:id="1314212982">
                          <w:marLeft w:val="0"/>
                          <w:marRight w:val="0"/>
                          <w:marTop w:val="0"/>
                          <w:marBottom w:val="0"/>
                          <w:divBdr>
                            <w:top w:val="none" w:sz="0" w:space="0" w:color="auto"/>
                            <w:left w:val="none" w:sz="0" w:space="0" w:color="auto"/>
                            <w:bottom w:val="none" w:sz="0" w:space="0" w:color="auto"/>
                            <w:right w:val="none" w:sz="0" w:space="0" w:color="auto"/>
                          </w:divBdr>
                          <w:divsChild>
                            <w:div w:id="1604608769">
                              <w:marLeft w:val="0"/>
                              <w:marRight w:val="0"/>
                              <w:marTop w:val="0"/>
                              <w:marBottom w:val="0"/>
                              <w:divBdr>
                                <w:top w:val="none" w:sz="0" w:space="0" w:color="auto"/>
                                <w:left w:val="none" w:sz="0" w:space="0" w:color="auto"/>
                                <w:bottom w:val="none" w:sz="0" w:space="0" w:color="auto"/>
                                <w:right w:val="none" w:sz="0" w:space="0" w:color="auto"/>
                              </w:divBdr>
                              <w:divsChild>
                                <w:div w:id="666711677">
                                  <w:marLeft w:val="0"/>
                                  <w:marRight w:val="0"/>
                                  <w:marTop w:val="0"/>
                                  <w:marBottom w:val="0"/>
                                  <w:divBdr>
                                    <w:top w:val="none" w:sz="0" w:space="0" w:color="auto"/>
                                    <w:left w:val="none" w:sz="0" w:space="0" w:color="auto"/>
                                    <w:bottom w:val="none" w:sz="0" w:space="0" w:color="auto"/>
                                    <w:right w:val="none" w:sz="0" w:space="0" w:color="auto"/>
                                  </w:divBdr>
                                  <w:divsChild>
                                    <w:div w:id="2122874439">
                                      <w:marLeft w:val="0"/>
                                      <w:marRight w:val="0"/>
                                      <w:marTop w:val="0"/>
                                      <w:marBottom w:val="0"/>
                                      <w:divBdr>
                                        <w:top w:val="none" w:sz="0" w:space="0" w:color="auto"/>
                                        <w:left w:val="none" w:sz="0" w:space="0" w:color="auto"/>
                                        <w:bottom w:val="none" w:sz="0" w:space="0" w:color="auto"/>
                                        <w:right w:val="none" w:sz="0" w:space="0" w:color="auto"/>
                                      </w:divBdr>
                                      <w:divsChild>
                                        <w:div w:id="1920870386">
                                          <w:marLeft w:val="0"/>
                                          <w:marRight w:val="0"/>
                                          <w:marTop w:val="0"/>
                                          <w:marBottom w:val="360"/>
                                          <w:divBdr>
                                            <w:top w:val="none" w:sz="0" w:space="0" w:color="auto"/>
                                            <w:left w:val="none" w:sz="0" w:space="0" w:color="auto"/>
                                            <w:bottom w:val="none" w:sz="0" w:space="0" w:color="auto"/>
                                            <w:right w:val="none" w:sz="0" w:space="0" w:color="auto"/>
                                          </w:divBdr>
                                          <w:divsChild>
                                            <w:div w:id="1642688152">
                                              <w:marLeft w:val="0"/>
                                              <w:marRight w:val="0"/>
                                              <w:marTop w:val="0"/>
                                              <w:marBottom w:val="0"/>
                                              <w:divBdr>
                                                <w:top w:val="none" w:sz="0" w:space="0" w:color="auto"/>
                                                <w:left w:val="none" w:sz="0" w:space="0" w:color="auto"/>
                                                <w:bottom w:val="none" w:sz="0" w:space="0" w:color="auto"/>
                                                <w:right w:val="none" w:sz="0" w:space="0" w:color="auto"/>
                                              </w:divBdr>
                                              <w:divsChild>
                                                <w:div w:id="481509923">
                                                  <w:marLeft w:val="0"/>
                                                  <w:marRight w:val="0"/>
                                                  <w:marTop w:val="0"/>
                                                  <w:marBottom w:val="0"/>
                                                  <w:divBdr>
                                                    <w:top w:val="none" w:sz="0" w:space="0" w:color="auto"/>
                                                    <w:left w:val="none" w:sz="0" w:space="0" w:color="auto"/>
                                                    <w:bottom w:val="none" w:sz="0" w:space="0" w:color="auto"/>
                                                    <w:right w:val="none" w:sz="0" w:space="0" w:color="auto"/>
                                                  </w:divBdr>
                                                  <w:divsChild>
                                                    <w:div w:id="1214275181">
                                                      <w:marLeft w:val="5370"/>
                                                      <w:marRight w:val="0"/>
                                                      <w:marTop w:val="120"/>
                                                      <w:marBottom w:val="0"/>
                                                      <w:divBdr>
                                                        <w:top w:val="none" w:sz="0" w:space="0" w:color="auto"/>
                                                        <w:left w:val="none" w:sz="0" w:space="0" w:color="auto"/>
                                                        <w:bottom w:val="none" w:sz="0" w:space="0" w:color="auto"/>
                                                        <w:right w:val="none" w:sz="0" w:space="0" w:color="auto"/>
                                                      </w:divBdr>
                                                      <w:divsChild>
                                                        <w:div w:id="2569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867797">
      <w:bodyDiv w:val="1"/>
      <w:marLeft w:val="0"/>
      <w:marRight w:val="0"/>
      <w:marTop w:val="0"/>
      <w:marBottom w:val="0"/>
      <w:divBdr>
        <w:top w:val="none" w:sz="0" w:space="0" w:color="auto"/>
        <w:left w:val="none" w:sz="0" w:space="0" w:color="auto"/>
        <w:bottom w:val="none" w:sz="0" w:space="0" w:color="auto"/>
        <w:right w:val="none" w:sz="0" w:space="0" w:color="auto"/>
      </w:divBdr>
    </w:div>
    <w:div w:id="15298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gov.au/RightsAndProtections/HumanRights/United-Nations-Human-Rights-Reporting/upr-recommendations/Pages/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3679-6136-4D27-9F12-31B9C7D25DCA}">
  <ds:schemaRefs>
    <ds:schemaRef ds:uri="http://schemas.microsoft.com/sharepoint/v3/contenttype/forms"/>
  </ds:schemaRefs>
</ds:datastoreItem>
</file>

<file path=customXml/itemProps2.xml><?xml version="1.0" encoding="utf-8"?>
<ds:datastoreItem xmlns:ds="http://schemas.openxmlformats.org/officeDocument/2006/customXml" ds:itemID="{C2A5908B-8FC1-454A-8B8C-17A006BB3D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D2398B4-4202-466E-B12F-6224672F6477}"/>
</file>

<file path=customXml/itemProps4.xml><?xml version="1.0" encoding="utf-8"?>
<ds:datastoreItem xmlns:ds="http://schemas.openxmlformats.org/officeDocument/2006/customXml" ds:itemID="{71FD1528-73BB-4B03-B89C-D274143F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Kuczer, Victoria</dc:creator>
  <cp:keywords/>
  <dc:description/>
  <cp:lastModifiedBy>Thodiyil Sindu</cp:lastModifiedBy>
  <cp:revision>2</cp:revision>
  <cp:lastPrinted>2018-03-01T03:46:00Z</cp:lastPrinted>
  <dcterms:created xsi:type="dcterms:W3CDTF">2018-03-06T10:44:00Z</dcterms:created>
  <dcterms:modified xsi:type="dcterms:W3CDTF">2018-03-06T10:44:00Z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aeb6975a-24be-4ef4-9735-0bb28ad13d55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