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1E0" w:firstRow="1" w:lastRow="1" w:firstColumn="1" w:lastColumn="1" w:noHBand="0" w:noVBand="0"/>
      </w:tblPr>
      <w:tblGrid>
        <w:gridCol w:w="3420"/>
        <w:gridCol w:w="2160"/>
        <w:gridCol w:w="3600"/>
      </w:tblGrid>
      <w:tr w:rsidR="0063112C" w14:paraId="3BD3B000" w14:textId="77777777" w:rsidTr="0063112C">
        <w:tc>
          <w:tcPr>
            <w:tcW w:w="3420" w:type="dxa"/>
          </w:tcPr>
          <w:p w14:paraId="6FE0F495" w14:textId="16A0C763" w:rsidR="0063112C" w:rsidRDefault="0063112C">
            <w:pPr>
              <w:spacing w:line="360" w:lineRule="auto"/>
              <w:ind w:right="-108"/>
              <w:jc w:val="center"/>
              <w:rPr>
                <w:rFonts w:ascii="Helvetica" w:hAnsi="Helvetica" w:cs="Helvetica"/>
                <w:noProof/>
                <w:sz w:val="12"/>
                <w:szCs w:val="12"/>
              </w:rPr>
            </w:pPr>
            <w:r>
              <w:rPr>
                <w:noProof/>
                <w:sz w:val="20"/>
                <w:szCs w:val="20"/>
                <w:lang w:val="fr-FR"/>
              </w:rPr>
              <w:drawing>
                <wp:anchor distT="0" distB="0" distL="114300" distR="114300" simplePos="0" relativeHeight="251660288" behindDoc="0" locked="0" layoutInCell="1" allowOverlap="1" wp14:anchorId="64654782" wp14:editId="310DE9A6">
                  <wp:simplePos x="0" y="0"/>
                  <wp:positionH relativeFrom="column">
                    <wp:posOffset>-426085</wp:posOffset>
                  </wp:positionH>
                  <wp:positionV relativeFrom="paragraph">
                    <wp:posOffset>81280</wp:posOffset>
                  </wp:positionV>
                  <wp:extent cx="2536190" cy="9144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914400"/>
                          </a:xfrm>
                          <a:prstGeom prst="rect">
                            <a:avLst/>
                          </a:prstGeom>
                          <a:noFill/>
                        </pic:spPr>
                      </pic:pic>
                    </a:graphicData>
                  </a:graphic>
                  <wp14:sizeRelH relativeFrom="page">
                    <wp14:pctWidth>0</wp14:pctWidth>
                  </wp14:sizeRelH>
                  <wp14:sizeRelV relativeFrom="page">
                    <wp14:pctHeight>0</wp14:pctHeight>
                  </wp14:sizeRelV>
                </wp:anchor>
              </w:drawing>
            </w:r>
          </w:p>
          <w:p w14:paraId="2413E3F4" w14:textId="290742F7" w:rsidR="0063112C" w:rsidRDefault="0063112C">
            <w:pPr>
              <w:spacing w:line="360" w:lineRule="auto"/>
              <w:ind w:right="-108"/>
              <w:rPr>
                <w:rFonts w:ascii="Helvetica" w:hAnsi="Helvetica" w:cs="Helvetica"/>
                <w:kern w:val="2"/>
                <w:lang w:val="fr-CH"/>
              </w:rPr>
            </w:pPr>
          </w:p>
        </w:tc>
        <w:tc>
          <w:tcPr>
            <w:tcW w:w="2160" w:type="dxa"/>
            <w:hideMark/>
          </w:tcPr>
          <w:p w14:paraId="2A1CC9CE" w14:textId="119C4B37" w:rsidR="0063112C" w:rsidRDefault="0063112C">
            <w:pPr>
              <w:pBdr>
                <w:top w:val="single" w:sz="6" w:space="0" w:color="FFFFFF"/>
                <w:left w:val="single" w:sz="6" w:space="0" w:color="FFFFFF"/>
                <w:bottom w:val="single" w:sz="6" w:space="0" w:color="FFFFFF"/>
                <w:right w:val="single" w:sz="6" w:space="0" w:color="FFFFFF"/>
              </w:pBdr>
              <w:spacing w:line="360" w:lineRule="auto"/>
              <w:ind w:right="-108"/>
              <w:jc w:val="center"/>
              <w:rPr>
                <w:rFonts w:ascii="Helvetica" w:hAnsi="Helvetica" w:cs="Helvetica"/>
                <w:b/>
                <w:lang w:val="fr-CH"/>
              </w:rPr>
            </w:pPr>
            <w:r>
              <w:rPr>
                <w:rFonts w:ascii="Helvetica" w:hAnsi="Helvetica"/>
                <w:noProof/>
                <w:lang w:val="fr-FR"/>
              </w:rPr>
              <w:drawing>
                <wp:anchor distT="0" distB="0" distL="114300" distR="114300" simplePos="0" relativeHeight="251661312" behindDoc="0" locked="0" layoutInCell="1" allowOverlap="1" wp14:anchorId="1C7525FD" wp14:editId="2CADD5A8">
                  <wp:simplePos x="0" y="0"/>
                  <wp:positionH relativeFrom="column">
                    <wp:posOffset>243205</wp:posOffset>
                  </wp:positionH>
                  <wp:positionV relativeFrom="paragraph">
                    <wp:posOffset>201295</wp:posOffset>
                  </wp:positionV>
                  <wp:extent cx="739775" cy="787400"/>
                  <wp:effectExtent l="0" t="0" r="3175" b="0"/>
                  <wp:wrapNone/>
                  <wp:docPr id="4" name="Image 4" descr="Description : http://www.memoireonline.com/05/11/4539/Les-effets-de-la-degradation-des-ecosystemes-de-mangroves-dans-la-dynamique-migratoire-des-popula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http://www.memoireonline.com/05/11/4539/Les-effets-de-la-degradation-des-ecosystemes-de-mangroves-dans-la-dynamique-migratoire-des-popula1.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pic:spPr>
                      </pic:pic>
                    </a:graphicData>
                  </a:graphic>
                  <wp14:sizeRelH relativeFrom="page">
                    <wp14:pctWidth>0</wp14:pctWidth>
                  </wp14:sizeRelH>
                  <wp14:sizeRelV relativeFrom="page">
                    <wp14:pctHeight>0</wp14:pctHeight>
                  </wp14:sizeRelV>
                </wp:anchor>
              </w:drawing>
            </w:r>
          </w:p>
        </w:tc>
        <w:tc>
          <w:tcPr>
            <w:tcW w:w="3600" w:type="dxa"/>
            <w:hideMark/>
          </w:tcPr>
          <w:p w14:paraId="2D76A639" w14:textId="2295E9B9" w:rsidR="0063112C" w:rsidRDefault="0063112C">
            <w:pPr>
              <w:spacing w:line="360" w:lineRule="auto"/>
              <w:ind w:right="567"/>
              <w:rPr>
                <w:rFonts w:ascii="Helvetica" w:hAnsi="Helvetica" w:cs="Helvetica"/>
                <w:kern w:val="2"/>
                <w:lang w:val="fr-CH"/>
              </w:rPr>
            </w:pPr>
            <w:r>
              <w:rPr>
                <w:rFonts w:cs="Helvetica"/>
                <w:i/>
                <w:noProof/>
                <w:lang w:val="fr-FR"/>
              </w:rPr>
              <w:drawing>
                <wp:anchor distT="0" distB="0" distL="114300" distR="114300" simplePos="0" relativeHeight="251662336" behindDoc="0" locked="0" layoutInCell="1" allowOverlap="1" wp14:anchorId="5C262C44" wp14:editId="6C341161">
                  <wp:simplePos x="0" y="0"/>
                  <wp:positionH relativeFrom="column">
                    <wp:posOffset>50800</wp:posOffset>
                  </wp:positionH>
                  <wp:positionV relativeFrom="paragraph">
                    <wp:posOffset>-71120</wp:posOffset>
                  </wp:positionV>
                  <wp:extent cx="2266950" cy="1123950"/>
                  <wp:effectExtent l="0" t="0" r="0" b="0"/>
                  <wp:wrapNone/>
                  <wp:docPr id="2" name="Image 2" descr="Description : Description : Logo O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Description : Logo O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Helvetica"/>
                <w:sz w:val="12"/>
                <w:lang w:val="fr-CH"/>
              </w:rPr>
              <w:t xml:space="preserve">       </w:t>
            </w:r>
          </w:p>
        </w:tc>
      </w:tr>
    </w:tbl>
    <w:p w14:paraId="019BA8D0" w14:textId="77777777" w:rsidR="00A02DEE" w:rsidRPr="00776DB1" w:rsidRDefault="00A02DEE" w:rsidP="00A02DEE">
      <w:pPr>
        <w:overflowPunct w:val="0"/>
        <w:autoSpaceDE w:val="0"/>
        <w:autoSpaceDN w:val="0"/>
        <w:adjustRightInd w:val="0"/>
        <w:jc w:val="center"/>
        <w:textAlignment w:val="baseline"/>
        <w:rPr>
          <w:rFonts w:ascii="Helvetica" w:hAnsi="Helvetica" w:cs="Arial"/>
          <w:b/>
          <w:color w:val="00979B"/>
          <w:sz w:val="22"/>
          <w:szCs w:val="22"/>
          <w:lang w:val="fr-FR"/>
        </w:rPr>
      </w:pPr>
    </w:p>
    <w:p w14:paraId="4BA7D7D4" w14:textId="77777777" w:rsidR="00A02DEE" w:rsidRPr="00776DB1" w:rsidRDefault="00A02DEE" w:rsidP="00A02DEE">
      <w:pPr>
        <w:overflowPunct w:val="0"/>
        <w:autoSpaceDE w:val="0"/>
        <w:autoSpaceDN w:val="0"/>
        <w:adjustRightInd w:val="0"/>
        <w:jc w:val="center"/>
        <w:textAlignment w:val="baseline"/>
        <w:rPr>
          <w:rFonts w:ascii="Helvetica" w:hAnsi="Helvetica" w:cs="Arial"/>
          <w:b/>
          <w:color w:val="00979B"/>
          <w:sz w:val="22"/>
          <w:szCs w:val="22"/>
          <w:lang w:val="fr-FR"/>
        </w:rPr>
      </w:pPr>
    </w:p>
    <w:p w14:paraId="010FB690" w14:textId="77777777" w:rsidR="00A02DEE" w:rsidRPr="00776DB1" w:rsidRDefault="00A02DEE" w:rsidP="009B6D45">
      <w:pPr>
        <w:pStyle w:val="Sansinterligne"/>
        <w:spacing w:line="276" w:lineRule="auto"/>
        <w:jc w:val="center"/>
        <w:rPr>
          <w:rFonts w:ascii="Helvetica" w:hAnsi="Helvetica" w:cs="Arial"/>
          <w:b/>
        </w:rPr>
      </w:pPr>
    </w:p>
    <w:p w14:paraId="248BB8C4" w14:textId="77777777" w:rsidR="0063112C" w:rsidRDefault="0063112C" w:rsidP="009B6D45">
      <w:pPr>
        <w:pStyle w:val="Sansinterligne"/>
        <w:spacing w:line="276" w:lineRule="auto"/>
        <w:jc w:val="center"/>
        <w:rPr>
          <w:rFonts w:ascii="Helvetica" w:hAnsi="Helvetica" w:cs="Arial"/>
          <w:b/>
        </w:rPr>
      </w:pPr>
    </w:p>
    <w:p w14:paraId="1F3BFAB7" w14:textId="77777777" w:rsidR="0063112C" w:rsidRDefault="0063112C" w:rsidP="009B6D45">
      <w:pPr>
        <w:pStyle w:val="Sansinterligne"/>
        <w:spacing w:line="276" w:lineRule="auto"/>
        <w:jc w:val="center"/>
        <w:rPr>
          <w:rFonts w:ascii="Helvetica" w:hAnsi="Helvetica" w:cs="Arial"/>
          <w:b/>
        </w:rPr>
      </w:pPr>
    </w:p>
    <w:p w14:paraId="52DB6962" w14:textId="77777777" w:rsidR="00962267" w:rsidRPr="00776DB1" w:rsidRDefault="00571212" w:rsidP="009B6D45">
      <w:pPr>
        <w:pStyle w:val="Sansinterligne"/>
        <w:spacing w:line="276" w:lineRule="auto"/>
        <w:jc w:val="center"/>
        <w:rPr>
          <w:rFonts w:ascii="Helvetica" w:hAnsi="Helvetica" w:cs="Arial"/>
          <w:b/>
        </w:rPr>
      </w:pPr>
      <w:r w:rsidRPr="00776DB1">
        <w:rPr>
          <w:rFonts w:ascii="Helvetica" w:hAnsi="Helvetica" w:cs="Arial"/>
          <w:b/>
        </w:rPr>
        <w:t>5</w:t>
      </w:r>
      <w:r w:rsidRPr="00776DB1">
        <w:rPr>
          <w:rFonts w:ascii="Helvetica" w:hAnsi="Helvetica" w:cs="Arial"/>
          <w:b/>
          <w:vertAlign w:val="superscript"/>
        </w:rPr>
        <w:t>ème</w:t>
      </w:r>
      <w:r w:rsidRPr="00776DB1">
        <w:rPr>
          <w:rFonts w:ascii="Helvetica" w:hAnsi="Helvetica" w:cs="Arial"/>
          <w:b/>
        </w:rPr>
        <w:t xml:space="preserve"> SEMINAIRE FRANCOPHONE SUR L’EXAMEN PERIODIQUE UNIVERSEL</w:t>
      </w:r>
    </w:p>
    <w:p w14:paraId="6B98987B" w14:textId="5BA992BE" w:rsidR="00CD7AE1" w:rsidRDefault="0063112C" w:rsidP="00CD7AE1">
      <w:pPr>
        <w:pStyle w:val="Sansinterligne"/>
        <w:spacing w:line="276" w:lineRule="auto"/>
        <w:jc w:val="center"/>
        <w:rPr>
          <w:rFonts w:ascii="Helvetica" w:hAnsi="Helvetica" w:cs="Arial"/>
          <w:b/>
        </w:rPr>
      </w:pPr>
      <w:r>
        <w:rPr>
          <w:rFonts w:ascii="Helvetica" w:hAnsi="Helvetica" w:cs="Arial"/>
          <w:b/>
        </w:rPr>
        <w:t>25-26 j</w:t>
      </w:r>
      <w:r w:rsidR="00CD7AE1" w:rsidRPr="00776DB1">
        <w:rPr>
          <w:rFonts w:ascii="Helvetica" w:hAnsi="Helvetica" w:cs="Arial"/>
          <w:b/>
        </w:rPr>
        <w:t>uillet 2018</w:t>
      </w:r>
    </w:p>
    <w:p w14:paraId="581E8D42" w14:textId="77777777" w:rsidR="00CD7AE1" w:rsidRPr="00776DB1" w:rsidRDefault="00CD7AE1" w:rsidP="00CD7AE1">
      <w:pPr>
        <w:pStyle w:val="Sansinterligne"/>
        <w:spacing w:line="276" w:lineRule="auto"/>
        <w:jc w:val="center"/>
        <w:rPr>
          <w:rFonts w:ascii="Helvetica" w:hAnsi="Helvetica" w:cs="Arial"/>
          <w:b/>
        </w:rPr>
      </w:pPr>
      <w:r>
        <w:rPr>
          <w:rFonts w:ascii="Helvetica" w:hAnsi="Helvetica" w:cs="Arial"/>
          <w:b/>
        </w:rPr>
        <w:t>Dakar, Sénégal</w:t>
      </w:r>
    </w:p>
    <w:p w14:paraId="4666C1D9" w14:textId="1A73B2E7" w:rsidR="00571212" w:rsidRPr="00776DB1" w:rsidRDefault="00571212" w:rsidP="009B6D45">
      <w:pPr>
        <w:pStyle w:val="Sansinterligne"/>
        <w:spacing w:line="276" w:lineRule="auto"/>
        <w:jc w:val="center"/>
        <w:rPr>
          <w:rFonts w:ascii="Helvetica" w:hAnsi="Helvetica" w:cs="Arial"/>
          <w:b/>
        </w:rPr>
      </w:pPr>
    </w:p>
    <w:p w14:paraId="6F2780B0" w14:textId="77777777" w:rsidR="00571212" w:rsidRPr="00776DB1" w:rsidRDefault="00571212" w:rsidP="009B6D45">
      <w:pPr>
        <w:pStyle w:val="Sansinterligne"/>
        <w:spacing w:line="276" w:lineRule="auto"/>
        <w:jc w:val="center"/>
        <w:rPr>
          <w:rFonts w:ascii="Helvetica" w:hAnsi="Helvetica" w:cs="Arial"/>
          <w:b/>
        </w:rPr>
      </w:pPr>
    </w:p>
    <w:p w14:paraId="3FE459AC" w14:textId="77777777" w:rsidR="00571212" w:rsidRPr="00776DB1" w:rsidRDefault="00571212" w:rsidP="009B6D45">
      <w:pPr>
        <w:pStyle w:val="Sansinterligne"/>
        <w:spacing w:line="276" w:lineRule="auto"/>
        <w:jc w:val="both"/>
        <w:rPr>
          <w:rFonts w:ascii="Helvetica" w:hAnsi="Helvetica" w:cs="Arial"/>
          <w:b/>
        </w:rPr>
      </w:pPr>
      <w:bookmarkStart w:id="0" w:name="_GoBack"/>
      <w:bookmarkEnd w:id="0"/>
      <w:r w:rsidRPr="00776DB1">
        <w:rPr>
          <w:rFonts w:ascii="Helvetica" w:hAnsi="Helvetica" w:cs="Arial"/>
          <w:b/>
        </w:rPr>
        <w:t>CONTEXTE</w:t>
      </w:r>
    </w:p>
    <w:p w14:paraId="3650E36B" w14:textId="77777777" w:rsidR="00571212" w:rsidRPr="00776DB1" w:rsidRDefault="00571212" w:rsidP="009B6D45">
      <w:pPr>
        <w:pStyle w:val="Sansinterligne"/>
        <w:spacing w:line="276" w:lineRule="auto"/>
        <w:jc w:val="both"/>
        <w:rPr>
          <w:rFonts w:ascii="Helvetica" w:hAnsi="Helvetica" w:cs="Arial"/>
        </w:rPr>
      </w:pPr>
    </w:p>
    <w:p w14:paraId="583141BB" w14:textId="64AB5155" w:rsidR="00561B84" w:rsidRDefault="002C41B9" w:rsidP="009B6D45">
      <w:pPr>
        <w:pStyle w:val="Sansinterligne"/>
        <w:spacing w:line="276" w:lineRule="auto"/>
        <w:jc w:val="both"/>
        <w:rPr>
          <w:rFonts w:ascii="Helvetica" w:hAnsi="Helvetica" w:cs="Arial"/>
        </w:rPr>
      </w:pPr>
      <w:r w:rsidRPr="00776DB1">
        <w:rPr>
          <w:rFonts w:ascii="Helvetica" w:hAnsi="Helvetica" w:cs="Arial"/>
        </w:rPr>
        <w:t xml:space="preserve">La résolution 60/251 de l’Assemblée générale des Nations unies a </w:t>
      </w:r>
      <w:r w:rsidR="00FB1199">
        <w:rPr>
          <w:rFonts w:ascii="Helvetica" w:hAnsi="Helvetica" w:cs="Arial"/>
        </w:rPr>
        <w:t xml:space="preserve">créé </w:t>
      </w:r>
      <w:r w:rsidRPr="00776DB1">
        <w:rPr>
          <w:rFonts w:ascii="Helvetica" w:hAnsi="Helvetica" w:cs="Arial"/>
        </w:rPr>
        <w:t>l’Examen périodique universel (EPU) le 15 mars 2006. L’EPU constitue un processus unique en son genre. Il consiste à passer en revue les réalisations de l’ensemble des États membres de l’ONU d</w:t>
      </w:r>
      <w:r w:rsidR="008664BD" w:rsidRPr="00776DB1">
        <w:rPr>
          <w:rFonts w:ascii="Helvetica" w:hAnsi="Helvetica" w:cs="Arial"/>
        </w:rPr>
        <w:t>ans le domaine des droits de l’H</w:t>
      </w:r>
      <w:r w:rsidRPr="00776DB1">
        <w:rPr>
          <w:rFonts w:ascii="Helvetica" w:hAnsi="Helvetica" w:cs="Arial"/>
        </w:rPr>
        <w:t xml:space="preserve">omme. Il s’agit d’un processus mené par les </w:t>
      </w:r>
      <w:r w:rsidR="008664BD" w:rsidRPr="00776DB1">
        <w:rPr>
          <w:rFonts w:ascii="Helvetica" w:hAnsi="Helvetica" w:cs="Arial"/>
        </w:rPr>
        <w:t>É</w:t>
      </w:r>
      <w:r w:rsidRPr="00776DB1">
        <w:rPr>
          <w:rFonts w:ascii="Helvetica" w:hAnsi="Helvetica" w:cs="Arial"/>
        </w:rPr>
        <w:t>tats, sous les auspices du Conseil des droits de l’</w:t>
      </w:r>
      <w:r w:rsidR="008664BD" w:rsidRPr="00776DB1">
        <w:rPr>
          <w:rFonts w:ascii="Helvetica" w:hAnsi="Helvetica" w:cs="Arial"/>
        </w:rPr>
        <w:t>H</w:t>
      </w:r>
      <w:r w:rsidRPr="00776DB1">
        <w:rPr>
          <w:rFonts w:ascii="Helvetica" w:hAnsi="Helvetica" w:cs="Arial"/>
        </w:rPr>
        <w:t>omme</w:t>
      </w:r>
      <w:r w:rsidR="008F3F72">
        <w:rPr>
          <w:rFonts w:ascii="Helvetica" w:hAnsi="Helvetica" w:cs="Arial"/>
        </w:rPr>
        <w:t>, qui</w:t>
      </w:r>
      <w:r w:rsidRPr="00776DB1">
        <w:rPr>
          <w:rFonts w:ascii="Helvetica" w:hAnsi="Helvetica" w:cs="Arial"/>
        </w:rPr>
        <w:t xml:space="preserve"> fournit à chaque </w:t>
      </w:r>
      <w:r w:rsidR="008664BD" w:rsidRPr="00776DB1">
        <w:rPr>
          <w:rFonts w:ascii="Helvetica" w:hAnsi="Helvetica" w:cs="Arial"/>
        </w:rPr>
        <w:t>É</w:t>
      </w:r>
      <w:r w:rsidRPr="00776DB1">
        <w:rPr>
          <w:rFonts w:ascii="Helvetica" w:hAnsi="Helvetica" w:cs="Arial"/>
        </w:rPr>
        <w:t>tat l’opportunité de présenter les mesures qu’il a pris pour améliore</w:t>
      </w:r>
      <w:r w:rsidR="00E10670">
        <w:rPr>
          <w:rFonts w:ascii="Helvetica" w:hAnsi="Helvetica" w:cs="Arial"/>
        </w:rPr>
        <w:t>r la situation des droits de l’H</w:t>
      </w:r>
      <w:r w:rsidRPr="00776DB1">
        <w:rPr>
          <w:rFonts w:ascii="Helvetica" w:hAnsi="Helvetica" w:cs="Arial"/>
        </w:rPr>
        <w:t xml:space="preserve">omme sur son territoire et remplir ses obligations en la matière. Mécanisme central du Conseil des droits de l’homme, l’EPU </w:t>
      </w:r>
      <w:r w:rsidR="008F3F72">
        <w:rPr>
          <w:rFonts w:ascii="Helvetica" w:hAnsi="Helvetica" w:cs="Arial"/>
        </w:rPr>
        <w:t xml:space="preserve">assure </w:t>
      </w:r>
      <w:r w:rsidRPr="00776DB1">
        <w:rPr>
          <w:rFonts w:ascii="Helvetica" w:hAnsi="Helvetica" w:cs="Arial"/>
        </w:rPr>
        <w:t xml:space="preserve">égalité de traitement </w:t>
      </w:r>
      <w:r w:rsidR="008F3F72">
        <w:rPr>
          <w:rFonts w:ascii="Helvetica" w:hAnsi="Helvetica" w:cs="Helvetica"/>
        </w:rPr>
        <w:t xml:space="preserve">et transparence dans l’examen de chaque </w:t>
      </w:r>
      <w:r w:rsidR="008F3F72" w:rsidRPr="00776DB1">
        <w:rPr>
          <w:rFonts w:ascii="Helvetica" w:hAnsi="Helvetica" w:cs="Arial"/>
        </w:rPr>
        <w:t>État</w:t>
      </w:r>
      <w:r w:rsidR="008F3F72">
        <w:rPr>
          <w:rFonts w:ascii="Helvetica" w:hAnsi="Helvetica" w:cs="Helvetica"/>
        </w:rPr>
        <w:t xml:space="preserve">. </w:t>
      </w:r>
      <w:r w:rsidRPr="00776DB1">
        <w:rPr>
          <w:rFonts w:ascii="Helvetica" w:hAnsi="Helvetica" w:cs="Arial"/>
        </w:rPr>
        <w:t xml:space="preserve"> </w:t>
      </w:r>
    </w:p>
    <w:p w14:paraId="74B3962C" w14:textId="77777777" w:rsidR="00561B84" w:rsidRDefault="00561B84" w:rsidP="009B6D45">
      <w:pPr>
        <w:pStyle w:val="Sansinterligne"/>
        <w:spacing w:line="276" w:lineRule="auto"/>
        <w:jc w:val="both"/>
        <w:rPr>
          <w:rFonts w:ascii="Helvetica" w:hAnsi="Helvetica" w:cs="Arial"/>
        </w:rPr>
      </w:pPr>
    </w:p>
    <w:p w14:paraId="2894FDC3" w14:textId="41D263CB" w:rsidR="002C41B9" w:rsidRPr="00776DB1" w:rsidRDefault="002C41B9" w:rsidP="009B6D45">
      <w:pPr>
        <w:pStyle w:val="Sansinterligne"/>
        <w:spacing w:line="276" w:lineRule="auto"/>
        <w:jc w:val="both"/>
        <w:rPr>
          <w:rFonts w:ascii="Helvetica" w:hAnsi="Helvetica" w:cs="Arial"/>
        </w:rPr>
      </w:pPr>
      <w:r w:rsidRPr="00776DB1">
        <w:rPr>
          <w:rFonts w:ascii="Helvetica" w:hAnsi="Helvetica" w:cs="Arial"/>
        </w:rPr>
        <w:t>Le Haut-Commissariat des</w:t>
      </w:r>
      <w:r w:rsidR="00B611F0">
        <w:rPr>
          <w:rFonts w:ascii="Helvetica" w:hAnsi="Helvetica" w:cs="Arial"/>
        </w:rPr>
        <w:t xml:space="preserve"> Nations unies aux droits de l’h</w:t>
      </w:r>
      <w:r w:rsidRPr="00776DB1">
        <w:rPr>
          <w:rFonts w:ascii="Helvetica" w:hAnsi="Helvetica" w:cs="Arial"/>
        </w:rPr>
        <w:t>omme (HCDH)</w:t>
      </w:r>
      <w:r w:rsidR="00CA65EB">
        <w:rPr>
          <w:rFonts w:ascii="Helvetica" w:hAnsi="Helvetica" w:cs="Arial"/>
        </w:rPr>
        <w:t>,</w:t>
      </w:r>
      <w:r w:rsidR="00995D0A" w:rsidRPr="00776DB1">
        <w:rPr>
          <w:rFonts w:ascii="Helvetica" w:hAnsi="Helvetica" w:cs="Arial"/>
        </w:rPr>
        <w:t xml:space="preserve">  </w:t>
      </w:r>
      <w:r w:rsidR="00561B84" w:rsidRPr="00E74CC8">
        <w:rPr>
          <w:rFonts w:ascii="Arial" w:hAnsi="Arial" w:cs="Arial"/>
          <w:color w:val="222222"/>
        </w:rPr>
        <w:t>en tant que Secrétariat du C</w:t>
      </w:r>
      <w:r w:rsidR="00561B84">
        <w:rPr>
          <w:rFonts w:ascii="Arial" w:hAnsi="Arial" w:cs="Arial"/>
          <w:color w:val="222222"/>
        </w:rPr>
        <w:t xml:space="preserve">onseil des droits de l’homme </w:t>
      </w:r>
      <w:r w:rsidR="00561B84" w:rsidRPr="00E74CC8">
        <w:rPr>
          <w:rFonts w:ascii="Arial" w:hAnsi="Arial" w:cs="Arial"/>
          <w:color w:val="222222"/>
        </w:rPr>
        <w:t>et de s</w:t>
      </w:r>
      <w:r w:rsidR="00CA65EB">
        <w:rPr>
          <w:rFonts w:ascii="Arial" w:hAnsi="Arial" w:cs="Arial"/>
          <w:color w:val="222222"/>
        </w:rPr>
        <w:t>on groupe de travail sur l’</w:t>
      </w:r>
      <w:r w:rsidR="00561B84" w:rsidRPr="00E74CC8">
        <w:rPr>
          <w:rFonts w:ascii="Arial" w:hAnsi="Arial" w:cs="Arial"/>
          <w:color w:val="222222"/>
        </w:rPr>
        <w:t xml:space="preserve">EPU, </w:t>
      </w:r>
      <w:r w:rsidR="00561B84">
        <w:rPr>
          <w:rFonts w:ascii="Arial" w:hAnsi="Arial" w:cs="Arial"/>
          <w:color w:val="222222"/>
        </w:rPr>
        <w:t xml:space="preserve">fournit une assistance </w:t>
      </w:r>
      <w:r w:rsidR="00561B84" w:rsidRPr="00E74CC8">
        <w:rPr>
          <w:rFonts w:ascii="Arial" w:hAnsi="Arial" w:cs="Arial"/>
          <w:color w:val="222222"/>
        </w:rPr>
        <w:t xml:space="preserve">technique </w:t>
      </w:r>
      <w:r w:rsidR="00561B84">
        <w:rPr>
          <w:rFonts w:ascii="Arial" w:hAnsi="Arial" w:cs="Arial"/>
          <w:color w:val="222222"/>
        </w:rPr>
        <w:t xml:space="preserve">visant à renforcer les capacités des </w:t>
      </w:r>
      <w:r w:rsidR="00561B84" w:rsidRPr="00E74CC8">
        <w:rPr>
          <w:rFonts w:ascii="Arial" w:hAnsi="Arial" w:cs="Arial"/>
          <w:color w:val="222222"/>
        </w:rPr>
        <w:t xml:space="preserve">États </w:t>
      </w:r>
      <w:r w:rsidR="00561B84">
        <w:rPr>
          <w:rFonts w:ascii="Arial" w:hAnsi="Arial" w:cs="Arial"/>
          <w:color w:val="222222"/>
        </w:rPr>
        <w:t>dans la mise en œuvre des recommandations de l’EPU. C’est dans cette optique que le HCDH</w:t>
      </w:r>
      <w:r w:rsidR="00561B84" w:rsidRPr="00776DB1">
        <w:rPr>
          <w:rFonts w:ascii="Helvetica" w:hAnsi="Helvetica" w:cs="Arial"/>
        </w:rPr>
        <w:t xml:space="preserve"> </w:t>
      </w:r>
      <w:r w:rsidR="00561B84">
        <w:rPr>
          <w:rFonts w:ascii="Helvetica" w:hAnsi="Helvetica" w:cs="Arial"/>
        </w:rPr>
        <w:t xml:space="preserve">organise </w:t>
      </w:r>
      <w:r w:rsidR="00AB2883">
        <w:rPr>
          <w:rFonts w:ascii="Helvetica" w:hAnsi="Helvetica" w:cs="Arial"/>
        </w:rPr>
        <w:t xml:space="preserve">une série </w:t>
      </w:r>
      <w:r w:rsidR="00A651AB">
        <w:rPr>
          <w:rFonts w:ascii="Helvetica" w:hAnsi="Helvetica" w:cs="Arial"/>
        </w:rPr>
        <w:t>d’</w:t>
      </w:r>
      <w:r w:rsidR="008664BD" w:rsidRPr="00776DB1">
        <w:rPr>
          <w:rFonts w:ascii="Helvetica" w:hAnsi="Helvetica" w:cs="Arial"/>
        </w:rPr>
        <w:t>ateliers sous régionaux sur l</w:t>
      </w:r>
      <w:r w:rsidR="00776DB1" w:rsidRPr="00776DB1">
        <w:rPr>
          <w:rFonts w:ascii="Helvetica" w:hAnsi="Helvetica" w:cs="Arial"/>
        </w:rPr>
        <w:t>e suivi de l</w:t>
      </w:r>
      <w:r w:rsidR="008664BD" w:rsidRPr="00776DB1">
        <w:rPr>
          <w:rFonts w:ascii="Helvetica" w:hAnsi="Helvetica" w:cs="Arial"/>
        </w:rPr>
        <w:t>a mise en œuvre des recommandations</w:t>
      </w:r>
      <w:r w:rsidR="00CA65EB">
        <w:rPr>
          <w:rFonts w:ascii="Helvetica" w:hAnsi="Helvetica" w:cs="Arial"/>
        </w:rPr>
        <w:t xml:space="preserve"> des mécanismes internationaux et régionaux de protection des droits de l’homme en général et de l’EPU en particulier</w:t>
      </w:r>
      <w:r w:rsidR="008664BD" w:rsidRPr="00776DB1">
        <w:rPr>
          <w:rFonts w:ascii="Helvetica" w:hAnsi="Helvetica" w:cs="Arial"/>
        </w:rPr>
        <w:t xml:space="preserve">. Ces ateliers </w:t>
      </w:r>
      <w:r w:rsidR="005F1F61">
        <w:rPr>
          <w:rFonts w:ascii="Helvetica" w:hAnsi="Helvetica" w:cs="Arial"/>
        </w:rPr>
        <w:t>permettent</w:t>
      </w:r>
      <w:r w:rsidR="008664BD" w:rsidRPr="00776DB1">
        <w:rPr>
          <w:rFonts w:ascii="Helvetica" w:hAnsi="Helvetica" w:cs="Arial"/>
        </w:rPr>
        <w:t xml:space="preserve"> un échange d’expériences et de </w:t>
      </w:r>
      <w:r w:rsidR="00A651AB">
        <w:rPr>
          <w:rFonts w:ascii="Helvetica" w:hAnsi="Helvetica" w:cs="Arial"/>
        </w:rPr>
        <w:t xml:space="preserve">bonnes </w:t>
      </w:r>
      <w:r w:rsidR="008664BD" w:rsidRPr="00776DB1">
        <w:rPr>
          <w:rFonts w:ascii="Helvetica" w:hAnsi="Helvetica" w:cs="Arial"/>
        </w:rPr>
        <w:t>pratiques entre les États</w:t>
      </w:r>
      <w:r w:rsidR="00A651AB">
        <w:rPr>
          <w:rFonts w:ascii="Helvetica" w:hAnsi="Helvetica" w:cs="Arial"/>
        </w:rPr>
        <w:t xml:space="preserve"> en coopération avec </w:t>
      </w:r>
      <w:r w:rsidR="00F047EE">
        <w:rPr>
          <w:rFonts w:ascii="Helvetica" w:hAnsi="Helvetica" w:cs="Arial"/>
        </w:rPr>
        <w:t>les autres p</w:t>
      </w:r>
      <w:r w:rsidR="00A651AB">
        <w:rPr>
          <w:rFonts w:ascii="Helvetica" w:hAnsi="Helvetica" w:cs="Arial"/>
        </w:rPr>
        <w:t>artenaires et parties prenantes</w:t>
      </w:r>
      <w:r w:rsidR="0054359B">
        <w:rPr>
          <w:rFonts w:ascii="Helvetica" w:hAnsi="Helvetica" w:cs="Arial"/>
        </w:rPr>
        <w:t xml:space="preserve"> de l’EPU</w:t>
      </w:r>
      <w:r w:rsidR="008664BD" w:rsidRPr="00776DB1">
        <w:rPr>
          <w:rFonts w:ascii="Helvetica" w:hAnsi="Helvetica" w:cs="Arial"/>
        </w:rPr>
        <w:t xml:space="preserve">. </w:t>
      </w:r>
    </w:p>
    <w:p w14:paraId="76D7EB57" w14:textId="77777777" w:rsidR="002C41B9" w:rsidRPr="00776DB1" w:rsidRDefault="002C41B9" w:rsidP="009B6D45">
      <w:pPr>
        <w:pStyle w:val="Sansinterligne"/>
        <w:spacing w:line="276" w:lineRule="auto"/>
        <w:jc w:val="both"/>
        <w:rPr>
          <w:rFonts w:ascii="Helvetica" w:hAnsi="Helvetica" w:cs="Arial"/>
        </w:rPr>
      </w:pPr>
    </w:p>
    <w:p w14:paraId="546C7013" w14:textId="4B20BC23" w:rsidR="005F1F61" w:rsidRDefault="007A6EB7" w:rsidP="009B6D45">
      <w:pPr>
        <w:spacing w:line="276" w:lineRule="auto"/>
        <w:jc w:val="both"/>
        <w:rPr>
          <w:rFonts w:ascii="Helvetica" w:hAnsi="Helvetica" w:cs="Arial"/>
          <w:sz w:val="22"/>
          <w:szCs w:val="22"/>
          <w:lang w:val="fr-FR"/>
        </w:rPr>
      </w:pPr>
      <w:r w:rsidRPr="00776DB1">
        <w:rPr>
          <w:rFonts w:ascii="Helvetica" w:hAnsi="Helvetica" w:cs="Arial"/>
          <w:sz w:val="22"/>
          <w:szCs w:val="22"/>
          <w:lang w:val="fr-FR"/>
        </w:rPr>
        <w:t xml:space="preserve">Depuis 2006, l’Organisation internationale de la Francophonie (OIF) est engagée aux côtés de ses États </w:t>
      </w:r>
      <w:r w:rsidR="000A6162">
        <w:rPr>
          <w:rFonts w:ascii="Helvetica" w:hAnsi="Helvetica" w:cs="Arial"/>
          <w:sz w:val="22"/>
          <w:szCs w:val="22"/>
          <w:lang w:val="fr-FR"/>
        </w:rPr>
        <w:t xml:space="preserve">et gouvernements </w:t>
      </w:r>
      <w:r w:rsidRPr="00776DB1">
        <w:rPr>
          <w:rFonts w:ascii="Helvetica" w:hAnsi="Helvetica" w:cs="Arial"/>
          <w:sz w:val="22"/>
          <w:szCs w:val="22"/>
          <w:lang w:val="fr-FR"/>
        </w:rPr>
        <w:t>membres dans la mise en œuvre des mandats du Conseil des droits de l’Homme des Nations unies et de ses mécanismes, en particulier celui de</w:t>
      </w:r>
      <w:r w:rsidR="002C41B9" w:rsidRPr="00776DB1">
        <w:rPr>
          <w:rFonts w:ascii="Helvetica" w:hAnsi="Helvetica" w:cs="Arial"/>
          <w:sz w:val="22"/>
          <w:szCs w:val="22"/>
          <w:lang w:val="fr-FR"/>
        </w:rPr>
        <w:t xml:space="preserve"> l’EPU</w:t>
      </w:r>
      <w:r w:rsidRPr="00776DB1">
        <w:rPr>
          <w:rFonts w:ascii="Helvetica" w:hAnsi="Helvetica" w:cs="Arial"/>
          <w:sz w:val="22"/>
          <w:szCs w:val="22"/>
          <w:lang w:val="fr-FR"/>
        </w:rPr>
        <w:t xml:space="preserve">. Elle a notamment mis en place un programme d’accompagnement des États francophones pour la préparation à l’EPU. </w:t>
      </w:r>
    </w:p>
    <w:p w14:paraId="5F147253" w14:textId="77777777" w:rsidR="005F1F61" w:rsidRDefault="005F1F61" w:rsidP="009B6D45">
      <w:pPr>
        <w:spacing w:line="276" w:lineRule="auto"/>
        <w:jc w:val="both"/>
        <w:rPr>
          <w:rFonts w:ascii="Helvetica" w:hAnsi="Helvetica" w:cs="Arial"/>
          <w:sz w:val="22"/>
          <w:szCs w:val="22"/>
          <w:lang w:val="fr-FR"/>
        </w:rPr>
      </w:pPr>
    </w:p>
    <w:p w14:paraId="2E72C9CC" w14:textId="77777777" w:rsidR="007A6EB7" w:rsidRPr="00776DB1" w:rsidRDefault="005F1F61" w:rsidP="009B6D45">
      <w:pPr>
        <w:spacing w:line="276" w:lineRule="auto"/>
        <w:jc w:val="both"/>
        <w:rPr>
          <w:rFonts w:ascii="Helvetica" w:hAnsi="Helvetica" w:cs="Arial"/>
          <w:sz w:val="22"/>
          <w:szCs w:val="22"/>
          <w:lang w:val="fr-FR"/>
        </w:rPr>
      </w:pPr>
      <w:r>
        <w:rPr>
          <w:rFonts w:ascii="Helvetica" w:hAnsi="Helvetica" w:cs="Arial"/>
          <w:sz w:val="22"/>
          <w:szCs w:val="22"/>
          <w:lang w:val="fr-FR"/>
        </w:rPr>
        <w:t>Le HCDH et l’OIF, e</w:t>
      </w:r>
      <w:r w:rsidRPr="00776DB1">
        <w:rPr>
          <w:rFonts w:ascii="Helvetica" w:hAnsi="Helvetica" w:cs="Arial"/>
          <w:sz w:val="22"/>
          <w:szCs w:val="22"/>
          <w:lang w:val="fr-FR"/>
        </w:rPr>
        <w:t xml:space="preserve">n coopération avec les </w:t>
      </w:r>
      <w:r w:rsidR="00FB1199">
        <w:rPr>
          <w:rFonts w:ascii="Helvetica" w:hAnsi="Helvetica" w:cs="Helvetica"/>
        </w:rPr>
        <w:t>États</w:t>
      </w:r>
      <w:r w:rsidRPr="00776DB1">
        <w:rPr>
          <w:rFonts w:ascii="Helvetica" w:hAnsi="Helvetica" w:cs="Arial"/>
          <w:sz w:val="22"/>
          <w:szCs w:val="22"/>
          <w:lang w:val="fr-FR"/>
        </w:rPr>
        <w:t xml:space="preserve"> hôtes</w:t>
      </w:r>
      <w:r>
        <w:rPr>
          <w:rFonts w:ascii="Helvetica" w:hAnsi="Helvetica" w:cs="Arial"/>
          <w:sz w:val="22"/>
          <w:szCs w:val="22"/>
          <w:lang w:val="fr-FR"/>
        </w:rPr>
        <w:t>, ont</w:t>
      </w:r>
      <w:r w:rsidR="007A6EB7" w:rsidRPr="00776DB1">
        <w:rPr>
          <w:rFonts w:ascii="Helvetica" w:hAnsi="Helvetica" w:cs="Arial"/>
          <w:sz w:val="22"/>
          <w:szCs w:val="22"/>
          <w:lang w:val="fr-FR"/>
        </w:rPr>
        <w:t xml:space="preserve"> ainsi organisé, depuis 2008,</w:t>
      </w:r>
      <w:r>
        <w:rPr>
          <w:rFonts w:ascii="Helvetica" w:hAnsi="Helvetica" w:cs="Arial"/>
          <w:sz w:val="22"/>
          <w:szCs w:val="22"/>
          <w:lang w:val="fr-FR"/>
        </w:rPr>
        <w:t xml:space="preserve"> quatre séminaires francophones</w:t>
      </w:r>
      <w:r w:rsidR="007A6EB7" w:rsidRPr="00776DB1">
        <w:rPr>
          <w:rFonts w:ascii="Helvetica" w:hAnsi="Helvetica" w:cs="Arial"/>
          <w:sz w:val="22"/>
          <w:szCs w:val="22"/>
          <w:lang w:val="fr-FR"/>
        </w:rPr>
        <w:t xml:space="preserve"> (Maroc en 2008 et 2010 ; Tunisie en  2011 ; Moldavie en 2014). Ces rendez-vous réguliers sont devenus un forum d’échanges, de réflexion et de concertation entre les États et les autres partenaires pour une mise en œuvre effective du mécanisme de l’EPU.</w:t>
      </w:r>
    </w:p>
    <w:p w14:paraId="04B46351" w14:textId="77777777" w:rsidR="00E148D0" w:rsidRPr="00776DB1" w:rsidRDefault="00E148D0" w:rsidP="009B6D45">
      <w:pPr>
        <w:spacing w:line="276" w:lineRule="auto"/>
        <w:jc w:val="both"/>
        <w:rPr>
          <w:rFonts w:ascii="Helvetica" w:hAnsi="Helvetica" w:cs="Arial"/>
          <w:sz w:val="22"/>
          <w:szCs w:val="22"/>
          <w:lang w:val="fr-FR"/>
        </w:rPr>
      </w:pPr>
    </w:p>
    <w:p w14:paraId="1752C37D" w14:textId="05ACAA45" w:rsidR="00BC5458" w:rsidRPr="00776DB1" w:rsidRDefault="00E148D0" w:rsidP="009B6D45">
      <w:pPr>
        <w:pStyle w:val="Sansinterligne"/>
        <w:spacing w:line="276" w:lineRule="auto"/>
        <w:jc w:val="both"/>
        <w:rPr>
          <w:rFonts w:ascii="Helvetica" w:hAnsi="Helvetica" w:cs="Arial"/>
        </w:rPr>
      </w:pPr>
      <w:r w:rsidRPr="00776DB1">
        <w:rPr>
          <w:rFonts w:ascii="Helvetica" w:hAnsi="Helvetica" w:cs="Arial"/>
        </w:rPr>
        <w:t xml:space="preserve">En 2018, l’EPU va célébrer son dixième anniversaire. En outre, le </w:t>
      </w:r>
      <w:r w:rsidR="00BC5458" w:rsidRPr="00776DB1">
        <w:rPr>
          <w:rFonts w:ascii="Helvetica" w:hAnsi="Helvetica" w:cs="Arial"/>
        </w:rPr>
        <w:t>3</w:t>
      </w:r>
      <w:r w:rsidR="00BC5458" w:rsidRPr="00776DB1">
        <w:rPr>
          <w:rFonts w:ascii="Helvetica" w:hAnsi="Helvetica" w:cs="Arial"/>
          <w:vertAlign w:val="superscript"/>
        </w:rPr>
        <w:t>e</w:t>
      </w:r>
      <w:r w:rsidRPr="00776DB1">
        <w:rPr>
          <w:rFonts w:ascii="Helvetica" w:hAnsi="Helvetica" w:cs="Arial"/>
        </w:rPr>
        <w:t xml:space="preserve"> cycle a été lancé en mai 2017. Celui-ci est qualifié par de nombreux experts comme le moment de vérité de ce mécanisme qui doit </w:t>
      </w:r>
      <w:r w:rsidR="00FB1199">
        <w:rPr>
          <w:rFonts w:ascii="Helvetica" w:hAnsi="Helvetica" w:cs="Arial"/>
        </w:rPr>
        <w:t xml:space="preserve">faire la preuve de </w:t>
      </w:r>
      <w:r w:rsidR="000A6162">
        <w:rPr>
          <w:rFonts w:ascii="Helvetica" w:hAnsi="Helvetica" w:cs="Arial"/>
        </w:rPr>
        <w:t>son efficacité et sa</w:t>
      </w:r>
      <w:r w:rsidRPr="00776DB1">
        <w:rPr>
          <w:rFonts w:ascii="Helvetica" w:hAnsi="Helvetica" w:cs="Arial"/>
        </w:rPr>
        <w:t xml:space="preserve"> pertinence. </w:t>
      </w:r>
      <w:r w:rsidR="00F24E62" w:rsidRPr="00004021">
        <w:rPr>
          <w:rFonts w:ascii="Helvetica" w:hAnsi="Helvetica" w:cs="Helvetica"/>
        </w:rPr>
        <w:t>En effet, l</w:t>
      </w:r>
      <w:r w:rsidR="00F24E62" w:rsidRPr="00B611F0">
        <w:rPr>
          <w:rFonts w:ascii="Helvetica" w:hAnsi="Helvetica" w:cs="Helvetica"/>
          <w:color w:val="222222"/>
        </w:rPr>
        <w:t xml:space="preserve">e troisième </w:t>
      </w:r>
      <w:r w:rsidR="00F24E62" w:rsidRPr="00B611F0">
        <w:rPr>
          <w:rFonts w:ascii="Helvetica" w:hAnsi="Helvetica" w:cs="Helvetica"/>
          <w:color w:val="222222"/>
        </w:rPr>
        <w:lastRenderedPageBreak/>
        <w:t>cycle de l'EPU qui est actuellement en cours (2017-2021) représente un moment important pour la préservation de l’intégrité de ce mécanisme innovateur de promotion et de protection des droits de l’homme dont la crédibilité pourrait être entachée par une accumulation de recommandations formulées d’un cycle à l’autre et non suivies d’effet au niveau national.</w:t>
      </w:r>
      <w:r w:rsidR="00F24E62">
        <w:rPr>
          <w:rFonts w:ascii="Arial" w:hAnsi="Arial" w:cs="Arial"/>
          <w:color w:val="222222"/>
        </w:rPr>
        <w:t xml:space="preserve"> </w:t>
      </w:r>
    </w:p>
    <w:p w14:paraId="5D225A91" w14:textId="77777777" w:rsidR="00BC5458" w:rsidRPr="00776DB1" w:rsidRDefault="00BC5458" w:rsidP="009B6D45">
      <w:pPr>
        <w:pStyle w:val="Sansinterligne"/>
        <w:spacing w:line="276" w:lineRule="auto"/>
        <w:jc w:val="both"/>
        <w:rPr>
          <w:rFonts w:ascii="Helvetica" w:hAnsi="Helvetica" w:cs="Arial"/>
        </w:rPr>
      </w:pPr>
    </w:p>
    <w:p w14:paraId="09F94372" w14:textId="77777777" w:rsidR="00F24E62" w:rsidRPr="00B611F0" w:rsidRDefault="00004021" w:rsidP="009B6D45">
      <w:pPr>
        <w:pStyle w:val="Sansinterligne"/>
        <w:spacing w:line="276" w:lineRule="auto"/>
        <w:jc w:val="both"/>
        <w:rPr>
          <w:rFonts w:ascii="Helvetica" w:hAnsi="Helvetica" w:cs="Helvetica"/>
          <w:color w:val="222222"/>
        </w:rPr>
      </w:pPr>
      <w:r w:rsidRPr="00B611F0">
        <w:rPr>
          <w:rFonts w:ascii="Helvetica" w:hAnsi="Helvetica" w:cs="Helvetica"/>
          <w:color w:val="222222"/>
        </w:rPr>
        <w:t>Comme l'a mentionné le Secrétaire général des Nations Unies lors de l'ouverture de la 37e session du Conseil des droits de l'homme, il est impératif que le Conseil des droits de l'homme et l'ONU se concentrent davantage sur la mise en œuvre et le suivi national</w:t>
      </w:r>
      <w:r w:rsidR="00D03558">
        <w:rPr>
          <w:rFonts w:ascii="Helvetica" w:hAnsi="Helvetica" w:cs="Helvetica"/>
          <w:color w:val="222222"/>
        </w:rPr>
        <w:t xml:space="preserve"> des recommandations de l’EPU</w:t>
      </w:r>
      <w:r w:rsidRPr="00B611F0">
        <w:rPr>
          <w:rFonts w:ascii="Helvetica" w:hAnsi="Helvetica" w:cs="Helvetica"/>
          <w:color w:val="222222"/>
        </w:rPr>
        <w:t xml:space="preserve">. </w:t>
      </w:r>
      <w:r w:rsidR="00F24E62" w:rsidRPr="00B611F0">
        <w:rPr>
          <w:rFonts w:ascii="Helvetica" w:hAnsi="Helvetica" w:cs="Helvetica"/>
          <w:color w:val="222222"/>
        </w:rPr>
        <w:t xml:space="preserve">C’est dans cette </w:t>
      </w:r>
      <w:r w:rsidR="008C134D">
        <w:rPr>
          <w:rFonts w:ascii="Helvetica" w:hAnsi="Helvetica" w:cs="Helvetica"/>
          <w:color w:val="222222"/>
        </w:rPr>
        <w:t xml:space="preserve">perspective </w:t>
      </w:r>
      <w:r w:rsidR="00F24E62" w:rsidRPr="00B611F0">
        <w:rPr>
          <w:rFonts w:ascii="Helvetica" w:hAnsi="Helvetica" w:cs="Helvetica"/>
          <w:color w:val="222222"/>
        </w:rPr>
        <w:t xml:space="preserve">que le Haut-Commissaire aux droits de l'homme a </w:t>
      </w:r>
      <w:r w:rsidR="008C134D">
        <w:rPr>
          <w:rFonts w:ascii="Helvetica" w:hAnsi="Helvetica" w:cs="Helvetica"/>
          <w:color w:val="222222"/>
        </w:rPr>
        <w:t xml:space="preserve">écrit </w:t>
      </w:r>
      <w:r w:rsidR="00F24E62" w:rsidRPr="00B611F0">
        <w:rPr>
          <w:rFonts w:ascii="Helvetica" w:hAnsi="Helvetica" w:cs="Helvetica"/>
          <w:color w:val="222222"/>
        </w:rPr>
        <w:t>aux ministres des Affaires étrangères des Etats membres ayant été examinés lors du troisième cycle de l’EPU les encourageant à mettre sur pied des mécanismes nationaux de suivi et de mise en œuvre des recommandations de l’EPU.</w:t>
      </w:r>
      <w:r w:rsidRPr="00B611F0">
        <w:rPr>
          <w:rFonts w:ascii="Helvetica" w:hAnsi="Helvetica" w:cs="Helvetica"/>
          <w:color w:val="222222"/>
        </w:rPr>
        <w:t xml:space="preserve"> </w:t>
      </w:r>
    </w:p>
    <w:p w14:paraId="3A9D2CEE" w14:textId="77777777" w:rsidR="00F24E62" w:rsidRDefault="00F24E62" w:rsidP="009B6D45">
      <w:pPr>
        <w:pStyle w:val="Sansinterligne"/>
        <w:spacing w:line="276" w:lineRule="auto"/>
        <w:jc w:val="both"/>
        <w:rPr>
          <w:rFonts w:ascii="Arial" w:hAnsi="Arial" w:cs="Arial"/>
          <w:color w:val="222222"/>
        </w:rPr>
      </w:pPr>
    </w:p>
    <w:p w14:paraId="72F37E55" w14:textId="27FD3D4E" w:rsidR="00FB1199" w:rsidRPr="00776DB1" w:rsidRDefault="001665AB" w:rsidP="009B6D45">
      <w:pPr>
        <w:pStyle w:val="Sansinterligne"/>
        <w:spacing w:line="276" w:lineRule="auto"/>
        <w:jc w:val="both"/>
        <w:rPr>
          <w:rFonts w:ascii="Helvetica" w:hAnsi="Helvetica" w:cs="Arial"/>
        </w:rPr>
      </w:pPr>
      <w:r>
        <w:rPr>
          <w:rFonts w:ascii="Helvetica" w:hAnsi="Helvetica" w:cs="Arial"/>
          <w:color w:val="000000"/>
        </w:rPr>
        <w:t xml:space="preserve">Ce </w:t>
      </w:r>
      <w:r w:rsidR="000A6162">
        <w:rPr>
          <w:rFonts w:ascii="Helvetica" w:hAnsi="Helvetica" w:cs="Arial"/>
          <w:color w:val="000000"/>
        </w:rPr>
        <w:t>5</w:t>
      </w:r>
      <w:r w:rsidR="000A6162" w:rsidRPr="000A6162">
        <w:rPr>
          <w:rFonts w:ascii="Helvetica" w:hAnsi="Helvetica" w:cs="Arial"/>
          <w:color w:val="000000"/>
          <w:vertAlign w:val="superscript"/>
        </w:rPr>
        <w:t>e</w:t>
      </w:r>
      <w:r>
        <w:rPr>
          <w:rFonts w:ascii="Helvetica" w:hAnsi="Helvetica" w:cs="Arial"/>
          <w:color w:val="000000"/>
        </w:rPr>
        <w:t xml:space="preserve"> Séminaire permettra également de présenter officiellement le nouveau Guide interactif de l’EPU qui aidera les États et autres parties prenantes de l’EPU à rédiger leurs rapports, à élaborer leurs plans de mise en œuvre et à assurer le suivi de manière concertée et dynamique.</w:t>
      </w:r>
    </w:p>
    <w:p w14:paraId="0242760C" w14:textId="77777777" w:rsidR="005779C7" w:rsidRPr="00776DB1" w:rsidRDefault="005779C7" w:rsidP="009B6D45">
      <w:pPr>
        <w:pStyle w:val="Sansinterligne"/>
        <w:spacing w:line="276" w:lineRule="auto"/>
        <w:jc w:val="both"/>
        <w:rPr>
          <w:rFonts w:ascii="Helvetica" w:hAnsi="Helvetica" w:cs="Arial"/>
        </w:rPr>
      </w:pPr>
    </w:p>
    <w:p w14:paraId="4AB764E1" w14:textId="2BC45407" w:rsidR="005779C7" w:rsidRPr="00776DB1" w:rsidRDefault="00965344" w:rsidP="009B6D45">
      <w:pPr>
        <w:pStyle w:val="Sansinterligne"/>
        <w:spacing w:line="276" w:lineRule="auto"/>
        <w:jc w:val="both"/>
        <w:rPr>
          <w:rFonts w:ascii="Helvetica" w:hAnsi="Helvetica" w:cs="Arial"/>
        </w:rPr>
      </w:pPr>
      <w:r w:rsidRPr="00776DB1">
        <w:rPr>
          <w:rFonts w:ascii="Helvetica" w:hAnsi="Helvetica" w:cs="Arial"/>
        </w:rPr>
        <w:t>C’est dans ce contexte qu</w:t>
      </w:r>
      <w:r w:rsidR="00776DB1" w:rsidRPr="00776DB1">
        <w:rPr>
          <w:rFonts w:ascii="Helvetica" w:hAnsi="Helvetica" w:cs="Arial"/>
        </w:rPr>
        <w:t>’</w:t>
      </w:r>
      <w:r w:rsidRPr="00776DB1">
        <w:rPr>
          <w:rFonts w:ascii="Helvetica" w:hAnsi="Helvetica" w:cs="Arial"/>
        </w:rPr>
        <w:t xml:space="preserve">un </w:t>
      </w:r>
      <w:r w:rsidR="00BC5458" w:rsidRPr="00776DB1">
        <w:rPr>
          <w:rFonts w:ascii="Helvetica" w:hAnsi="Helvetica" w:cs="Arial"/>
        </w:rPr>
        <w:t>5</w:t>
      </w:r>
      <w:r w:rsidR="00BC5458" w:rsidRPr="00776DB1">
        <w:rPr>
          <w:rFonts w:ascii="Helvetica" w:hAnsi="Helvetica" w:cs="Arial"/>
          <w:vertAlign w:val="superscript"/>
        </w:rPr>
        <w:t>e</w:t>
      </w:r>
      <w:r w:rsidRPr="00776DB1">
        <w:rPr>
          <w:rFonts w:ascii="Helvetica" w:hAnsi="Helvetica" w:cs="Arial"/>
        </w:rPr>
        <w:t xml:space="preserve"> </w:t>
      </w:r>
      <w:r w:rsidR="00BC5458" w:rsidRPr="00776DB1">
        <w:rPr>
          <w:rFonts w:ascii="Helvetica" w:hAnsi="Helvetica" w:cs="Arial"/>
        </w:rPr>
        <w:t>S</w:t>
      </w:r>
      <w:r w:rsidRPr="00776DB1">
        <w:rPr>
          <w:rFonts w:ascii="Helvetica" w:hAnsi="Helvetica" w:cs="Arial"/>
        </w:rPr>
        <w:t xml:space="preserve">éminaire </w:t>
      </w:r>
      <w:r w:rsidR="00BC5458" w:rsidRPr="00776DB1">
        <w:rPr>
          <w:rFonts w:ascii="Helvetica" w:hAnsi="Helvetica" w:cs="Arial"/>
        </w:rPr>
        <w:t xml:space="preserve">francophone sur l’EPU </w:t>
      </w:r>
      <w:r w:rsidRPr="00776DB1">
        <w:rPr>
          <w:rFonts w:ascii="Helvetica" w:hAnsi="Helvetica" w:cs="Arial"/>
        </w:rPr>
        <w:t xml:space="preserve">sera organisé </w:t>
      </w:r>
      <w:r w:rsidR="00083E47">
        <w:rPr>
          <w:rFonts w:ascii="Helvetica" w:hAnsi="Helvetica" w:cs="Arial"/>
        </w:rPr>
        <w:t xml:space="preserve">du 25 au 26 </w:t>
      </w:r>
      <w:r w:rsidRPr="00776DB1">
        <w:rPr>
          <w:rFonts w:ascii="Helvetica" w:hAnsi="Helvetica" w:cs="Arial"/>
        </w:rPr>
        <w:t xml:space="preserve">juillet 2018. </w:t>
      </w:r>
    </w:p>
    <w:p w14:paraId="0E9930A0" w14:textId="77777777" w:rsidR="00052F7A" w:rsidRPr="00776DB1" w:rsidRDefault="00052F7A" w:rsidP="009B6D45">
      <w:pPr>
        <w:pStyle w:val="Sansinterligne"/>
        <w:spacing w:line="276" w:lineRule="auto"/>
        <w:jc w:val="both"/>
        <w:rPr>
          <w:rFonts w:ascii="Helvetica" w:hAnsi="Helvetica" w:cs="Arial"/>
        </w:rPr>
      </w:pPr>
    </w:p>
    <w:p w14:paraId="25EB2C4A" w14:textId="77777777" w:rsidR="00571212" w:rsidRPr="00776DB1" w:rsidRDefault="00571212" w:rsidP="009B6D45">
      <w:pPr>
        <w:spacing w:line="276" w:lineRule="auto"/>
        <w:jc w:val="both"/>
        <w:rPr>
          <w:rFonts w:ascii="Helvetica" w:hAnsi="Helvetica" w:cs="Arial"/>
          <w:b/>
          <w:sz w:val="22"/>
          <w:szCs w:val="22"/>
          <w:lang w:val="fr-FR"/>
        </w:rPr>
      </w:pPr>
      <w:r w:rsidRPr="00776DB1">
        <w:rPr>
          <w:rFonts w:ascii="Helvetica" w:hAnsi="Helvetica" w:cs="Arial"/>
          <w:b/>
          <w:sz w:val="22"/>
          <w:szCs w:val="22"/>
          <w:lang w:val="fr-FR"/>
        </w:rPr>
        <w:t>ENJEUX</w:t>
      </w:r>
    </w:p>
    <w:p w14:paraId="4A0ED545" w14:textId="77777777" w:rsidR="0000002E" w:rsidRPr="00776DB1" w:rsidRDefault="0000002E" w:rsidP="00F46C52">
      <w:pPr>
        <w:pStyle w:val="Sansinterligne"/>
        <w:spacing w:line="276" w:lineRule="auto"/>
        <w:jc w:val="both"/>
        <w:rPr>
          <w:rFonts w:ascii="Helvetica" w:eastAsia="Times New Roman" w:hAnsi="Helvetica" w:cs="Arial"/>
          <w:i/>
          <w:lang w:eastAsia="fr-FR"/>
        </w:rPr>
      </w:pPr>
    </w:p>
    <w:p w14:paraId="36188F5C" w14:textId="74AA1290" w:rsidR="0000002E" w:rsidRDefault="0000002E" w:rsidP="009B6D45">
      <w:pPr>
        <w:pStyle w:val="Sansinterligne"/>
        <w:numPr>
          <w:ilvl w:val="0"/>
          <w:numId w:val="2"/>
        </w:numPr>
        <w:spacing w:line="276" w:lineRule="auto"/>
        <w:jc w:val="both"/>
        <w:rPr>
          <w:rFonts w:ascii="Helvetica" w:hAnsi="Helvetica" w:cs="Arial"/>
        </w:rPr>
      </w:pPr>
      <w:r>
        <w:rPr>
          <w:rFonts w:ascii="Helvetica" w:hAnsi="Helvetica" w:cs="Arial"/>
        </w:rPr>
        <w:t>Améliorer la préparation des États pour le 3</w:t>
      </w:r>
      <w:r w:rsidRPr="0000002E">
        <w:rPr>
          <w:rFonts w:ascii="Helvetica" w:hAnsi="Helvetica" w:cs="Arial"/>
          <w:vertAlign w:val="superscript"/>
        </w:rPr>
        <w:t>ème</w:t>
      </w:r>
      <w:r>
        <w:rPr>
          <w:rFonts w:ascii="Helvetica" w:hAnsi="Helvetica" w:cs="Arial"/>
        </w:rPr>
        <w:t xml:space="preserve"> cycle de l’EPU ainsi que la mise en œuvre</w:t>
      </w:r>
      <w:r w:rsidR="00F46C52">
        <w:rPr>
          <w:rFonts w:ascii="Helvetica" w:hAnsi="Helvetica" w:cs="Arial"/>
        </w:rPr>
        <w:t xml:space="preserve"> et le suivi des recommandations</w:t>
      </w:r>
      <w:r w:rsidR="000A6162">
        <w:rPr>
          <w:rFonts w:ascii="Helvetica" w:hAnsi="Helvetica" w:cs="Arial"/>
        </w:rPr>
        <w:t> ;</w:t>
      </w:r>
    </w:p>
    <w:p w14:paraId="67408759" w14:textId="77777777" w:rsidR="0000002E" w:rsidRDefault="0000002E" w:rsidP="0000002E">
      <w:pPr>
        <w:pStyle w:val="Paragraphedeliste"/>
        <w:rPr>
          <w:rFonts w:ascii="Helvetica" w:hAnsi="Helvetica" w:cs="Arial"/>
        </w:rPr>
      </w:pPr>
    </w:p>
    <w:p w14:paraId="319553C0" w14:textId="3B970D95" w:rsidR="00700EC0" w:rsidRPr="00700EC0" w:rsidRDefault="00700EC0" w:rsidP="009B6D45">
      <w:pPr>
        <w:pStyle w:val="Paragraphedeliste"/>
        <w:numPr>
          <w:ilvl w:val="0"/>
          <w:numId w:val="2"/>
        </w:numPr>
        <w:spacing w:line="276" w:lineRule="auto"/>
        <w:jc w:val="both"/>
        <w:rPr>
          <w:rFonts w:ascii="Helvetica" w:hAnsi="Helvetica" w:cs="Arial"/>
          <w:i/>
          <w:sz w:val="22"/>
          <w:szCs w:val="22"/>
        </w:rPr>
      </w:pPr>
      <w:r>
        <w:rPr>
          <w:rFonts w:ascii="Helvetica" w:hAnsi="Helvetica" w:cs="Arial"/>
          <w:sz w:val="22"/>
          <w:szCs w:val="22"/>
        </w:rPr>
        <w:t>Permettre aux États d’assimiler la</w:t>
      </w:r>
      <w:r w:rsidR="008E23D1" w:rsidRPr="00776DB1">
        <w:rPr>
          <w:rFonts w:ascii="Helvetica" w:hAnsi="Helvetica" w:cs="Arial"/>
          <w:sz w:val="22"/>
          <w:szCs w:val="22"/>
        </w:rPr>
        <w:t xml:space="preserve"> méthode pour élaborer une approche intégrée de la mise en œuvre des recommandations issues de l’EPU et des autres mécanismes onusiens et </w:t>
      </w:r>
      <w:r w:rsidR="00F46C52">
        <w:rPr>
          <w:rFonts w:ascii="Helvetica" w:hAnsi="Helvetica" w:cs="Arial"/>
          <w:sz w:val="22"/>
          <w:szCs w:val="22"/>
        </w:rPr>
        <w:t>régionaux des droits de l’Homme</w:t>
      </w:r>
      <w:r w:rsidR="000A6162">
        <w:rPr>
          <w:rFonts w:ascii="Helvetica" w:hAnsi="Helvetica" w:cs="Arial"/>
          <w:sz w:val="22"/>
          <w:szCs w:val="22"/>
        </w:rPr>
        <w:t>;</w:t>
      </w:r>
    </w:p>
    <w:p w14:paraId="48BAAE3D" w14:textId="77777777" w:rsidR="00700EC0" w:rsidRPr="00700EC0" w:rsidRDefault="00700EC0" w:rsidP="00700EC0">
      <w:pPr>
        <w:pStyle w:val="Paragraphedeliste"/>
        <w:rPr>
          <w:rFonts w:ascii="Helvetica" w:hAnsi="Helvetica" w:cs="Arial"/>
          <w:sz w:val="22"/>
          <w:szCs w:val="22"/>
        </w:rPr>
      </w:pPr>
    </w:p>
    <w:p w14:paraId="3CBB2A8F" w14:textId="60BDEBB8" w:rsidR="00A2575F" w:rsidRDefault="00700EC0" w:rsidP="009B6D45">
      <w:pPr>
        <w:pStyle w:val="Paragraphedeliste"/>
        <w:numPr>
          <w:ilvl w:val="0"/>
          <w:numId w:val="2"/>
        </w:numPr>
        <w:spacing w:line="276" w:lineRule="auto"/>
        <w:jc w:val="both"/>
        <w:rPr>
          <w:rFonts w:ascii="Helvetica" w:hAnsi="Helvetica" w:cs="Arial"/>
          <w:sz w:val="22"/>
          <w:szCs w:val="22"/>
        </w:rPr>
      </w:pPr>
      <w:r w:rsidRPr="00700EC0">
        <w:rPr>
          <w:rFonts w:ascii="Helvetica" w:hAnsi="Helvetica" w:cs="Arial"/>
          <w:sz w:val="22"/>
          <w:szCs w:val="22"/>
        </w:rPr>
        <w:t>M</w:t>
      </w:r>
      <w:r w:rsidR="00E33D27" w:rsidRPr="00700EC0">
        <w:rPr>
          <w:rFonts w:ascii="Helvetica" w:hAnsi="Helvetica" w:cs="Arial"/>
          <w:sz w:val="22"/>
          <w:szCs w:val="22"/>
        </w:rPr>
        <w:t>ettre en cohérence les Objectifs de développement durable avec les recomma</w:t>
      </w:r>
      <w:r w:rsidR="000A6162">
        <w:rPr>
          <w:rFonts w:ascii="Helvetica" w:hAnsi="Helvetica" w:cs="Arial"/>
          <w:sz w:val="22"/>
          <w:szCs w:val="22"/>
        </w:rPr>
        <w:t xml:space="preserve">ndations acceptées par les </w:t>
      </w:r>
      <w:r w:rsidR="00E33D27" w:rsidRPr="00700EC0">
        <w:rPr>
          <w:rFonts w:ascii="Helvetica" w:hAnsi="Helvetica" w:cs="Arial"/>
          <w:sz w:val="22"/>
          <w:szCs w:val="22"/>
        </w:rPr>
        <w:t>État</w:t>
      </w:r>
      <w:r w:rsidR="000A6162">
        <w:rPr>
          <w:rFonts w:ascii="Helvetica" w:hAnsi="Helvetica" w:cs="Arial"/>
          <w:sz w:val="22"/>
          <w:szCs w:val="22"/>
        </w:rPr>
        <w:t>s</w:t>
      </w:r>
      <w:r w:rsidR="00E33D27" w:rsidRPr="00700EC0">
        <w:rPr>
          <w:rFonts w:ascii="Helvetica" w:hAnsi="Helvetica" w:cs="Arial"/>
          <w:sz w:val="22"/>
          <w:szCs w:val="22"/>
        </w:rPr>
        <w:t xml:space="preserve"> dans le cadre de l’EPU</w:t>
      </w:r>
      <w:r w:rsidR="000A6162">
        <w:rPr>
          <w:rFonts w:ascii="Helvetica" w:hAnsi="Helvetica" w:cs="Arial"/>
          <w:sz w:val="22"/>
          <w:szCs w:val="22"/>
        </w:rPr>
        <w:t>;</w:t>
      </w:r>
    </w:p>
    <w:p w14:paraId="735C85F7" w14:textId="77777777" w:rsidR="00FB1199" w:rsidRPr="001665AB" w:rsidRDefault="00FB1199" w:rsidP="001665AB">
      <w:pPr>
        <w:pStyle w:val="Paragraphedeliste"/>
        <w:rPr>
          <w:rFonts w:ascii="Helvetica" w:hAnsi="Helvetica" w:cs="Arial"/>
          <w:sz w:val="22"/>
          <w:szCs w:val="22"/>
        </w:rPr>
      </w:pPr>
    </w:p>
    <w:p w14:paraId="3F8C42A7" w14:textId="6CB4548B" w:rsidR="00FB1199" w:rsidRPr="00700EC0" w:rsidRDefault="00FB1199" w:rsidP="009B6D45">
      <w:pPr>
        <w:pStyle w:val="Paragraphedeliste"/>
        <w:numPr>
          <w:ilvl w:val="0"/>
          <w:numId w:val="2"/>
        </w:numPr>
        <w:spacing w:line="276" w:lineRule="auto"/>
        <w:jc w:val="both"/>
        <w:rPr>
          <w:rFonts w:ascii="Helvetica" w:hAnsi="Helvetica" w:cs="Arial"/>
          <w:sz w:val="22"/>
          <w:szCs w:val="22"/>
        </w:rPr>
      </w:pPr>
      <w:r>
        <w:rPr>
          <w:rFonts w:ascii="Helvetica" w:hAnsi="Helvetica" w:cs="Arial"/>
          <w:sz w:val="22"/>
          <w:szCs w:val="22"/>
        </w:rPr>
        <w:t xml:space="preserve">Permettre aux </w:t>
      </w:r>
      <w:r>
        <w:rPr>
          <w:rFonts w:ascii="Helvetica" w:hAnsi="Helvetica" w:cs="Helvetica"/>
          <w:sz w:val="22"/>
          <w:szCs w:val="22"/>
        </w:rPr>
        <w:t>É</w:t>
      </w:r>
      <w:r>
        <w:rPr>
          <w:rFonts w:ascii="Helvetica" w:hAnsi="Helvetica" w:cs="Arial"/>
          <w:sz w:val="22"/>
          <w:szCs w:val="22"/>
        </w:rPr>
        <w:t>tats de mieux connaître les possibilités d’assistance internationale (Fonds du HCDH, O</w:t>
      </w:r>
      <w:r w:rsidR="001665AB">
        <w:rPr>
          <w:rFonts w:ascii="Helvetica" w:hAnsi="Helvetica" w:cs="Arial"/>
          <w:sz w:val="22"/>
          <w:szCs w:val="22"/>
        </w:rPr>
        <w:t>IF, Commonwealth) et bilatérale</w:t>
      </w:r>
      <w:r w:rsidR="00087483">
        <w:rPr>
          <w:rFonts w:ascii="Helvetica" w:hAnsi="Helvetica" w:cs="Arial"/>
          <w:sz w:val="22"/>
          <w:szCs w:val="22"/>
        </w:rPr>
        <w:t xml:space="preserve"> ainsi qu’au niveau régional et dans le cadre de la coopération sud-sud et nord-sud.</w:t>
      </w:r>
      <w:r>
        <w:rPr>
          <w:rFonts w:ascii="Helvetica" w:hAnsi="Helvetica" w:cs="Arial"/>
          <w:sz w:val="22"/>
          <w:szCs w:val="22"/>
        </w:rPr>
        <w:t xml:space="preserve"> </w:t>
      </w:r>
    </w:p>
    <w:p w14:paraId="02E5C621" w14:textId="77777777" w:rsidR="00052F7A" w:rsidRDefault="00052F7A" w:rsidP="009B6D45">
      <w:pPr>
        <w:pStyle w:val="Sansinterligne"/>
        <w:spacing w:line="276" w:lineRule="auto"/>
        <w:jc w:val="both"/>
        <w:rPr>
          <w:rFonts w:ascii="Helvetica" w:hAnsi="Helvetica" w:cs="Arial"/>
        </w:rPr>
      </w:pPr>
    </w:p>
    <w:p w14:paraId="01D1032F" w14:textId="77777777" w:rsidR="000C6924" w:rsidRPr="00776DB1" w:rsidRDefault="000C6924" w:rsidP="009B6D45">
      <w:pPr>
        <w:pStyle w:val="Sansinterligne"/>
        <w:spacing w:line="276" w:lineRule="auto"/>
        <w:jc w:val="both"/>
        <w:rPr>
          <w:rFonts w:ascii="Helvetica" w:hAnsi="Helvetica" w:cs="Arial"/>
        </w:rPr>
      </w:pPr>
    </w:p>
    <w:p w14:paraId="4A73C344" w14:textId="77777777" w:rsidR="00571212" w:rsidRPr="00776DB1" w:rsidRDefault="00571212" w:rsidP="009B6D45">
      <w:pPr>
        <w:spacing w:line="276" w:lineRule="auto"/>
        <w:jc w:val="both"/>
        <w:rPr>
          <w:rFonts w:ascii="Helvetica" w:hAnsi="Helvetica" w:cs="Arial"/>
          <w:b/>
          <w:sz w:val="22"/>
          <w:szCs w:val="22"/>
          <w:lang w:val="fr-FR"/>
        </w:rPr>
      </w:pPr>
      <w:r w:rsidRPr="00776DB1">
        <w:rPr>
          <w:rFonts w:ascii="Helvetica" w:hAnsi="Helvetica" w:cs="Arial"/>
          <w:b/>
          <w:sz w:val="22"/>
          <w:szCs w:val="22"/>
          <w:lang w:val="fr-FR"/>
        </w:rPr>
        <w:t>OBJECTIFS</w:t>
      </w:r>
    </w:p>
    <w:p w14:paraId="5616F374" w14:textId="77777777" w:rsidR="00571212" w:rsidRPr="00776DB1" w:rsidRDefault="00571212" w:rsidP="009B6D45">
      <w:pPr>
        <w:pStyle w:val="Sansinterligne"/>
        <w:spacing w:line="276" w:lineRule="auto"/>
        <w:jc w:val="both"/>
        <w:rPr>
          <w:rFonts w:ascii="Helvetica" w:hAnsi="Helvetica" w:cs="Arial"/>
        </w:rPr>
      </w:pPr>
    </w:p>
    <w:p w14:paraId="49867B43" w14:textId="7CFE81C4" w:rsidR="001D649C" w:rsidRDefault="001D649C" w:rsidP="001D649C">
      <w:pPr>
        <w:pStyle w:val="Sansinterligne"/>
        <w:numPr>
          <w:ilvl w:val="0"/>
          <w:numId w:val="2"/>
        </w:numPr>
        <w:spacing w:line="276" w:lineRule="auto"/>
        <w:jc w:val="both"/>
        <w:rPr>
          <w:rFonts w:ascii="Helvetica" w:hAnsi="Helvetica" w:cs="Arial"/>
        </w:rPr>
      </w:pPr>
      <w:r>
        <w:rPr>
          <w:rFonts w:ascii="Helvetica" w:hAnsi="Helvetica" w:cs="Arial"/>
        </w:rPr>
        <w:t>É</w:t>
      </w:r>
      <w:r w:rsidR="00954DFF">
        <w:rPr>
          <w:rFonts w:ascii="Helvetica" w:hAnsi="Helvetica" w:cs="Arial"/>
        </w:rPr>
        <w:t>changer sur les mécanismes internationaux et régionaux des droits de l’Homme dans le contexte de suivi des recommandations de l’EPU</w:t>
      </w:r>
      <w:r w:rsidR="000A6162">
        <w:rPr>
          <w:rFonts w:ascii="Helvetica" w:hAnsi="Helvetica" w:cs="Arial"/>
        </w:rPr>
        <w:t> ;</w:t>
      </w:r>
    </w:p>
    <w:p w14:paraId="4733962D" w14:textId="77777777" w:rsidR="00370F16" w:rsidRDefault="00370F16" w:rsidP="00370F16">
      <w:pPr>
        <w:pStyle w:val="Sansinterligne"/>
        <w:spacing w:line="276" w:lineRule="auto"/>
        <w:ind w:left="720"/>
        <w:jc w:val="both"/>
        <w:rPr>
          <w:rFonts w:ascii="Helvetica" w:hAnsi="Helvetica" w:cs="Arial"/>
        </w:rPr>
      </w:pPr>
    </w:p>
    <w:p w14:paraId="21151836" w14:textId="4AC52421" w:rsidR="00370F16" w:rsidRPr="0000002E" w:rsidRDefault="00370F16" w:rsidP="00370F16">
      <w:pPr>
        <w:pStyle w:val="Paragraphedeliste"/>
        <w:numPr>
          <w:ilvl w:val="0"/>
          <w:numId w:val="2"/>
        </w:numPr>
        <w:spacing w:line="276" w:lineRule="auto"/>
        <w:jc w:val="both"/>
        <w:rPr>
          <w:rFonts w:ascii="Helvetica" w:hAnsi="Helvetica" w:cs="Arial"/>
          <w:sz w:val="22"/>
          <w:szCs w:val="22"/>
        </w:rPr>
      </w:pPr>
      <w:r w:rsidRPr="0000002E">
        <w:rPr>
          <w:rFonts w:ascii="Helvetica" w:hAnsi="Helvetica" w:cs="Arial"/>
          <w:sz w:val="22"/>
          <w:szCs w:val="22"/>
        </w:rPr>
        <w:t>Partager des expériences et de</w:t>
      </w:r>
      <w:r>
        <w:rPr>
          <w:rFonts w:ascii="Helvetica" w:hAnsi="Helvetica" w:cs="Arial"/>
          <w:sz w:val="22"/>
          <w:szCs w:val="22"/>
        </w:rPr>
        <w:t>s</w:t>
      </w:r>
      <w:r w:rsidRPr="0000002E">
        <w:rPr>
          <w:rFonts w:ascii="Helvetica" w:hAnsi="Helvetica" w:cs="Arial"/>
          <w:sz w:val="22"/>
          <w:szCs w:val="22"/>
        </w:rPr>
        <w:t xml:space="preserve"> bonnes pratiques en matière de préparation des États au passage à l’EPU et de mise en œuvre effective des recommandations de l’EPU </w:t>
      </w:r>
      <w:r w:rsidR="000A6162">
        <w:rPr>
          <w:rFonts w:ascii="Helvetica" w:hAnsi="Helvetica" w:cs="Arial"/>
          <w:sz w:val="22"/>
          <w:szCs w:val="22"/>
        </w:rPr>
        <w:t>;</w:t>
      </w:r>
    </w:p>
    <w:p w14:paraId="414E9D9E" w14:textId="77777777" w:rsidR="0000002E" w:rsidRDefault="0000002E" w:rsidP="0000002E">
      <w:pPr>
        <w:pStyle w:val="Sansinterligne"/>
        <w:spacing w:line="276" w:lineRule="auto"/>
        <w:ind w:left="720"/>
        <w:jc w:val="both"/>
        <w:rPr>
          <w:rFonts w:ascii="Helvetica" w:hAnsi="Helvetica" w:cs="Arial"/>
        </w:rPr>
      </w:pPr>
    </w:p>
    <w:p w14:paraId="0001939D" w14:textId="30C69DD4" w:rsidR="001D649C" w:rsidRPr="001D649C" w:rsidRDefault="0000002E" w:rsidP="001D649C">
      <w:pPr>
        <w:pStyle w:val="Sansinterligne"/>
        <w:numPr>
          <w:ilvl w:val="0"/>
          <w:numId w:val="2"/>
        </w:numPr>
        <w:spacing w:line="276" w:lineRule="auto"/>
        <w:jc w:val="both"/>
        <w:rPr>
          <w:rFonts w:ascii="Helvetica" w:hAnsi="Helvetica" w:cs="Arial"/>
        </w:rPr>
      </w:pPr>
      <w:r>
        <w:rPr>
          <w:rFonts w:ascii="Helvetica" w:hAnsi="Helvetica" w:cs="Arial"/>
        </w:rPr>
        <w:t xml:space="preserve">Faciliter les actions de </w:t>
      </w:r>
      <w:r w:rsidR="001D649C">
        <w:rPr>
          <w:rFonts w:ascii="Helvetica" w:hAnsi="Helvetica" w:cs="Arial"/>
        </w:rPr>
        <w:t xml:space="preserve">suivi </w:t>
      </w:r>
      <w:r>
        <w:rPr>
          <w:rFonts w:ascii="Helvetica" w:hAnsi="Helvetica" w:cs="Arial"/>
        </w:rPr>
        <w:t>avant et après le passage des États à l’EPU</w:t>
      </w:r>
      <w:r w:rsidR="000A6162">
        <w:rPr>
          <w:rFonts w:ascii="Helvetica" w:hAnsi="Helvetica" w:cs="Arial"/>
        </w:rPr>
        <w:t> ;</w:t>
      </w:r>
    </w:p>
    <w:p w14:paraId="5788A003" w14:textId="77777777" w:rsidR="001D649C" w:rsidRDefault="001D649C" w:rsidP="001D649C">
      <w:pPr>
        <w:pStyle w:val="Sansinterligne"/>
        <w:spacing w:line="276" w:lineRule="auto"/>
        <w:ind w:left="720"/>
        <w:jc w:val="both"/>
        <w:rPr>
          <w:rFonts w:ascii="Helvetica" w:hAnsi="Helvetica" w:cs="Arial"/>
        </w:rPr>
      </w:pPr>
    </w:p>
    <w:p w14:paraId="2F6F72DA" w14:textId="649138FC" w:rsidR="001D649C" w:rsidRDefault="001D649C" w:rsidP="000A6162">
      <w:pPr>
        <w:pStyle w:val="Sansinterligne"/>
        <w:numPr>
          <w:ilvl w:val="0"/>
          <w:numId w:val="2"/>
        </w:numPr>
        <w:spacing w:line="276" w:lineRule="auto"/>
        <w:jc w:val="both"/>
        <w:rPr>
          <w:rFonts w:ascii="Helvetica" w:hAnsi="Helvetica" w:cs="Arial"/>
        </w:rPr>
      </w:pPr>
      <w:r>
        <w:rPr>
          <w:rFonts w:ascii="Helvetica" w:hAnsi="Helvetica" w:cs="Arial"/>
        </w:rPr>
        <w:t>Renforcer la coopération en</w:t>
      </w:r>
      <w:r w:rsidR="00F46C52">
        <w:rPr>
          <w:rFonts w:ascii="Helvetica" w:hAnsi="Helvetica" w:cs="Arial"/>
        </w:rPr>
        <w:t xml:space="preserve">tre les </w:t>
      </w:r>
      <w:r w:rsidR="00087483">
        <w:rPr>
          <w:rFonts w:ascii="Helvetica" w:hAnsi="Helvetica" w:cs="Arial"/>
        </w:rPr>
        <w:t xml:space="preserve">parlements, les </w:t>
      </w:r>
      <w:r w:rsidR="000A6162" w:rsidRPr="000A6162">
        <w:rPr>
          <w:rFonts w:ascii="Helvetica" w:hAnsi="Helvetica" w:cs="Arial"/>
        </w:rPr>
        <w:t xml:space="preserve">Institutions nationales des droits de l’Homme </w:t>
      </w:r>
      <w:r w:rsidR="000A6162">
        <w:rPr>
          <w:rFonts w:ascii="Helvetica" w:hAnsi="Helvetica" w:cs="Arial"/>
        </w:rPr>
        <w:t>(</w:t>
      </w:r>
      <w:r w:rsidR="00F46C52">
        <w:rPr>
          <w:rFonts w:ascii="Helvetica" w:hAnsi="Helvetica" w:cs="Arial"/>
        </w:rPr>
        <w:t>INDH</w:t>
      </w:r>
      <w:r w:rsidR="000A6162">
        <w:rPr>
          <w:rFonts w:ascii="Helvetica" w:hAnsi="Helvetica" w:cs="Arial"/>
        </w:rPr>
        <w:t>)</w:t>
      </w:r>
      <w:r w:rsidR="00F46C52">
        <w:rPr>
          <w:rFonts w:ascii="Helvetica" w:hAnsi="Helvetica" w:cs="Arial"/>
        </w:rPr>
        <w:t>, la société civile et</w:t>
      </w:r>
      <w:r>
        <w:rPr>
          <w:rFonts w:ascii="Helvetica" w:hAnsi="Helvetica" w:cs="Arial"/>
        </w:rPr>
        <w:t xml:space="preserve"> les mécanismes régionaux de protection des droits de l’Homme dans le processus de l’EPU</w:t>
      </w:r>
      <w:r w:rsidR="000A6162">
        <w:rPr>
          <w:rFonts w:ascii="Helvetica" w:hAnsi="Helvetica" w:cs="Arial"/>
        </w:rPr>
        <w:t> ;</w:t>
      </w:r>
    </w:p>
    <w:p w14:paraId="6195DBC7" w14:textId="77777777" w:rsidR="00F46C52" w:rsidRDefault="00F46C52" w:rsidP="00F46C52">
      <w:pPr>
        <w:pStyle w:val="Sansinterligne"/>
        <w:spacing w:line="276" w:lineRule="auto"/>
        <w:ind w:left="720"/>
        <w:jc w:val="both"/>
        <w:rPr>
          <w:rFonts w:ascii="Helvetica" w:hAnsi="Helvetica" w:cs="Arial"/>
        </w:rPr>
      </w:pPr>
    </w:p>
    <w:p w14:paraId="4D1D3F2D" w14:textId="32440B1E" w:rsidR="00F46C52" w:rsidRDefault="00F46C52" w:rsidP="00F46C52">
      <w:pPr>
        <w:pStyle w:val="Sansinterligne"/>
        <w:numPr>
          <w:ilvl w:val="0"/>
          <w:numId w:val="2"/>
        </w:numPr>
        <w:spacing w:line="276" w:lineRule="auto"/>
        <w:jc w:val="both"/>
        <w:rPr>
          <w:rFonts w:ascii="Helvetica" w:hAnsi="Helvetica" w:cs="Arial"/>
        </w:rPr>
      </w:pPr>
      <w:r>
        <w:rPr>
          <w:rFonts w:ascii="Helvetica" w:hAnsi="Helvetica" w:cs="Arial"/>
        </w:rPr>
        <w:t>Analyser les synergies possibles, avec les Obj</w:t>
      </w:r>
      <w:r w:rsidR="00370F16">
        <w:rPr>
          <w:rFonts w:ascii="Helvetica" w:hAnsi="Helvetica" w:cs="Arial"/>
        </w:rPr>
        <w:t>ectifs de développement durable et</w:t>
      </w:r>
      <w:r>
        <w:rPr>
          <w:rFonts w:ascii="Helvetica" w:hAnsi="Helvetica" w:cs="Arial"/>
        </w:rPr>
        <w:t xml:space="preserve"> le</w:t>
      </w:r>
      <w:r w:rsidR="00370F16">
        <w:rPr>
          <w:rFonts w:ascii="Helvetica" w:hAnsi="Helvetica" w:cs="Arial"/>
        </w:rPr>
        <w:t>s</w:t>
      </w:r>
      <w:r>
        <w:rPr>
          <w:rFonts w:ascii="Helvetica" w:hAnsi="Helvetica" w:cs="Arial"/>
        </w:rPr>
        <w:t xml:space="preserve"> indicateurs de droits de l’Homme afin d’harmoniser les efforts en matière de droits de l’Homme et de développement dans le cadre de l’EPU</w:t>
      </w:r>
      <w:r w:rsidR="000A6162">
        <w:rPr>
          <w:rFonts w:ascii="Helvetica" w:hAnsi="Helvetica" w:cs="Arial"/>
        </w:rPr>
        <w:t>.</w:t>
      </w:r>
    </w:p>
    <w:p w14:paraId="3510DE4A" w14:textId="77777777" w:rsidR="00954DFF" w:rsidRDefault="00954DFF" w:rsidP="00954DFF">
      <w:pPr>
        <w:pStyle w:val="Sansinterligne"/>
        <w:spacing w:line="276" w:lineRule="auto"/>
        <w:ind w:left="720"/>
        <w:jc w:val="both"/>
        <w:rPr>
          <w:rFonts w:ascii="Helvetica" w:hAnsi="Helvetica" w:cs="Arial"/>
        </w:rPr>
      </w:pPr>
    </w:p>
    <w:p w14:paraId="632C9140" w14:textId="77777777" w:rsidR="00571212" w:rsidRPr="00776DB1" w:rsidRDefault="00571212" w:rsidP="009B6D45">
      <w:pPr>
        <w:spacing w:line="276" w:lineRule="auto"/>
        <w:jc w:val="both"/>
        <w:rPr>
          <w:rFonts w:ascii="Helvetica" w:hAnsi="Helvetica" w:cs="Arial"/>
          <w:b/>
          <w:sz w:val="22"/>
          <w:szCs w:val="22"/>
          <w:lang w:val="fr-FR"/>
        </w:rPr>
      </w:pPr>
      <w:r w:rsidRPr="00776DB1">
        <w:rPr>
          <w:rFonts w:ascii="Helvetica" w:hAnsi="Helvetica" w:cs="Arial"/>
          <w:b/>
          <w:sz w:val="22"/>
          <w:szCs w:val="22"/>
          <w:lang w:val="fr-FR"/>
        </w:rPr>
        <w:t>FORMAT</w:t>
      </w:r>
    </w:p>
    <w:p w14:paraId="3FCD3DD2" w14:textId="77777777" w:rsidR="00FD3604" w:rsidRPr="00776DB1" w:rsidRDefault="00FD3604" w:rsidP="009B6D45">
      <w:pPr>
        <w:spacing w:line="276" w:lineRule="auto"/>
        <w:jc w:val="both"/>
        <w:rPr>
          <w:rFonts w:ascii="Helvetica" w:hAnsi="Helvetica" w:cs="Arial"/>
          <w:sz w:val="22"/>
          <w:szCs w:val="22"/>
          <w:lang w:val="fr-FR"/>
        </w:rPr>
      </w:pPr>
    </w:p>
    <w:p w14:paraId="3FC9834C" w14:textId="77777777" w:rsidR="00FD3604" w:rsidRPr="00776DB1" w:rsidRDefault="00FD3604" w:rsidP="009B6D45">
      <w:pPr>
        <w:spacing w:line="276" w:lineRule="auto"/>
        <w:jc w:val="both"/>
        <w:rPr>
          <w:rFonts w:ascii="Helvetica" w:hAnsi="Helvetica" w:cs="Arial"/>
          <w:sz w:val="22"/>
          <w:szCs w:val="22"/>
          <w:lang w:val="fr-FR"/>
        </w:rPr>
      </w:pPr>
      <w:r w:rsidRPr="00776DB1">
        <w:rPr>
          <w:rFonts w:ascii="Helvetica" w:hAnsi="Helvetica" w:cs="Arial"/>
          <w:sz w:val="22"/>
          <w:szCs w:val="22"/>
          <w:lang w:val="fr-FR"/>
        </w:rPr>
        <w:t>Séminaire de deux jours (subdivisé en plénières et en ateliers, y compris des ateliers parallèles), regroupant les participants sur une base transrégionale et/ou par rapport à une expertise particulière, organi</w:t>
      </w:r>
      <w:r w:rsidR="000F28E5" w:rsidRPr="00776DB1">
        <w:rPr>
          <w:rFonts w:ascii="Helvetica" w:hAnsi="Helvetica" w:cs="Arial"/>
          <w:sz w:val="22"/>
          <w:szCs w:val="22"/>
          <w:lang w:val="fr-FR"/>
        </w:rPr>
        <w:t xml:space="preserve">sé par l’OIF avec </w:t>
      </w:r>
      <w:r w:rsidR="00FB1199">
        <w:rPr>
          <w:rFonts w:ascii="Helvetica" w:hAnsi="Helvetica" w:cs="Arial"/>
          <w:sz w:val="22"/>
          <w:szCs w:val="22"/>
          <w:lang w:val="fr-FR"/>
        </w:rPr>
        <w:t>l’</w:t>
      </w:r>
      <w:r w:rsidR="00FB1199">
        <w:rPr>
          <w:rFonts w:ascii="Helvetica" w:hAnsi="Helvetica" w:cs="Helvetica"/>
        </w:rPr>
        <w:t>État</w:t>
      </w:r>
      <w:r w:rsidR="000F28E5" w:rsidRPr="00776DB1">
        <w:rPr>
          <w:rFonts w:ascii="Helvetica" w:hAnsi="Helvetica" w:cs="Arial"/>
          <w:sz w:val="22"/>
          <w:szCs w:val="22"/>
          <w:lang w:val="fr-FR"/>
        </w:rPr>
        <w:t xml:space="preserve"> hôte </w:t>
      </w:r>
      <w:r w:rsidRPr="00776DB1">
        <w:rPr>
          <w:rFonts w:ascii="Helvetica" w:hAnsi="Helvetica" w:cs="Arial"/>
          <w:sz w:val="22"/>
          <w:szCs w:val="22"/>
          <w:lang w:val="fr-FR"/>
        </w:rPr>
        <w:t xml:space="preserve">et le Haut-Commissariat des Nations Unies aux droits de l’homme. </w:t>
      </w:r>
    </w:p>
    <w:p w14:paraId="30BEC491" w14:textId="77777777" w:rsidR="00571212" w:rsidRPr="00776DB1" w:rsidRDefault="00571212" w:rsidP="009B6D45">
      <w:pPr>
        <w:pStyle w:val="Sansinterligne"/>
        <w:spacing w:line="276" w:lineRule="auto"/>
        <w:jc w:val="both"/>
        <w:rPr>
          <w:rFonts w:ascii="Helvetica" w:hAnsi="Helvetica" w:cs="Arial"/>
        </w:rPr>
      </w:pPr>
    </w:p>
    <w:p w14:paraId="2187ACDE" w14:textId="79C0EB6B" w:rsidR="00FD3604" w:rsidRPr="00776DB1" w:rsidRDefault="00571212" w:rsidP="009B6D45">
      <w:pPr>
        <w:pStyle w:val="Sansinterligne"/>
        <w:spacing w:line="276" w:lineRule="auto"/>
        <w:jc w:val="both"/>
        <w:rPr>
          <w:rFonts w:ascii="Helvetica" w:hAnsi="Helvetica" w:cs="Arial"/>
        </w:rPr>
      </w:pPr>
      <w:r w:rsidRPr="00776DB1">
        <w:rPr>
          <w:rFonts w:ascii="Helvetica" w:hAnsi="Helvetica" w:cs="Arial"/>
          <w:b/>
        </w:rPr>
        <w:t>Lieu </w:t>
      </w:r>
      <w:r w:rsidRPr="00776DB1">
        <w:rPr>
          <w:rFonts w:ascii="Helvetica" w:hAnsi="Helvetica" w:cs="Arial"/>
        </w:rPr>
        <w:t>:</w:t>
      </w:r>
      <w:r w:rsidR="00FD3604" w:rsidRPr="00776DB1">
        <w:rPr>
          <w:rFonts w:ascii="Helvetica" w:hAnsi="Helvetica" w:cs="Arial"/>
        </w:rPr>
        <w:t xml:space="preserve"> </w:t>
      </w:r>
      <w:r w:rsidR="009B032F">
        <w:rPr>
          <w:rFonts w:ascii="Helvetica" w:hAnsi="Helvetica" w:cs="Arial"/>
        </w:rPr>
        <w:t xml:space="preserve">Dakar, Sénégal </w:t>
      </w:r>
    </w:p>
    <w:p w14:paraId="6CFF9158" w14:textId="77777777" w:rsidR="00FD3604" w:rsidRPr="00776DB1" w:rsidRDefault="00FD3604" w:rsidP="009B6D45">
      <w:pPr>
        <w:pStyle w:val="Sansinterligne"/>
        <w:spacing w:line="276" w:lineRule="auto"/>
        <w:jc w:val="both"/>
        <w:rPr>
          <w:rFonts w:ascii="Helvetica" w:hAnsi="Helvetica" w:cs="Arial"/>
        </w:rPr>
      </w:pPr>
    </w:p>
    <w:p w14:paraId="2377CEDD" w14:textId="77777777" w:rsidR="00571212" w:rsidRPr="00776DB1" w:rsidRDefault="00571212" w:rsidP="009B6D45">
      <w:pPr>
        <w:tabs>
          <w:tab w:val="left" w:pos="2340"/>
        </w:tabs>
        <w:spacing w:line="276" w:lineRule="auto"/>
        <w:jc w:val="both"/>
        <w:rPr>
          <w:rFonts w:ascii="Helvetica" w:hAnsi="Helvetica" w:cs="Arial"/>
          <w:b/>
          <w:sz w:val="22"/>
          <w:szCs w:val="22"/>
          <w:lang w:val="fr-CH"/>
        </w:rPr>
      </w:pPr>
      <w:r w:rsidRPr="00776DB1">
        <w:rPr>
          <w:rFonts w:ascii="Helvetica" w:hAnsi="Helvetica" w:cs="Arial"/>
          <w:b/>
          <w:sz w:val="22"/>
          <w:szCs w:val="22"/>
          <w:lang w:val="fr-CH"/>
        </w:rPr>
        <w:t xml:space="preserve">Participants : </w:t>
      </w:r>
    </w:p>
    <w:p w14:paraId="4647AB5B" w14:textId="77777777" w:rsidR="00FD3604" w:rsidRPr="00776DB1" w:rsidRDefault="00FD3604" w:rsidP="009B6D45">
      <w:pPr>
        <w:tabs>
          <w:tab w:val="left" w:pos="2340"/>
        </w:tabs>
        <w:spacing w:line="276" w:lineRule="auto"/>
        <w:jc w:val="both"/>
        <w:rPr>
          <w:rFonts w:ascii="Helvetica" w:hAnsi="Helvetica" w:cs="Arial"/>
          <w:b/>
          <w:sz w:val="22"/>
          <w:szCs w:val="22"/>
          <w:lang w:val="fr-CH"/>
        </w:rPr>
      </w:pPr>
    </w:p>
    <w:p w14:paraId="4685AF4E" w14:textId="77777777" w:rsidR="00FD3604" w:rsidRPr="00776DB1" w:rsidRDefault="00FD3604" w:rsidP="009B6D45">
      <w:pPr>
        <w:numPr>
          <w:ilvl w:val="0"/>
          <w:numId w:val="1"/>
        </w:numPr>
        <w:tabs>
          <w:tab w:val="left" w:pos="5220"/>
        </w:tabs>
        <w:suppressAutoHyphens/>
        <w:spacing w:line="276" w:lineRule="auto"/>
        <w:jc w:val="both"/>
        <w:rPr>
          <w:rFonts w:ascii="Helvetica" w:hAnsi="Helvetica" w:cs="Arial"/>
          <w:sz w:val="22"/>
          <w:szCs w:val="22"/>
          <w:lang w:val="fr-CH"/>
        </w:rPr>
      </w:pPr>
      <w:r w:rsidRPr="00776DB1">
        <w:rPr>
          <w:rFonts w:ascii="Helvetica" w:hAnsi="Helvetica" w:cs="Arial"/>
          <w:sz w:val="22"/>
          <w:szCs w:val="22"/>
          <w:lang w:val="fr-CH"/>
        </w:rPr>
        <w:t xml:space="preserve">Délégués des </w:t>
      </w:r>
      <w:r w:rsidR="00FB1199">
        <w:rPr>
          <w:rFonts w:ascii="Helvetica" w:hAnsi="Helvetica" w:cs="Helvetica"/>
        </w:rPr>
        <w:t>États</w:t>
      </w:r>
      <w:r w:rsidRPr="00776DB1">
        <w:rPr>
          <w:rFonts w:ascii="Helvetica" w:hAnsi="Helvetica" w:cs="Arial"/>
          <w:sz w:val="22"/>
          <w:szCs w:val="22"/>
          <w:lang w:val="fr-CH"/>
        </w:rPr>
        <w:t xml:space="preserve"> membres de la Francophonie, </w:t>
      </w:r>
      <w:r w:rsidRPr="00776DB1">
        <w:rPr>
          <w:rFonts w:ascii="Helvetica" w:hAnsi="Helvetica" w:cs="Arial"/>
          <w:i/>
          <w:sz w:val="22"/>
          <w:szCs w:val="22"/>
          <w:lang w:val="fr-CH"/>
        </w:rPr>
        <w:t>accrédités auprès de l’ONUG, membres du GAF, dont l’Algérie</w:t>
      </w:r>
      <w:r w:rsidRPr="00776DB1">
        <w:rPr>
          <w:rFonts w:ascii="Helvetica" w:hAnsi="Helvetica" w:cs="Arial"/>
          <w:sz w:val="22"/>
          <w:szCs w:val="22"/>
          <w:lang w:val="fr-CH"/>
        </w:rPr>
        <w:t xml:space="preserve"> ;</w:t>
      </w:r>
    </w:p>
    <w:p w14:paraId="11A316BC" w14:textId="77777777" w:rsidR="00FD3604" w:rsidRPr="00776DB1" w:rsidRDefault="00FD3604" w:rsidP="009B6D45">
      <w:pPr>
        <w:numPr>
          <w:ilvl w:val="0"/>
          <w:numId w:val="1"/>
        </w:numPr>
        <w:tabs>
          <w:tab w:val="left" w:pos="5220"/>
        </w:tabs>
        <w:suppressAutoHyphens/>
        <w:spacing w:line="276" w:lineRule="auto"/>
        <w:jc w:val="both"/>
        <w:rPr>
          <w:rFonts w:ascii="Helvetica" w:hAnsi="Helvetica" w:cs="Arial"/>
          <w:sz w:val="22"/>
          <w:szCs w:val="22"/>
          <w:lang w:val="fr-CH"/>
        </w:rPr>
      </w:pPr>
      <w:r w:rsidRPr="00776DB1">
        <w:rPr>
          <w:rFonts w:ascii="Helvetica" w:hAnsi="Helvetica" w:cs="Arial"/>
          <w:sz w:val="22"/>
          <w:szCs w:val="22"/>
          <w:lang w:val="fr-CH"/>
        </w:rPr>
        <w:t xml:space="preserve">Délégués des capitales des </w:t>
      </w:r>
      <w:r w:rsidR="0038087A">
        <w:rPr>
          <w:rFonts w:ascii="Helvetica" w:hAnsi="Helvetica" w:cs="Arial"/>
          <w:sz w:val="22"/>
          <w:szCs w:val="22"/>
          <w:lang w:val="fr-CH"/>
        </w:rPr>
        <w:t>m</w:t>
      </w:r>
      <w:r w:rsidRPr="00776DB1">
        <w:rPr>
          <w:rFonts w:ascii="Helvetica" w:hAnsi="Helvetica" w:cs="Arial"/>
          <w:sz w:val="22"/>
          <w:szCs w:val="22"/>
          <w:lang w:val="fr-CH"/>
        </w:rPr>
        <w:t>inistères concernés ;</w:t>
      </w:r>
    </w:p>
    <w:p w14:paraId="38ABE424" w14:textId="5ED8B91D" w:rsidR="00FD3604" w:rsidRPr="00776DB1" w:rsidRDefault="00FD3604" w:rsidP="009B6D45">
      <w:pPr>
        <w:numPr>
          <w:ilvl w:val="0"/>
          <w:numId w:val="1"/>
        </w:numPr>
        <w:tabs>
          <w:tab w:val="left" w:pos="5220"/>
        </w:tabs>
        <w:suppressAutoHyphens/>
        <w:spacing w:line="276" w:lineRule="auto"/>
        <w:jc w:val="both"/>
        <w:rPr>
          <w:rFonts w:ascii="Helvetica" w:hAnsi="Helvetica" w:cs="Arial"/>
          <w:sz w:val="22"/>
          <w:szCs w:val="22"/>
          <w:lang w:val="fr-CH"/>
        </w:rPr>
      </w:pPr>
      <w:r w:rsidRPr="00776DB1">
        <w:rPr>
          <w:rFonts w:ascii="Helvetica" w:hAnsi="Helvetica" w:cs="Arial"/>
          <w:sz w:val="22"/>
          <w:szCs w:val="22"/>
          <w:lang w:val="fr-CH"/>
        </w:rPr>
        <w:t>Représentants des Institutions internationales concernées par la mise en œuvre de l’EPU (Agences des Nations Unies, Union européenne</w:t>
      </w:r>
      <w:r w:rsidR="00265777">
        <w:rPr>
          <w:rFonts w:ascii="Helvetica" w:hAnsi="Helvetica" w:cs="Arial"/>
          <w:sz w:val="22"/>
          <w:szCs w:val="22"/>
          <w:lang w:val="fr-CH"/>
        </w:rPr>
        <w:t xml:space="preserve">, </w:t>
      </w:r>
      <w:r w:rsidR="00087483">
        <w:rPr>
          <w:rFonts w:ascii="Helvetica" w:hAnsi="Helvetica" w:cs="Arial"/>
          <w:sz w:val="22"/>
          <w:szCs w:val="22"/>
          <w:lang w:val="fr-CH"/>
        </w:rPr>
        <w:t>Commission de l’Union Africaine et Commission Africaine des droits de l’homme et des peuples</w:t>
      </w:r>
      <w:r w:rsidRPr="00776DB1">
        <w:rPr>
          <w:rFonts w:ascii="Helvetica" w:hAnsi="Helvetica" w:cs="Arial"/>
          <w:sz w:val="22"/>
          <w:szCs w:val="22"/>
          <w:lang w:val="fr-CH"/>
        </w:rPr>
        <w:t>) ;</w:t>
      </w:r>
    </w:p>
    <w:p w14:paraId="355C1B9C" w14:textId="149460F2" w:rsidR="00FD3604" w:rsidRPr="00776DB1" w:rsidRDefault="00FD3604" w:rsidP="009B6D45">
      <w:pPr>
        <w:numPr>
          <w:ilvl w:val="0"/>
          <w:numId w:val="1"/>
        </w:numPr>
        <w:tabs>
          <w:tab w:val="left" w:pos="5220"/>
        </w:tabs>
        <w:suppressAutoHyphens/>
        <w:spacing w:line="276" w:lineRule="auto"/>
        <w:jc w:val="both"/>
        <w:rPr>
          <w:rFonts w:ascii="Helvetica" w:hAnsi="Helvetica" w:cs="Arial"/>
          <w:sz w:val="22"/>
          <w:szCs w:val="22"/>
          <w:lang w:val="fr-CH"/>
        </w:rPr>
      </w:pPr>
      <w:r w:rsidRPr="00776DB1">
        <w:rPr>
          <w:rFonts w:ascii="Helvetica" w:hAnsi="Helvetica" w:cs="Arial"/>
          <w:sz w:val="22"/>
          <w:szCs w:val="22"/>
          <w:lang w:val="fr-CH"/>
        </w:rPr>
        <w:t>Experts de l’OIF et du HCDH</w:t>
      </w:r>
      <w:r w:rsidR="00087483">
        <w:rPr>
          <w:rFonts w:ascii="Helvetica" w:hAnsi="Helvetica" w:cs="Arial"/>
          <w:sz w:val="22"/>
          <w:szCs w:val="22"/>
          <w:lang w:val="fr-CH"/>
        </w:rPr>
        <w:t>, y compris un représentant des opérations du HCDH dans le pays organisateur</w:t>
      </w:r>
      <w:r w:rsidRPr="00776DB1">
        <w:rPr>
          <w:rFonts w:ascii="Helvetica" w:hAnsi="Helvetica" w:cs="Arial"/>
          <w:sz w:val="22"/>
          <w:szCs w:val="22"/>
          <w:lang w:val="fr-CH"/>
        </w:rPr>
        <w:t> ;</w:t>
      </w:r>
    </w:p>
    <w:p w14:paraId="299C040B" w14:textId="2E9D7C26" w:rsidR="00FD3604" w:rsidRPr="00776DB1" w:rsidRDefault="00FD3604" w:rsidP="009B6D45">
      <w:pPr>
        <w:numPr>
          <w:ilvl w:val="0"/>
          <w:numId w:val="1"/>
        </w:numPr>
        <w:tabs>
          <w:tab w:val="left" w:pos="5220"/>
        </w:tabs>
        <w:suppressAutoHyphens/>
        <w:spacing w:line="276" w:lineRule="auto"/>
        <w:jc w:val="both"/>
        <w:rPr>
          <w:rFonts w:ascii="Helvetica" w:hAnsi="Helvetica" w:cs="Arial"/>
          <w:sz w:val="22"/>
          <w:szCs w:val="22"/>
          <w:lang w:val="fr-CH"/>
        </w:rPr>
      </w:pPr>
      <w:r w:rsidRPr="00776DB1">
        <w:rPr>
          <w:rFonts w:ascii="Helvetica" w:hAnsi="Helvetica" w:cs="Arial"/>
          <w:sz w:val="22"/>
          <w:szCs w:val="22"/>
          <w:lang w:val="fr-CH"/>
        </w:rPr>
        <w:t xml:space="preserve">Institutions nationales des droits de l’Homme des </w:t>
      </w:r>
      <w:r w:rsidR="00FB1199">
        <w:rPr>
          <w:rFonts w:ascii="Helvetica" w:hAnsi="Helvetica" w:cs="Helvetica"/>
        </w:rPr>
        <w:t>États</w:t>
      </w:r>
      <w:r w:rsidRPr="00776DB1">
        <w:rPr>
          <w:rFonts w:ascii="Helvetica" w:hAnsi="Helvetica" w:cs="Arial"/>
          <w:sz w:val="22"/>
          <w:szCs w:val="22"/>
          <w:lang w:val="fr-CH"/>
        </w:rPr>
        <w:t xml:space="preserve"> membres de l’OIF</w:t>
      </w:r>
      <w:r w:rsidR="00D067EE">
        <w:rPr>
          <w:rFonts w:ascii="Helvetica" w:hAnsi="Helvetica" w:cs="Arial"/>
          <w:sz w:val="22"/>
          <w:szCs w:val="22"/>
          <w:lang w:val="fr-CH"/>
        </w:rPr>
        <w:t xml:space="preserve">, représentants de l’alliance mondiale </w:t>
      </w:r>
      <w:r w:rsidR="00F211F0">
        <w:rPr>
          <w:rFonts w:ascii="Helvetica" w:hAnsi="Helvetica" w:cs="Arial"/>
          <w:sz w:val="22"/>
          <w:szCs w:val="22"/>
          <w:lang w:val="fr-CH"/>
        </w:rPr>
        <w:t xml:space="preserve">des INDH </w:t>
      </w:r>
      <w:r w:rsidR="00087483" w:rsidRPr="00B611F0">
        <w:rPr>
          <w:rFonts w:ascii="Helvetica" w:hAnsi="Helvetica" w:cs="Helvetica"/>
          <w:sz w:val="22"/>
          <w:szCs w:val="22"/>
        </w:rPr>
        <w:t>(GANHRI)</w:t>
      </w:r>
      <w:r w:rsidR="00087483">
        <w:t xml:space="preserve"> </w:t>
      </w:r>
      <w:r w:rsidR="00ED0521">
        <w:rPr>
          <w:rFonts w:ascii="Helvetica" w:hAnsi="Helvetica" w:cs="Arial"/>
          <w:sz w:val="22"/>
          <w:szCs w:val="22"/>
          <w:lang w:val="fr-CH"/>
        </w:rPr>
        <w:t xml:space="preserve">et </w:t>
      </w:r>
      <w:r w:rsidR="00D067EE">
        <w:rPr>
          <w:rFonts w:ascii="Helvetica" w:hAnsi="Helvetica" w:cs="Arial"/>
          <w:sz w:val="22"/>
          <w:szCs w:val="22"/>
          <w:lang w:val="fr-CH"/>
        </w:rPr>
        <w:t>du réseau des INDH Africaines</w:t>
      </w:r>
      <w:r w:rsidRPr="00776DB1">
        <w:rPr>
          <w:rFonts w:ascii="Helvetica" w:hAnsi="Helvetica" w:cs="Arial"/>
          <w:sz w:val="22"/>
          <w:szCs w:val="22"/>
          <w:lang w:val="fr-CH"/>
        </w:rPr>
        <w:t>;</w:t>
      </w:r>
    </w:p>
    <w:p w14:paraId="6153E1B3" w14:textId="12AB563B" w:rsidR="00FD3604" w:rsidRPr="00B611F0" w:rsidRDefault="00B611F0" w:rsidP="00B611F0">
      <w:pPr>
        <w:numPr>
          <w:ilvl w:val="0"/>
          <w:numId w:val="1"/>
        </w:numPr>
        <w:tabs>
          <w:tab w:val="left" w:pos="5220"/>
        </w:tabs>
        <w:suppressAutoHyphens/>
        <w:autoSpaceDE w:val="0"/>
        <w:spacing w:line="276" w:lineRule="auto"/>
        <w:jc w:val="both"/>
        <w:rPr>
          <w:rFonts w:ascii="Helvetica" w:hAnsi="Helvetica" w:cs="Arial"/>
          <w:sz w:val="22"/>
          <w:szCs w:val="22"/>
          <w:lang w:val="fr-FR"/>
        </w:rPr>
      </w:pPr>
      <w:r w:rsidRPr="00B611F0">
        <w:rPr>
          <w:rFonts w:ascii="Helvetica" w:hAnsi="Helvetica" w:cs="Arial"/>
          <w:sz w:val="22"/>
          <w:szCs w:val="22"/>
        </w:rPr>
        <w:t xml:space="preserve">Représentations locales des </w:t>
      </w:r>
      <w:r w:rsidR="00FD3604" w:rsidRPr="00B611F0">
        <w:rPr>
          <w:rFonts w:ascii="Helvetica" w:hAnsi="Helvetica" w:cs="Arial"/>
          <w:sz w:val="22"/>
          <w:szCs w:val="22"/>
        </w:rPr>
        <w:t xml:space="preserve">Organisations </w:t>
      </w:r>
      <w:r w:rsidR="0038087A" w:rsidRPr="00B611F0">
        <w:rPr>
          <w:rFonts w:ascii="Helvetica" w:hAnsi="Helvetica" w:cs="Arial"/>
          <w:sz w:val="22"/>
          <w:szCs w:val="22"/>
        </w:rPr>
        <w:t xml:space="preserve">internationales </w:t>
      </w:r>
      <w:r w:rsidR="00FD3604" w:rsidRPr="00B611F0">
        <w:rPr>
          <w:rFonts w:ascii="Helvetica" w:hAnsi="Helvetica" w:cs="Arial"/>
          <w:sz w:val="22"/>
          <w:szCs w:val="22"/>
        </w:rPr>
        <w:t xml:space="preserve">non-gouvernementales </w:t>
      </w:r>
      <w:r w:rsidR="0038087A" w:rsidRPr="00B611F0">
        <w:rPr>
          <w:rFonts w:ascii="Helvetica" w:hAnsi="Helvetica" w:cs="Arial"/>
          <w:sz w:val="22"/>
          <w:szCs w:val="22"/>
        </w:rPr>
        <w:t xml:space="preserve">de </w:t>
      </w:r>
      <w:r w:rsidR="00FD3604" w:rsidRPr="00B611F0">
        <w:rPr>
          <w:rFonts w:ascii="Helvetica" w:hAnsi="Helvetica" w:cs="Arial"/>
          <w:sz w:val="22"/>
          <w:szCs w:val="22"/>
        </w:rPr>
        <w:t>droits de l’Homme (</w:t>
      </w:r>
      <w:proofErr w:type="spellStart"/>
      <w:r w:rsidR="00FD3604" w:rsidRPr="00B611F0">
        <w:rPr>
          <w:rFonts w:ascii="Helvetica" w:hAnsi="Helvetica" w:cs="Arial"/>
          <w:sz w:val="22"/>
          <w:szCs w:val="22"/>
        </w:rPr>
        <w:t>Human</w:t>
      </w:r>
      <w:proofErr w:type="spellEnd"/>
      <w:r w:rsidR="00FD3604" w:rsidRPr="00B611F0">
        <w:rPr>
          <w:rFonts w:ascii="Helvetica" w:hAnsi="Helvetica" w:cs="Arial"/>
          <w:sz w:val="22"/>
          <w:szCs w:val="22"/>
        </w:rPr>
        <w:t xml:space="preserve"> </w:t>
      </w:r>
      <w:proofErr w:type="spellStart"/>
      <w:r w:rsidR="00FD3604" w:rsidRPr="00B611F0">
        <w:rPr>
          <w:rFonts w:ascii="Helvetica" w:hAnsi="Helvetica" w:cs="Arial"/>
          <w:sz w:val="22"/>
          <w:szCs w:val="22"/>
        </w:rPr>
        <w:t>Rights</w:t>
      </w:r>
      <w:proofErr w:type="spellEnd"/>
      <w:r w:rsidR="00FD3604" w:rsidRPr="00B611F0">
        <w:rPr>
          <w:rFonts w:ascii="Helvetica" w:hAnsi="Helvetica" w:cs="Arial"/>
          <w:sz w:val="22"/>
          <w:szCs w:val="22"/>
        </w:rPr>
        <w:t xml:space="preserve"> Watch, Amnesty international, Fédération internationale des droits de l’Homme, UPR-Info)</w:t>
      </w:r>
      <w:r w:rsidRPr="00B611F0">
        <w:rPr>
          <w:rFonts w:ascii="Helvetica" w:hAnsi="Helvetica" w:cs="Arial"/>
          <w:sz w:val="22"/>
          <w:szCs w:val="22"/>
        </w:rPr>
        <w:t xml:space="preserve">, </w:t>
      </w:r>
      <w:proofErr w:type="spellStart"/>
      <w:r w:rsidRPr="00B611F0">
        <w:rPr>
          <w:rFonts w:ascii="Helvetica" w:hAnsi="Helvetica" w:cs="Arial"/>
          <w:sz w:val="22"/>
          <w:szCs w:val="22"/>
        </w:rPr>
        <w:t>ONGs</w:t>
      </w:r>
      <w:proofErr w:type="spellEnd"/>
      <w:r w:rsidRPr="00B611F0">
        <w:rPr>
          <w:rFonts w:ascii="Helvetica" w:hAnsi="Helvetica" w:cs="Arial"/>
          <w:sz w:val="22"/>
          <w:szCs w:val="22"/>
        </w:rPr>
        <w:t xml:space="preserve"> locales</w:t>
      </w:r>
      <w:r w:rsidR="00FD3604" w:rsidRPr="00B611F0">
        <w:rPr>
          <w:rFonts w:ascii="Helvetica" w:hAnsi="Helvetica" w:cs="Arial"/>
          <w:sz w:val="22"/>
          <w:szCs w:val="22"/>
        </w:rPr>
        <w:t xml:space="preserve"> </w:t>
      </w:r>
      <w:r w:rsidRPr="00B611F0">
        <w:rPr>
          <w:rFonts w:ascii="Helvetica" w:hAnsi="Helvetica" w:cs="Arial"/>
          <w:sz w:val="22"/>
          <w:szCs w:val="22"/>
        </w:rPr>
        <w:t>ayant une expérience dans le domaine de l’interaction avec les mécanismes internationaux et régionaux des droits de l’homme, en particulier l’EPU</w:t>
      </w:r>
      <w:r w:rsidR="00FD3604" w:rsidRPr="00B611F0">
        <w:rPr>
          <w:rFonts w:ascii="Helvetica" w:hAnsi="Helvetica" w:cs="Arial"/>
          <w:sz w:val="22"/>
          <w:szCs w:val="22"/>
        </w:rPr>
        <w:t>;</w:t>
      </w:r>
    </w:p>
    <w:p w14:paraId="6A0689B5" w14:textId="776B4321" w:rsidR="00FD3604" w:rsidRPr="00776DB1" w:rsidRDefault="00FD3604" w:rsidP="009B6D45">
      <w:pPr>
        <w:numPr>
          <w:ilvl w:val="0"/>
          <w:numId w:val="1"/>
        </w:numPr>
        <w:tabs>
          <w:tab w:val="left" w:pos="5220"/>
        </w:tabs>
        <w:suppressAutoHyphens/>
        <w:autoSpaceDE w:val="0"/>
        <w:spacing w:line="276" w:lineRule="auto"/>
        <w:jc w:val="both"/>
        <w:rPr>
          <w:rFonts w:ascii="Helvetica" w:hAnsi="Helvetica" w:cs="Arial"/>
          <w:sz w:val="22"/>
          <w:szCs w:val="22"/>
          <w:lang w:val="fr-FR"/>
        </w:rPr>
      </w:pPr>
      <w:r w:rsidRPr="00776DB1">
        <w:rPr>
          <w:rFonts w:ascii="Helvetica" w:hAnsi="Helvetica" w:cs="Arial"/>
          <w:sz w:val="22"/>
          <w:szCs w:val="22"/>
          <w:lang w:val="fr-FR"/>
        </w:rPr>
        <w:t>Parlementaires membres de l’Assemblée parlementaire de la Francophonie</w:t>
      </w:r>
      <w:r w:rsidR="000A6162">
        <w:rPr>
          <w:rFonts w:ascii="Helvetica" w:hAnsi="Helvetica" w:cs="Arial"/>
          <w:sz w:val="22"/>
          <w:szCs w:val="22"/>
          <w:lang w:val="fr-FR"/>
        </w:rPr>
        <w:t xml:space="preserve"> (APF)</w:t>
      </w:r>
      <w:r w:rsidRPr="00776DB1">
        <w:rPr>
          <w:rFonts w:ascii="Helvetica" w:hAnsi="Helvetica" w:cs="Arial"/>
          <w:sz w:val="22"/>
          <w:szCs w:val="22"/>
          <w:lang w:val="fr-FR"/>
        </w:rPr>
        <w:t>.</w:t>
      </w:r>
    </w:p>
    <w:p w14:paraId="17DDE45C" w14:textId="77777777" w:rsidR="00FD3604" w:rsidRPr="00776DB1" w:rsidRDefault="00FD3604" w:rsidP="009B6D45">
      <w:pPr>
        <w:spacing w:line="276" w:lineRule="auto"/>
        <w:jc w:val="both"/>
        <w:rPr>
          <w:rFonts w:ascii="Helvetica" w:hAnsi="Helvetica" w:cs="Arial"/>
          <w:sz w:val="22"/>
          <w:szCs w:val="22"/>
          <w:lang w:val="fr-FR"/>
        </w:rPr>
      </w:pPr>
      <w:r w:rsidRPr="00776DB1">
        <w:rPr>
          <w:rFonts w:ascii="Helvetica" w:hAnsi="Helvetica" w:cs="Arial"/>
          <w:sz w:val="22"/>
          <w:szCs w:val="22"/>
          <w:lang w:val="fr-FR"/>
        </w:rPr>
        <w:t xml:space="preserve"> </w:t>
      </w:r>
    </w:p>
    <w:p w14:paraId="368E5DB6" w14:textId="77777777" w:rsidR="00571212" w:rsidRPr="00776DB1" w:rsidRDefault="00571212" w:rsidP="009B6D45">
      <w:pPr>
        <w:pStyle w:val="Sansinterligne"/>
        <w:spacing w:line="276" w:lineRule="auto"/>
        <w:jc w:val="both"/>
        <w:rPr>
          <w:rFonts w:ascii="Helvetica" w:hAnsi="Helvetica" w:cs="Arial"/>
        </w:rPr>
      </w:pPr>
    </w:p>
    <w:sectPr w:rsidR="00571212" w:rsidRPr="00776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4332"/>
    <w:multiLevelType w:val="hybridMultilevel"/>
    <w:tmpl w:val="2D7AF116"/>
    <w:lvl w:ilvl="0" w:tplc="57D636D0">
      <w:numFmt w:val="bullet"/>
      <w:lvlText w:val=""/>
      <w:lvlJc w:val="left"/>
      <w:pPr>
        <w:ind w:left="786" w:hanging="360"/>
      </w:pPr>
      <w:rPr>
        <w:rFonts w:ascii="Symbol" w:eastAsia="Times New Roman" w:hAnsi="Symbo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39925367"/>
    <w:multiLevelType w:val="hybridMultilevel"/>
    <w:tmpl w:val="D812AA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42586CE4"/>
    <w:multiLevelType w:val="hybridMultilevel"/>
    <w:tmpl w:val="5D5285B0"/>
    <w:lvl w:ilvl="0" w:tplc="00000002">
      <w:start w:val="8"/>
      <w:numFmt w:val="bullet"/>
      <w:lvlText w:val="-"/>
      <w:lvlJc w:val="left"/>
      <w:pPr>
        <w:tabs>
          <w:tab w:val="num" w:pos="1080"/>
        </w:tabs>
        <w:ind w:left="1080" w:hanging="360"/>
      </w:pPr>
      <w:rPr>
        <w:rFonts w:ascii="Times New Roman" w:hAnsi="Times New Roman"/>
      </w:rPr>
    </w:lvl>
    <w:lvl w:ilvl="1" w:tplc="040C0001">
      <w:start w:val="1"/>
      <w:numFmt w:val="bullet"/>
      <w:lvlText w:val=""/>
      <w:lvlJc w:val="left"/>
      <w:pPr>
        <w:tabs>
          <w:tab w:val="num" w:pos="1800"/>
        </w:tabs>
        <w:ind w:left="1800" w:hanging="360"/>
      </w:pPr>
      <w:rPr>
        <w:rFonts w:ascii="Symbol" w:hAnsi="Symbo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5A4F4989"/>
    <w:multiLevelType w:val="hybridMultilevel"/>
    <w:tmpl w:val="26B8DA8E"/>
    <w:lvl w:ilvl="0" w:tplc="A19A1F38">
      <w:start w:val="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67772D"/>
    <w:multiLevelType w:val="hybridMultilevel"/>
    <w:tmpl w:val="96BE7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SEUTCHEU">
    <w15:presenceInfo w15:providerId="None" w15:userId="Martin SEUTCHE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05"/>
    <w:rsid w:val="0000002E"/>
    <w:rsid w:val="00004021"/>
    <w:rsid w:val="00047E74"/>
    <w:rsid w:val="00052F7A"/>
    <w:rsid w:val="00083E47"/>
    <w:rsid w:val="00087483"/>
    <w:rsid w:val="000A6162"/>
    <w:rsid w:val="000A70FC"/>
    <w:rsid w:val="000C6924"/>
    <w:rsid w:val="000D1D95"/>
    <w:rsid w:val="000D26B1"/>
    <w:rsid w:val="000F28E5"/>
    <w:rsid w:val="001665AB"/>
    <w:rsid w:val="001C69D1"/>
    <w:rsid w:val="001D649C"/>
    <w:rsid w:val="001E00DF"/>
    <w:rsid w:val="001F5BD6"/>
    <w:rsid w:val="00265777"/>
    <w:rsid w:val="00272C28"/>
    <w:rsid w:val="002C41B9"/>
    <w:rsid w:val="00342108"/>
    <w:rsid w:val="00345C15"/>
    <w:rsid w:val="00361922"/>
    <w:rsid w:val="00370F16"/>
    <w:rsid w:val="0038087A"/>
    <w:rsid w:val="00382076"/>
    <w:rsid w:val="003A0B4A"/>
    <w:rsid w:val="003F26B6"/>
    <w:rsid w:val="003F26D9"/>
    <w:rsid w:val="00485FBE"/>
    <w:rsid w:val="004B109C"/>
    <w:rsid w:val="004B2920"/>
    <w:rsid w:val="004F7D92"/>
    <w:rsid w:val="00515710"/>
    <w:rsid w:val="0054359B"/>
    <w:rsid w:val="00561B84"/>
    <w:rsid w:val="00571212"/>
    <w:rsid w:val="005779C7"/>
    <w:rsid w:val="00594233"/>
    <w:rsid w:val="005947C2"/>
    <w:rsid w:val="005F1F61"/>
    <w:rsid w:val="0063112C"/>
    <w:rsid w:val="006B1204"/>
    <w:rsid w:val="00700EC0"/>
    <w:rsid w:val="00776DB1"/>
    <w:rsid w:val="0079766F"/>
    <w:rsid w:val="007A6EB7"/>
    <w:rsid w:val="00850D34"/>
    <w:rsid w:val="00854A41"/>
    <w:rsid w:val="008664BD"/>
    <w:rsid w:val="008C134D"/>
    <w:rsid w:val="008E23D1"/>
    <w:rsid w:val="008F3F72"/>
    <w:rsid w:val="00954DFF"/>
    <w:rsid w:val="00962267"/>
    <w:rsid w:val="00965344"/>
    <w:rsid w:val="00981E7E"/>
    <w:rsid w:val="00995D0A"/>
    <w:rsid w:val="009B032F"/>
    <w:rsid w:val="009B6D45"/>
    <w:rsid w:val="009E3B59"/>
    <w:rsid w:val="00A02DEE"/>
    <w:rsid w:val="00A2575F"/>
    <w:rsid w:val="00A26DE7"/>
    <w:rsid w:val="00A50B6B"/>
    <w:rsid w:val="00A53FDE"/>
    <w:rsid w:val="00A57105"/>
    <w:rsid w:val="00A651AB"/>
    <w:rsid w:val="00A74D45"/>
    <w:rsid w:val="00AB2883"/>
    <w:rsid w:val="00B17FEB"/>
    <w:rsid w:val="00B37A9B"/>
    <w:rsid w:val="00B47AAC"/>
    <w:rsid w:val="00B611F0"/>
    <w:rsid w:val="00BC5458"/>
    <w:rsid w:val="00C05A4B"/>
    <w:rsid w:val="00CA65EB"/>
    <w:rsid w:val="00CB70F3"/>
    <w:rsid w:val="00CB7D43"/>
    <w:rsid w:val="00CD7AE1"/>
    <w:rsid w:val="00D03558"/>
    <w:rsid w:val="00D067EE"/>
    <w:rsid w:val="00D6155F"/>
    <w:rsid w:val="00D81D67"/>
    <w:rsid w:val="00DA0953"/>
    <w:rsid w:val="00DC0BBB"/>
    <w:rsid w:val="00E10670"/>
    <w:rsid w:val="00E148D0"/>
    <w:rsid w:val="00E33D27"/>
    <w:rsid w:val="00EA3279"/>
    <w:rsid w:val="00ED0521"/>
    <w:rsid w:val="00F047EE"/>
    <w:rsid w:val="00F211F0"/>
    <w:rsid w:val="00F24E62"/>
    <w:rsid w:val="00F30380"/>
    <w:rsid w:val="00F46C52"/>
    <w:rsid w:val="00F61F1D"/>
    <w:rsid w:val="00F846B6"/>
    <w:rsid w:val="00FA6516"/>
    <w:rsid w:val="00FB1199"/>
    <w:rsid w:val="00FD3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09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12"/>
    <w:pPr>
      <w:spacing w:after="0" w:line="240" w:lineRule="auto"/>
    </w:pPr>
    <w:rPr>
      <w:rFonts w:ascii="Times New Roman" w:eastAsia="Times New Roman" w:hAnsi="Times New Roman" w:cs="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57105"/>
    <w:pPr>
      <w:spacing w:after="0" w:line="240" w:lineRule="auto"/>
    </w:pPr>
  </w:style>
  <w:style w:type="paragraph" w:styleId="Paragraphedeliste">
    <w:name w:val="List Paragraph"/>
    <w:basedOn w:val="Normal"/>
    <w:uiPriority w:val="34"/>
    <w:qFormat/>
    <w:rsid w:val="00D81D67"/>
    <w:pPr>
      <w:ind w:left="720"/>
      <w:contextualSpacing/>
    </w:pPr>
  </w:style>
  <w:style w:type="paragraph" w:styleId="Textedebulles">
    <w:name w:val="Balloon Text"/>
    <w:basedOn w:val="Normal"/>
    <w:link w:val="TextedebullesCar"/>
    <w:uiPriority w:val="99"/>
    <w:semiHidden/>
    <w:unhideWhenUsed/>
    <w:rsid w:val="00A02DEE"/>
    <w:rPr>
      <w:rFonts w:ascii="Tahoma" w:hAnsi="Tahoma" w:cs="Tahoma"/>
      <w:sz w:val="16"/>
      <w:szCs w:val="16"/>
    </w:rPr>
  </w:style>
  <w:style w:type="character" w:customStyle="1" w:styleId="TextedebullesCar">
    <w:name w:val="Texte de bulles Car"/>
    <w:basedOn w:val="Policepardfaut"/>
    <w:link w:val="Textedebulles"/>
    <w:uiPriority w:val="99"/>
    <w:semiHidden/>
    <w:rsid w:val="00A02DEE"/>
    <w:rPr>
      <w:rFonts w:ascii="Tahoma" w:eastAsia="Times New Roman" w:hAnsi="Tahoma" w:cs="Tahoma"/>
      <w:sz w:val="16"/>
      <w:szCs w:val="16"/>
      <w:lang w:val="fr-CA" w:eastAsia="fr-FR"/>
    </w:rPr>
  </w:style>
  <w:style w:type="character" w:styleId="Marquedecommentaire">
    <w:name w:val="annotation reference"/>
    <w:basedOn w:val="Policepardfaut"/>
    <w:uiPriority w:val="99"/>
    <w:semiHidden/>
    <w:unhideWhenUsed/>
    <w:rsid w:val="00FB1199"/>
    <w:rPr>
      <w:sz w:val="16"/>
      <w:szCs w:val="16"/>
    </w:rPr>
  </w:style>
  <w:style w:type="paragraph" w:styleId="Commentaire">
    <w:name w:val="annotation text"/>
    <w:basedOn w:val="Normal"/>
    <w:link w:val="CommentaireCar"/>
    <w:uiPriority w:val="99"/>
    <w:semiHidden/>
    <w:unhideWhenUsed/>
    <w:rsid w:val="00FB1199"/>
    <w:rPr>
      <w:sz w:val="20"/>
      <w:szCs w:val="20"/>
    </w:rPr>
  </w:style>
  <w:style w:type="character" w:customStyle="1" w:styleId="CommentaireCar">
    <w:name w:val="Commentaire Car"/>
    <w:basedOn w:val="Policepardfaut"/>
    <w:link w:val="Commentaire"/>
    <w:uiPriority w:val="99"/>
    <w:semiHidden/>
    <w:rsid w:val="00FB1199"/>
    <w:rPr>
      <w:rFonts w:ascii="Times New Roman" w:eastAsia="Times New Roman" w:hAnsi="Times New Roman" w:cs="Times New Roman"/>
      <w:sz w:val="20"/>
      <w:szCs w:val="20"/>
      <w:lang w:val="fr-CA" w:eastAsia="fr-FR"/>
    </w:rPr>
  </w:style>
  <w:style w:type="paragraph" w:styleId="Objetducommentaire">
    <w:name w:val="annotation subject"/>
    <w:basedOn w:val="Commentaire"/>
    <w:next w:val="Commentaire"/>
    <w:link w:val="ObjetducommentaireCar"/>
    <w:uiPriority w:val="99"/>
    <w:semiHidden/>
    <w:unhideWhenUsed/>
    <w:rsid w:val="00FB1199"/>
    <w:rPr>
      <w:b/>
      <w:bCs/>
    </w:rPr>
  </w:style>
  <w:style w:type="character" w:customStyle="1" w:styleId="ObjetducommentaireCar">
    <w:name w:val="Objet du commentaire Car"/>
    <w:basedOn w:val="CommentaireCar"/>
    <w:link w:val="Objetducommentaire"/>
    <w:uiPriority w:val="99"/>
    <w:semiHidden/>
    <w:rsid w:val="00FB1199"/>
    <w:rPr>
      <w:rFonts w:ascii="Times New Roman" w:eastAsia="Times New Roman" w:hAnsi="Times New Roman" w:cs="Times New Roman"/>
      <w:b/>
      <w:bCs/>
      <w:sz w:val="20"/>
      <w:szCs w:val="20"/>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12"/>
    <w:pPr>
      <w:spacing w:after="0" w:line="240" w:lineRule="auto"/>
    </w:pPr>
    <w:rPr>
      <w:rFonts w:ascii="Times New Roman" w:eastAsia="Times New Roman" w:hAnsi="Times New Roman" w:cs="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57105"/>
    <w:pPr>
      <w:spacing w:after="0" w:line="240" w:lineRule="auto"/>
    </w:pPr>
  </w:style>
  <w:style w:type="paragraph" w:styleId="Paragraphedeliste">
    <w:name w:val="List Paragraph"/>
    <w:basedOn w:val="Normal"/>
    <w:uiPriority w:val="34"/>
    <w:qFormat/>
    <w:rsid w:val="00D81D67"/>
    <w:pPr>
      <w:ind w:left="720"/>
      <w:contextualSpacing/>
    </w:pPr>
  </w:style>
  <w:style w:type="paragraph" w:styleId="Textedebulles">
    <w:name w:val="Balloon Text"/>
    <w:basedOn w:val="Normal"/>
    <w:link w:val="TextedebullesCar"/>
    <w:uiPriority w:val="99"/>
    <w:semiHidden/>
    <w:unhideWhenUsed/>
    <w:rsid w:val="00A02DEE"/>
    <w:rPr>
      <w:rFonts w:ascii="Tahoma" w:hAnsi="Tahoma" w:cs="Tahoma"/>
      <w:sz w:val="16"/>
      <w:szCs w:val="16"/>
    </w:rPr>
  </w:style>
  <w:style w:type="character" w:customStyle="1" w:styleId="TextedebullesCar">
    <w:name w:val="Texte de bulles Car"/>
    <w:basedOn w:val="Policepardfaut"/>
    <w:link w:val="Textedebulles"/>
    <w:uiPriority w:val="99"/>
    <w:semiHidden/>
    <w:rsid w:val="00A02DEE"/>
    <w:rPr>
      <w:rFonts w:ascii="Tahoma" w:eastAsia="Times New Roman" w:hAnsi="Tahoma" w:cs="Tahoma"/>
      <w:sz w:val="16"/>
      <w:szCs w:val="16"/>
      <w:lang w:val="fr-CA" w:eastAsia="fr-FR"/>
    </w:rPr>
  </w:style>
  <w:style w:type="character" w:styleId="Marquedecommentaire">
    <w:name w:val="annotation reference"/>
    <w:basedOn w:val="Policepardfaut"/>
    <w:uiPriority w:val="99"/>
    <w:semiHidden/>
    <w:unhideWhenUsed/>
    <w:rsid w:val="00FB1199"/>
    <w:rPr>
      <w:sz w:val="16"/>
      <w:szCs w:val="16"/>
    </w:rPr>
  </w:style>
  <w:style w:type="paragraph" w:styleId="Commentaire">
    <w:name w:val="annotation text"/>
    <w:basedOn w:val="Normal"/>
    <w:link w:val="CommentaireCar"/>
    <w:uiPriority w:val="99"/>
    <w:semiHidden/>
    <w:unhideWhenUsed/>
    <w:rsid w:val="00FB1199"/>
    <w:rPr>
      <w:sz w:val="20"/>
      <w:szCs w:val="20"/>
    </w:rPr>
  </w:style>
  <w:style w:type="character" w:customStyle="1" w:styleId="CommentaireCar">
    <w:name w:val="Commentaire Car"/>
    <w:basedOn w:val="Policepardfaut"/>
    <w:link w:val="Commentaire"/>
    <w:uiPriority w:val="99"/>
    <w:semiHidden/>
    <w:rsid w:val="00FB1199"/>
    <w:rPr>
      <w:rFonts w:ascii="Times New Roman" w:eastAsia="Times New Roman" w:hAnsi="Times New Roman" w:cs="Times New Roman"/>
      <w:sz w:val="20"/>
      <w:szCs w:val="20"/>
      <w:lang w:val="fr-CA" w:eastAsia="fr-FR"/>
    </w:rPr>
  </w:style>
  <w:style w:type="paragraph" w:styleId="Objetducommentaire">
    <w:name w:val="annotation subject"/>
    <w:basedOn w:val="Commentaire"/>
    <w:next w:val="Commentaire"/>
    <w:link w:val="ObjetducommentaireCar"/>
    <w:uiPriority w:val="99"/>
    <w:semiHidden/>
    <w:unhideWhenUsed/>
    <w:rsid w:val="00FB1199"/>
    <w:rPr>
      <w:b/>
      <w:bCs/>
    </w:rPr>
  </w:style>
  <w:style w:type="character" w:customStyle="1" w:styleId="ObjetducommentaireCar">
    <w:name w:val="Objet du commentaire Car"/>
    <w:basedOn w:val="CommentaireCar"/>
    <w:link w:val="Objetducommentaire"/>
    <w:uiPriority w:val="99"/>
    <w:semiHidden/>
    <w:rsid w:val="00FB1199"/>
    <w:rPr>
      <w:rFonts w:ascii="Times New Roman" w:eastAsia="Times New Roman" w:hAnsi="Times New Roman" w:cs="Times New Roman"/>
      <w:b/>
      <w:bCs/>
      <w:sz w:val="20"/>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6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h/url?sa=i&amp;rct=j&amp;q=&amp;esrc=s&amp;source=images&amp;cd=&amp;cad=rja&amp;uact=8&amp;ved=0ahUKEwi8zcDlzvfLAhUBVhoKHR7lA5MQjRwIBw&amp;url=http://www.memoireonline.com/05/11/4539/m_Les-effets-de-la-degradation-des-ecosystemes-de-mangroves-dans-la-dynamique-migratoire-des-popula0.html&amp;psig=AFQjCNEW8IjZioG2yY4_H2OAxmQDFIDq3A&amp;ust=145994974552063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8FBE06-6616-480F-ADDC-AC8BDDC60DE5}">
  <ds:schemaRefs>
    <ds:schemaRef ds:uri="http://schemas.openxmlformats.org/officeDocument/2006/bibliography"/>
  </ds:schemaRefs>
</ds:datastoreItem>
</file>

<file path=customXml/itemProps2.xml><?xml version="1.0" encoding="utf-8"?>
<ds:datastoreItem xmlns:ds="http://schemas.openxmlformats.org/officeDocument/2006/customXml" ds:itemID="{C0ED6D6B-ED40-4983-9B31-69C952B62DEB}"/>
</file>

<file path=customXml/itemProps3.xml><?xml version="1.0" encoding="utf-8"?>
<ds:datastoreItem xmlns:ds="http://schemas.openxmlformats.org/officeDocument/2006/customXml" ds:itemID="{D22D86C2-C15F-4AA9-BD00-CB9E0A6D0581}"/>
</file>

<file path=customXml/itemProps4.xml><?xml version="1.0" encoding="utf-8"?>
<ds:datastoreItem xmlns:ds="http://schemas.openxmlformats.org/officeDocument/2006/customXml" ds:itemID="{E39432C8-CF51-4CD0-BDD9-EBD9DE1099E0}"/>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5859</Characters>
  <Application>Microsoft Office Word</Application>
  <DocSecurity>4</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Francophonie</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Kasandra FORTIN</dc:creator>
  <cp:lastModifiedBy>Clémence NIEDERCORN</cp:lastModifiedBy>
  <cp:revision>2</cp:revision>
  <cp:lastPrinted>2018-04-26T07:20:00Z</cp:lastPrinted>
  <dcterms:created xsi:type="dcterms:W3CDTF">2018-05-25T09:26:00Z</dcterms:created>
  <dcterms:modified xsi:type="dcterms:W3CDTF">2018-05-25T09:26:00Z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