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71298" w14:textId="77777777" w:rsidR="001C6E42" w:rsidRDefault="00122314" w:rsidP="0049582A">
      <w:pPr>
        <w:spacing w:after="0" w:line="240" w:lineRule="auto"/>
        <w:jc w:val="center"/>
        <w:rPr>
          <w:rFonts w:cstheme="minorHAnsi"/>
          <w:b/>
          <w:bCs/>
          <w:sz w:val="28"/>
        </w:rPr>
      </w:pPr>
      <w:r w:rsidRPr="00D5293A">
        <w:rPr>
          <w:rFonts w:cstheme="minorHAnsi"/>
          <w:b/>
          <w:bCs/>
          <w:sz w:val="28"/>
        </w:rPr>
        <w:t xml:space="preserve"> </w:t>
      </w:r>
      <w:r w:rsidR="0049582A" w:rsidRPr="0049582A">
        <w:rPr>
          <w:rFonts w:cstheme="minorHAnsi"/>
          <w:b/>
          <w:bCs/>
          <w:sz w:val="28"/>
        </w:rPr>
        <w:t>Access to Remedy in Cases of Business-Related Human Rights Abuse:</w:t>
      </w:r>
    </w:p>
    <w:p w14:paraId="5E6889A0" w14:textId="369ED708" w:rsidR="0049582A" w:rsidRDefault="0049582A" w:rsidP="0049582A">
      <w:pPr>
        <w:spacing w:after="0" w:line="240" w:lineRule="auto"/>
        <w:jc w:val="center"/>
        <w:rPr>
          <w:rFonts w:cstheme="minorHAnsi"/>
          <w:b/>
          <w:bCs/>
          <w:sz w:val="28"/>
        </w:rPr>
      </w:pPr>
      <w:r w:rsidRPr="0049582A">
        <w:rPr>
          <w:rFonts w:cstheme="minorHAnsi"/>
          <w:b/>
          <w:bCs/>
          <w:sz w:val="28"/>
        </w:rPr>
        <w:t>An Interpretive Guide</w:t>
      </w:r>
    </w:p>
    <w:p w14:paraId="4F4DFBED" w14:textId="62E63BE2" w:rsidR="0049582A" w:rsidRPr="0049582A" w:rsidRDefault="0049582A" w:rsidP="0049582A">
      <w:pPr>
        <w:spacing w:after="0" w:line="240" w:lineRule="auto"/>
        <w:jc w:val="center"/>
        <w:rPr>
          <w:rFonts w:cstheme="minorHAnsi"/>
          <w:bCs/>
          <w:i/>
          <w:sz w:val="24"/>
        </w:rPr>
      </w:pPr>
      <w:r w:rsidRPr="0049582A">
        <w:rPr>
          <w:rFonts w:cstheme="minorHAnsi"/>
          <w:bCs/>
          <w:i/>
          <w:sz w:val="24"/>
        </w:rPr>
        <w:t>Call for input</w:t>
      </w:r>
    </w:p>
    <w:p w14:paraId="2640D7B0" w14:textId="77777777" w:rsidR="0049582A" w:rsidRPr="00D5293A" w:rsidRDefault="0049582A" w:rsidP="0049582A">
      <w:pPr>
        <w:spacing w:after="0" w:line="240" w:lineRule="auto"/>
        <w:jc w:val="center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9582A" w:rsidRPr="00D5293A" w14:paraId="7D4A2202" w14:textId="77777777" w:rsidTr="00B915EB">
        <w:tc>
          <w:tcPr>
            <w:tcW w:w="9016" w:type="dxa"/>
            <w:shd w:val="clear" w:color="auto" w:fill="D9D9D9" w:themeFill="background1" w:themeFillShade="D9"/>
          </w:tcPr>
          <w:p w14:paraId="17795686" w14:textId="77777777" w:rsidR="0049582A" w:rsidRDefault="0049582A" w:rsidP="00B915E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551F2B4" w14:textId="7CB2931F" w:rsidR="0049582A" w:rsidRPr="0049582A" w:rsidRDefault="0049582A" w:rsidP="0049582A">
            <w:p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 xml:space="preserve">In furtherance of its work on access to remedy (A2R), OHCHR will be producing an interpretive guide on the third pillar of the </w:t>
            </w:r>
            <w:hyperlink r:id="rId8" w:history="1">
              <w:r w:rsidRPr="0049582A">
                <w:rPr>
                  <w:rStyle w:val="Hyperlink"/>
                  <w:rFonts w:cstheme="minorHAnsi"/>
                </w:rPr>
                <w:t>UN Guiding Principles on Business and Human Rights (UNGPs)</w:t>
              </w:r>
            </w:hyperlink>
            <w:r w:rsidRPr="0049582A">
              <w:rPr>
                <w:rFonts w:cstheme="minorHAnsi"/>
              </w:rPr>
              <w:t>. The guide will provide additional background explanation to the Guiding Principles on access to remedy to support a fuller understanding of their meaning and intent.</w:t>
            </w:r>
          </w:p>
          <w:p w14:paraId="33D8A255" w14:textId="77777777" w:rsidR="0049582A" w:rsidRPr="0049582A" w:rsidRDefault="0049582A" w:rsidP="0049582A">
            <w:pPr>
              <w:jc w:val="both"/>
              <w:rPr>
                <w:rFonts w:cstheme="minorHAnsi"/>
              </w:rPr>
            </w:pPr>
          </w:p>
          <w:p w14:paraId="18D86089" w14:textId="491F65CC" w:rsidR="0049582A" w:rsidRPr="0049582A" w:rsidRDefault="0049582A" w:rsidP="0049582A">
            <w:p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 xml:space="preserve">In 2012, </w:t>
            </w:r>
            <w:r w:rsidR="001C6E42">
              <w:rPr>
                <w:rFonts w:cstheme="minorHAnsi"/>
              </w:rPr>
              <w:t>OHCHR</w:t>
            </w:r>
            <w:r w:rsidRPr="0049582A">
              <w:rPr>
                <w:rFonts w:cstheme="minorHAnsi"/>
              </w:rPr>
              <w:t xml:space="preserve"> published a document unpacking the second pillar: </w:t>
            </w:r>
            <w:hyperlink r:id="rId9" w:history="1">
              <w:r w:rsidRPr="0049582A">
                <w:rPr>
                  <w:rStyle w:val="Hyperlink"/>
                  <w:rFonts w:cstheme="minorHAnsi"/>
                </w:rPr>
                <w:t>The Corporate Responsibility to Respect Human Rights: An Interpretive Guide</w:t>
              </w:r>
            </w:hyperlink>
            <w:r w:rsidRPr="0049582A">
              <w:rPr>
                <w:rFonts w:cstheme="minorHAnsi"/>
              </w:rPr>
              <w:t>. The A2R interpretive guide will follow a similar format as the 2012 guide: it will provide (1) definitions of key concepts relating to access to remedy, and (2) answers to a series of questions relating to each principle in the third pillar that will help unpack its meaning.</w:t>
            </w:r>
          </w:p>
          <w:p w14:paraId="3FFC3073" w14:textId="77777777" w:rsidR="0049582A" w:rsidRPr="0049582A" w:rsidRDefault="0049582A" w:rsidP="0049582A">
            <w:pPr>
              <w:jc w:val="both"/>
              <w:rPr>
                <w:rFonts w:cstheme="minorHAnsi"/>
              </w:rPr>
            </w:pPr>
          </w:p>
          <w:p w14:paraId="48DB8CF6" w14:textId="50009923" w:rsidR="0049582A" w:rsidRPr="0049582A" w:rsidRDefault="0049582A" w:rsidP="0049582A">
            <w:pPr>
              <w:jc w:val="both"/>
              <w:rPr>
                <w:rFonts w:cstheme="minorHAnsi"/>
              </w:rPr>
            </w:pPr>
            <w:r w:rsidRPr="009D6C83">
              <w:rPr>
                <w:rFonts w:cstheme="minorHAnsi"/>
                <w:b/>
              </w:rPr>
              <w:t>We would greatly appreciate your input on which questions to be addressing in the A2R interpretive guide</w:t>
            </w:r>
            <w:r w:rsidR="001C6E42">
              <w:rPr>
                <w:rFonts w:cstheme="minorHAnsi"/>
              </w:rPr>
              <w:t>.</w:t>
            </w:r>
            <w:r w:rsidRPr="0049582A">
              <w:rPr>
                <w:rFonts w:cstheme="minorHAnsi"/>
              </w:rPr>
              <w:t xml:space="preserve"> This form provides an opportunity to submit questions on each principle of the third pillar. Please feel free to submit a question about any aspect of UNGPs 25 - 31 that will help unpack what these principles mean and/or will clear up any misconceptions about these principles.</w:t>
            </w:r>
            <w:r w:rsidR="00C85210">
              <w:rPr>
                <w:rFonts w:cstheme="minorHAnsi"/>
              </w:rPr>
              <w:t xml:space="preserve"> </w:t>
            </w:r>
            <w:r w:rsidR="00C85210" w:rsidRPr="0049582A">
              <w:rPr>
                <w:rFonts w:cstheme="minorHAnsi"/>
              </w:rPr>
              <w:t>No question is too basic!</w:t>
            </w:r>
          </w:p>
          <w:p w14:paraId="29BB8366" w14:textId="77777777" w:rsidR="0049582A" w:rsidRPr="0049582A" w:rsidRDefault="0049582A" w:rsidP="0049582A">
            <w:pPr>
              <w:jc w:val="both"/>
              <w:rPr>
                <w:rFonts w:cstheme="minorHAnsi"/>
              </w:rPr>
            </w:pPr>
          </w:p>
          <w:p w14:paraId="19ACA537" w14:textId="5D4CF8B5" w:rsidR="0049582A" w:rsidRDefault="0049582A" w:rsidP="009D6C83">
            <w:pPr>
              <w:jc w:val="center"/>
              <w:rPr>
                <w:rFonts w:cstheme="minorHAnsi"/>
                <w:b/>
              </w:rPr>
            </w:pPr>
            <w:r w:rsidRPr="0049582A">
              <w:rPr>
                <w:rFonts w:cstheme="minorHAnsi"/>
                <w:b/>
              </w:rPr>
              <w:t>DEADLINE FOR SUBMISSION: Monday, 9 Aug</w:t>
            </w:r>
            <w:r w:rsidR="009D6C83">
              <w:rPr>
                <w:rFonts w:cstheme="minorHAnsi"/>
                <w:b/>
              </w:rPr>
              <w:t>ust 2021</w:t>
            </w:r>
          </w:p>
          <w:p w14:paraId="6CEE2EAA" w14:textId="7CA8BD1A" w:rsidR="004A54C2" w:rsidRPr="0049582A" w:rsidRDefault="004A54C2" w:rsidP="009D6C8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Email submissions to: </w:t>
            </w:r>
            <w:hyperlink r:id="rId10" w:history="1">
              <w:r w:rsidRPr="009A1ED4">
                <w:rPr>
                  <w:rStyle w:val="Hyperlink"/>
                  <w:rFonts w:cstheme="minorHAnsi"/>
                </w:rPr>
                <w:t>business-access2remedy@ohchr.org</w:t>
              </w:r>
            </w:hyperlink>
            <w:r>
              <w:rPr>
                <w:rFonts w:cstheme="minorHAnsi"/>
              </w:rPr>
              <w:t xml:space="preserve"> </w:t>
            </w:r>
          </w:p>
          <w:p w14:paraId="0F4AFB8F" w14:textId="77777777" w:rsidR="0049582A" w:rsidRPr="0049582A" w:rsidRDefault="0049582A" w:rsidP="0049582A">
            <w:pPr>
              <w:jc w:val="both"/>
              <w:rPr>
                <w:rFonts w:cstheme="minorHAnsi"/>
              </w:rPr>
            </w:pPr>
            <w:bookmarkStart w:id="0" w:name="_GoBack"/>
            <w:bookmarkEnd w:id="0"/>
          </w:p>
          <w:p w14:paraId="3A37D49B" w14:textId="07901156" w:rsidR="0049582A" w:rsidRDefault="0049582A" w:rsidP="0049582A">
            <w:p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 xml:space="preserve">For a sense of the types of questions addressed in our 2012 interpretive guide, a list of the questions from that guide </w:t>
            </w:r>
            <w:proofErr w:type="gramStart"/>
            <w:r w:rsidRPr="0049582A">
              <w:rPr>
                <w:rFonts w:cstheme="minorHAnsi"/>
              </w:rPr>
              <w:t>may be found</w:t>
            </w:r>
            <w:proofErr w:type="gramEnd"/>
            <w:r w:rsidRPr="0049582A">
              <w:rPr>
                <w:rFonts w:cstheme="minorHAnsi"/>
              </w:rPr>
              <w:t xml:space="preserve"> </w:t>
            </w:r>
            <w:hyperlink w:anchor="R2R" w:history="1">
              <w:r w:rsidRPr="00CF34EB">
                <w:rPr>
                  <w:rStyle w:val="Hyperlink"/>
                  <w:rFonts w:cstheme="minorHAnsi"/>
                </w:rPr>
                <w:t xml:space="preserve">at the bottom of this </w:t>
              </w:r>
              <w:r w:rsidR="00CF34EB" w:rsidRPr="00CF34EB">
                <w:rPr>
                  <w:rStyle w:val="Hyperlink"/>
                  <w:rFonts w:cstheme="minorHAnsi"/>
                </w:rPr>
                <w:t>document</w:t>
              </w:r>
            </w:hyperlink>
            <w:r w:rsidRPr="0049582A">
              <w:rPr>
                <w:rFonts w:cstheme="minorHAnsi"/>
              </w:rPr>
              <w:t>.</w:t>
            </w:r>
            <w:r w:rsidRPr="00D5293A">
              <w:rPr>
                <w:rFonts w:cstheme="minorHAnsi"/>
              </w:rPr>
              <w:t xml:space="preserve"> </w:t>
            </w:r>
          </w:p>
          <w:p w14:paraId="6C185A39" w14:textId="218303DC" w:rsidR="0049582A" w:rsidRPr="00D5293A" w:rsidRDefault="0049582A" w:rsidP="0049582A">
            <w:pPr>
              <w:jc w:val="both"/>
              <w:rPr>
                <w:rFonts w:cstheme="minorHAnsi"/>
              </w:rPr>
            </w:pPr>
          </w:p>
        </w:tc>
      </w:tr>
    </w:tbl>
    <w:p w14:paraId="200796BF" w14:textId="4AC48654" w:rsidR="0049582A" w:rsidRDefault="0049582A" w:rsidP="0049582A">
      <w:pPr>
        <w:spacing w:after="0" w:line="240" w:lineRule="auto"/>
        <w:rPr>
          <w:rFonts w:cstheme="minorHAnsi"/>
          <w:b/>
          <w:bCs/>
        </w:rPr>
      </w:pPr>
    </w:p>
    <w:p w14:paraId="70622EC3" w14:textId="20B90912" w:rsidR="004002DD" w:rsidRDefault="004002DD" w:rsidP="00C901CF">
      <w:pPr>
        <w:spacing w:after="0" w:line="240" w:lineRule="auto"/>
        <w:jc w:val="both"/>
        <w:rPr>
          <w:rFonts w:cstheme="minorHAnsi"/>
          <w:b/>
          <w:bCs/>
        </w:rPr>
      </w:pPr>
    </w:p>
    <w:p w14:paraId="759DC071" w14:textId="77777777" w:rsidR="004002DD" w:rsidRPr="00D5293A" w:rsidRDefault="004002DD" w:rsidP="00C901CF">
      <w:pPr>
        <w:spacing w:after="0" w:line="240" w:lineRule="auto"/>
        <w:jc w:val="both"/>
        <w:rPr>
          <w:rFonts w:cstheme="minorHAnsi"/>
          <w:b/>
          <w:bCs/>
        </w:rPr>
      </w:pPr>
    </w:p>
    <w:tbl>
      <w:tblPr>
        <w:tblStyle w:val="TableGrid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4002DD" w14:paraId="4AB649C0" w14:textId="77777777" w:rsidTr="0075277D">
        <w:tc>
          <w:tcPr>
            <w:tcW w:w="9016" w:type="dxa"/>
            <w:shd w:val="clear" w:color="auto" w:fill="D9E2F3" w:themeFill="accent1" w:themeFillTint="33"/>
          </w:tcPr>
          <w:p w14:paraId="53167A96" w14:textId="15A358A7" w:rsidR="004002DD" w:rsidRDefault="00C901CF" w:rsidP="00C901CF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UN</w:t>
            </w:r>
            <w:r w:rsidR="004002DD" w:rsidRPr="004002DD">
              <w:rPr>
                <w:rFonts w:cstheme="minorHAnsi"/>
                <w:b/>
                <w:bCs/>
              </w:rPr>
              <w:t>GP 25: As part of their duty to protect against business-related human rights abuse, States must take appropriate steps to ensure, through judicial, administrative, legislative or other appropriate means, that when such abuses occur within their territory and/or jurisdiction those affected have access to effective remedy.</w:t>
            </w:r>
          </w:p>
          <w:p w14:paraId="4521FC2B" w14:textId="77777777" w:rsidR="009D6C83" w:rsidRDefault="004002DD" w:rsidP="00C901CF">
            <w:pPr>
              <w:jc w:val="both"/>
              <w:rPr>
                <w:rFonts w:cstheme="minorHAnsi"/>
                <w:bCs/>
                <w:i/>
              </w:rPr>
            </w:pPr>
            <w:r w:rsidRPr="004002DD">
              <w:rPr>
                <w:rFonts w:cstheme="minorHAnsi"/>
                <w:bCs/>
                <w:i/>
              </w:rPr>
              <w:t>Please list questions about this principle that you would like to have answered in the interpretive guide. For instance, a question could be:</w:t>
            </w:r>
            <w:r w:rsidR="00CF34EB">
              <w:rPr>
                <w:rFonts w:cstheme="minorHAnsi"/>
                <w:bCs/>
                <w:i/>
              </w:rPr>
              <w:t xml:space="preserve"> </w:t>
            </w:r>
          </w:p>
          <w:p w14:paraId="644F211D" w14:textId="2BDFD603" w:rsidR="004002DD" w:rsidRPr="009D6C83" w:rsidRDefault="00981B83" w:rsidP="009D6C83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theme="minorHAnsi"/>
                <w:bCs/>
                <w:i/>
              </w:rPr>
            </w:pPr>
            <w:r w:rsidRPr="009D6C83">
              <w:rPr>
                <w:rFonts w:cstheme="minorHAnsi"/>
                <w:bCs/>
                <w:i/>
              </w:rPr>
              <w:t>What are States expected to do in order to ensure access to effective remedy?</w:t>
            </w:r>
          </w:p>
        </w:tc>
      </w:tr>
      <w:tr w:rsidR="004002DD" w14:paraId="594B38C3" w14:textId="77777777" w:rsidTr="0075277D">
        <w:tc>
          <w:tcPr>
            <w:tcW w:w="9016" w:type="dxa"/>
            <w:shd w:val="clear" w:color="auto" w:fill="D9E2F3" w:themeFill="accent1" w:themeFillTint="33"/>
          </w:tcPr>
          <w:p w14:paraId="4E381A06" w14:textId="3502E829" w:rsidR="00C901CF" w:rsidRPr="00C901CF" w:rsidRDefault="00C901CF" w:rsidP="00C901CF">
            <w:pPr>
              <w:jc w:val="both"/>
              <w:rPr>
                <w:rFonts w:cstheme="minorHAnsi"/>
                <w:bCs/>
              </w:rPr>
            </w:pPr>
          </w:p>
        </w:tc>
      </w:tr>
    </w:tbl>
    <w:p w14:paraId="404D2393" w14:textId="325E6690" w:rsidR="0049582A" w:rsidRDefault="0049582A" w:rsidP="00C901CF">
      <w:pPr>
        <w:spacing w:after="0" w:line="240" w:lineRule="auto"/>
        <w:jc w:val="both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02DD" w14:paraId="33DB16BD" w14:textId="77777777" w:rsidTr="00B915EB">
        <w:tc>
          <w:tcPr>
            <w:tcW w:w="9016" w:type="dxa"/>
          </w:tcPr>
          <w:p w14:paraId="5CB0611E" w14:textId="0164283F" w:rsidR="004002DD" w:rsidRDefault="00C901CF" w:rsidP="00C901CF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UN</w:t>
            </w:r>
            <w:r w:rsidR="004002DD" w:rsidRPr="004002DD">
              <w:rPr>
                <w:rFonts w:cstheme="minorHAnsi"/>
                <w:b/>
                <w:bCs/>
              </w:rPr>
              <w:t>GP 26 (Judicial mechanisms): States should take appropriate steps to ensure the effectiveness of domestic judicial mechanisms when addressing business-related human rights abuses, including considering ways to reduce legal, practical and other relevant barriers that could lead to a denial of access to remedy.</w:t>
            </w:r>
          </w:p>
          <w:p w14:paraId="0912D497" w14:textId="77777777" w:rsidR="009D6C83" w:rsidRDefault="004002DD" w:rsidP="00C901CF">
            <w:pPr>
              <w:jc w:val="both"/>
              <w:rPr>
                <w:rFonts w:cstheme="minorHAnsi"/>
                <w:bCs/>
                <w:i/>
              </w:rPr>
            </w:pPr>
            <w:r w:rsidRPr="004002DD">
              <w:rPr>
                <w:rFonts w:cstheme="minorHAnsi"/>
                <w:bCs/>
                <w:i/>
              </w:rPr>
              <w:t>Please list questions about this principle that you would like to have answered in the interpretive guide. For instance, a question could be:</w:t>
            </w:r>
            <w:r w:rsidR="00981B83">
              <w:rPr>
                <w:rFonts w:cstheme="minorHAnsi"/>
                <w:bCs/>
                <w:i/>
              </w:rPr>
              <w:t xml:space="preserve"> </w:t>
            </w:r>
          </w:p>
          <w:p w14:paraId="49AE03F8" w14:textId="1C47C9BB" w:rsidR="004002DD" w:rsidRPr="009D6C83" w:rsidRDefault="00981B83" w:rsidP="009D6C83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theme="minorHAnsi"/>
                <w:bCs/>
                <w:i/>
              </w:rPr>
            </w:pPr>
            <w:r w:rsidRPr="009D6C83">
              <w:rPr>
                <w:rFonts w:cstheme="minorHAnsi"/>
                <w:bCs/>
                <w:i/>
              </w:rPr>
              <w:t>What are the key barriers that lead to a denial of access to remedy?</w:t>
            </w:r>
          </w:p>
        </w:tc>
      </w:tr>
      <w:tr w:rsidR="004002DD" w14:paraId="73A8FBA5" w14:textId="77777777" w:rsidTr="00B915EB">
        <w:tc>
          <w:tcPr>
            <w:tcW w:w="9016" w:type="dxa"/>
          </w:tcPr>
          <w:p w14:paraId="77041BBC" w14:textId="77777777" w:rsidR="004002DD" w:rsidRDefault="004002DD" w:rsidP="00C901CF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45E4A6C8" w14:textId="4A6AEB25" w:rsidR="004002DD" w:rsidRDefault="004002DD" w:rsidP="00C901CF">
      <w:pPr>
        <w:spacing w:after="0" w:line="240" w:lineRule="auto"/>
        <w:jc w:val="both"/>
        <w:rPr>
          <w:rFonts w:cstheme="minorHAnsi"/>
          <w:b/>
          <w:bCs/>
        </w:rPr>
      </w:pPr>
    </w:p>
    <w:tbl>
      <w:tblPr>
        <w:tblStyle w:val="TableGrid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4002DD" w14:paraId="39F8AF7C" w14:textId="77777777" w:rsidTr="0075277D">
        <w:tc>
          <w:tcPr>
            <w:tcW w:w="9016" w:type="dxa"/>
            <w:shd w:val="clear" w:color="auto" w:fill="D9E2F3" w:themeFill="accent1" w:themeFillTint="33"/>
          </w:tcPr>
          <w:p w14:paraId="1B0E2ECF" w14:textId="489A63CF" w:rsidR="004002DD" w:rsidRDefault="00C901CF" w:rsidP="00C901CF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UN</w:t>
            </w:r>
            <w:r w:rsidR="004002DD" w:rsidRPr="004002DD">
              <w:rPr>
                <w:rFonts w:cstheme="minorHAnsi"/>
                <w:b/>
                <w:bCs/>
              </w:rPr>
              <w:t>GP 27 (State-based non-judicial mechanisms): States should provide effective and appropriate non-judicial grievance mechanisms, alongside judicial mechanisms, as part of a comprehensive State-based system for the remedy of business-related human rights abuse.</w:t>
            </w:r>
          </w:p>
          <w:p w14:paraId="63B582D5" w14:textId="77777777" w:rsidR="009D6C83" w:rsidRDefault="004002DD" w:rsidP="00C901CF">
            <w:pPr>
              <w:jc w:val="both"/>
              <w:rPr>
                <w:rFonts w:cstheme="minorHAnsi"/>
                <w:bCs/>
                <w:i/>
              </w:rPr>
            </w:pPr>
            <w:r w:rsidRPr="004002DD">
              <w:rPr>
                <w:rFonts w:cstheme="minorHAnsi"/>
                <w:bCs/>
                <w:i/>
              </w:rPr>
              <w:t>Please list questions about this principle that you would like to have answered in the interpretive guide. For instance, a question could be:</w:t>
            </w:r>
            <w:r w:rsidR="0075277D">
              <w:rPr>
                <w:rFonts w:cstheme="minorHAnsi"/>
                <w:bCs/>
                <w:i/>
              </w:rPr>
              <w:t xml:space="preserve"> </w:t>
            </w:r>
          </w:p>
          <w:p w14:paraId="6A362364" w14:textId="045C4AFD" w:rsidR="004002DD" w:rsidRPr="009D6C83" w:rsidRDefault="0075277D" w:rsidP="009D6C83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theme="minorHAnsi"/>
                <w:bCs/>
                <w:i/>
              </w:rPr>
            </w:pPr>
            <w:r w:rsidRPr="009D6C83">
              <w:rPr>
                <w:rFonts w:cstheme="minorHAnsi"/>
                <w:bCs/>
                <w:i/>
              </w:rPr>
              <w:t>What kinds of non-judicial grievance mechanisms are relevant?</w:t>
            </w:r>
          </w:p>
        </w:tc>
      </w:tr>
      <w:tr w:rsidR="004002DD" w14:paraId="4E42948F" w14:textId="77777777" w:rsidTr="0075277D">
        <w:tc>
          <w:tcPr>
            <w:tcW w:w="9016" w:type="dxa"/>
            <w:shd w:val="clear" w:color="auto" w:fill="D9E2F3" w:themeFill="accent1" w:themeFillTint="33"/>
          </w:tcPr>
          <w:p w14:paraId="14710111" w14:textId="77777777" w:rsidR="004002DD" w:rsidRDefault="004002DD" w:rsidP="00C901CF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02CBD6B8" w14:textId="42F72B7D" w:rsidR="004002DD" w:rsidRDefault="004002DD" w:rsidP="00C901CF">
      <w:pPr>
        <w:spacing w:after="0" w:line="240" w:lineRule="auto"/>
        <w:jc w:val="both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02DD" w14:paraId="51CD312E" w14:textId="77777777" w:rsidTr="00B915EB">
        <w:tc>
          <w:tcPr>
            <w:tcW w:w="9016" w:type="dxa"/>
          </w:tcPr>
          <w:p w14:paraId="2EAF1FBB" w14:textId="55E16594" w:rsidR="004002DD" w:rsidRDefault="00C901CF" w:rsidP="00C901CF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UN</w:t>
            </w:r>
            <w:r w:rsidR="004002DD" w:rsidRPr="004002DD">
              <w:rPr>
                <w:rFonts w:cstheme="minorHAnsi"/>
                <w:b/>
                <w:bCs/>
              </w:rPr>
              <w:t>GP 28 (Non-State-based mechanisms): States should consider ways to facilitate access to effective non-State-based grievance mechanisms dealing with business-related human rights harms.</w:t>
            </w:r>
          </w:p>
          <w:p w14:paraId="1DBB1328" w14:textId="77777777" w:rsidR="009D6C83" w:rsidRDefault="004002DD" w:rsidP="00C901CF">
            <w:pPr>
              <w:jc w:val="both"/>
              <w:rPr>
                <w:rFonts w:cstheme="minorHAnsi"/>
                <w:bCs/>
                <w:i/>
              </w:rPr>
            </w:pPr>
            <w:r w:rsidRPr="004002DD">
              <w:rPr>
                <w:rFonts w:cstheme="minorHAnsi"/>
                <w:bCs/>
                <w:i/>
              </w:rPr>
              <w:t>Please list questions about this principle that you would like to have answered in the interpretive guide. For instance, a question could be:</w:t>
            </w:r>
            <w:r w:rsidR="00704803">
              <w:rPr>
                <w:rFonts w:cstheme="minorHAnsi"/>
                <w:bCs/>
                <w:i/>
              </w:rPr>
              <w:t xml:space="preserve"> </w:t>
            </w:r>
          </w:p>
          <w:p w14:paraId="02FA2795" w14:textId="5B246171" w:rsidR="004002DD" w:rsidRPr="009D6C83" w:rsidRDefault="00704803" w:rsidP="009D6C83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theme="minorHAnsi"/>
                <w:bCs/>
                <w:i/>
              </w:rPr>
            </w:pPr>
            <w:r w:rsidRPr="009D6C83">
              <w:rPr>
                <w:rFonts w:cstheme="minorHAnsi"/>
                <w:bCs/>
                <w:i/>
              </w:rPr>
              <w:t>What is the role of States in relation to non-S</w:t>
            </w:r>
            <w:r w:rsidR="00353820" w:rsidRPr="009D6C83">
              <w:rPr>
                <w:rFonts w:cstheme="minorHAnsi"/>
                <w:bCs/>
                <w:i/>
              </w:rPr>
              <w:t>tate-based grievance mechanisms?</w:t>
            </w:r>
          </w:p>
        </w:tc>
      </w:tr>
      <w:tr w:rsidR="004002DD" w14:paraId="27B8F2A8" w14:textId="77777777" w:rsidTr="00B915EB">
        <w:tc>
          <w:tcPr>
            <w:tcW w:w="9016" w:type="dxa"/>
          </w:tcPr>
          <w:p w14:paraId="47E49871" w14:textId="77777777" w:rsidR="004002DD" w:rsidRDefault="004002DD" w:rsidP="00C901CF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1F4C2544" w14:textId="0C555DFD" w:rsidR="004002DD" w:rsidRDefault="004002DD" w:rsidP="00C901CF">
      <w:pPr>
        <w:spacing w:after="0" w:line="240" w:lineRule="auto"/>
        <w:jc w:val="both"/>
        <w:rPr>
          <w:rFonts w:cstheme="minorHAnsi"/>
          <w:b/>
          <w:bCs/>
        </w:rPr>
      </w:pPr>
    </w:p>
    <w:tbl>
      <w:tblPr>
        <w:tblStyle w:val="TableGrid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4002DD" w14:paraId="5BF2BD76" w14:textId="77777777" w:rsidTr="0075277D">
        <w:tc>
          <w:tcPr>
            <w:tcW w:w="9016" w:type="dxa"/>
            <w:shd w:val="clear" w:color="auto" w:fill="D9E2F3" w:themeFill="accent1" w:themeFillTint="33"/>
          </w:tcPr>
          <w:p w14:paraId="43D78E6E" w14:textId="2929B31A" w:rsidR="004002DD" w:rsidRDefault="00C901CF" w:rsidP="00C901CF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UN</w:t>
            </w:r>
            <w:r w:rsidR="004002DD" w:rsidRPr="004002DD">
              <w:rPr>
                <w:rFonts w:cstheme="minorHAnsi"/>
                <w:b/>
                <w:bCs/>
              </w:rPr>
              <w:t xml:space="preserve">GP 29: To make it possible for grievances to be </w:t>
            </w:r>
            <w:proofErr w:type="gramStart"/>
            <w:r w:rsidR="004002DD" w:rsidRPr="004002DD">
              <w:rPr>
                <w:rFonts w:cstheme="minorHAnsi"/>
                <w:b/>
                <w:bCs/>
              </w:rPr>
              <w:t>addressed</w:t>
            </w:r>
            <w:proofErr w:type="gramEnd"/>
            <w:r w:rsidR="004002DD" w:rsidRPr="004002DD">
              <w:rPr>
                <w:rFonts w:cstheme="minorHAnsi"/>
                <w:b/>
                <w:bCs/>
              </w:rPr>
              <w:t xml:space="preserve"> early and remediated directly, business enterprises should establish or participate in effective operational-level grievance mechanisms for individuals and communities who may be adversely impacted.</w:t>
            </w:r>
          </w:p>
          <w:p w14:paraId="492B2C83" w14:textId="77777777" w:rsidR="009D6C83" w:rsidRDefault="004002DD" w:rsidP="00C901CF">
            <w:pPr>
              <w:jc w:val="both"/>
              <w:rPr>
                <w:rFonts w:cstheme="minorHAnsi"/>
                <w:bCs/>
                <w:i/>
              </w:rPr>
            </w:pPr>
            <w:r w:rsidRPr="004002DD">
              <w:rPr>
                <w:rFonts w:cstheme="minorHAnsi"/>
                <w:bCs/>
                <w:i/>
              </w:rPr>
              <w:t>Please list questions about this principle that you would like to have answered in the interpretive guide. For instance, a question could be:</w:t>
            </w:r>
            <w:r w:rsidR="00704803">
              <w:rPr>
                <w:rFonts w:cstheme="minorHAnsi"/>
                <w:bCs/>
                <w:i/>
              </w:rPr>
              <w:t xml:space="preserve"> </w:t>
            </w:r>
          </w:p>
          <w:p w14:paraId="046619A7" w14:textId="149C3F0A" w:rsidR="004002DD" w:rsidRPr="009D6C83" w:rsidRDefault="00704803" w:rsidP="009D6C83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theme="minorHAnsi"/>
                <w:bCs/>
                <w:i/>
              </w:rPr>
            </w:pPr>
            <w:r w:rsidRPr="009D6C83">
              <w:rPr>
                <w:rFonts w:cstheme="minorHAnsi"/>
                <w:bCs/>
                <w:i/>
              </w:rPr>
              <w:t>Do whistle blower protection systems constitute operational-level grievance mechanisms?</w:t>
            </w:r>
          </w:p>
        </w:tc>
      </w:tr>
      <w:tr w:rsidR="004002DD" w14:paraId="6718E3BA" w14:textId="77777777" w:rsidTr="0075277D">
        <w:tc>
          <w:tcPr>
            <w:tcW w:w="9016" w:type="dxa"/>
            <w:shd w:val="clear" w:color="auto" w:fill="D9E2F3" w:themeFill="accent1" w:themeFillTint="33"/>
          </w:tcPr>
          <w:p w14:paraId="0A5B2EA3" w14:textId="77777777" w:rsidR="004002DD" w:rsidRDefault="004002DD" w:rsidP="00C901CF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420372AD" w14:textId="1DFBF997" w:rsidR="004002DD" w:rsidRDefault="004002DD" w:rsidP="00C901CF">
      <w:pPr>
        <w:spacing w:after="0" w:line="240" w:lineRule="auto"/>
        <w:jc w:val="both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02DD" w14:paraId="7BAE7E73" w14:textId="77777777" w:rsidTr="00B915EB">
        <w:tc>
          <w:tcPr>
            <w:tcW w:w="9016" w:type="dxa"/>
          </w:tcPr>
          <w:p w14:paraId="08002981" w14:textId="40910BA4" w:rsidR="004002DD" w:rsidRDefault="00C901CF" w:rsidP="00C901CF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UN</w:t>
            </w:r>
            <w:r w:rsidR="004002DD" w:rsidRPr="004002DD">
              <w:rPr>
                <w:rFonts w:cstheme="minorHAnsi"/>
                <w:b/>
                <w:bCs/>
              </w:rPr>
              <w:t xml:space="preserve">GP 30: Industry, multi-stakeholder and other collaborative initiatives that </w:t>
            </w:r>
            <w:proofErr w:type="gramStart"/>
            <w:r w:rsidR="004002DD" w:rsidRPr="004002DD">
              <w:rPr>
                <w:rFonts w:cstheme="minorHAnsi"/>
                <w:b/>
                <w:bCs/>
              </w:rPr>
              <w:t>are based</w:t>
            </w:r>
            <w:proofErr w:type="gramEnd"/>
            <w:r w:rsidR="004002DD" w:rsidRPr="004002DD">
              <w:rPr>
                <w:rFonts w:cstheme="minorHAnsi"/>
                <w:b/>
                <w:bCs/>
              </w:rPr>
              <w:t xml:space="preserve"> on respect for human rights-related standards should ensure that effective grievance mechanisms are available.</w:t>
            </w:r>
          </w:p>
          <w:p w14:paraId="078B967C" w14:textId="77777777" w:rsidR="009D6C83" w:rsidRDefault="004002DD" w:rsidP="00C901CF">
            <w:pPr>
              <w:jc w:val="both"/>
              <w:rPr>
                <w:rFonts w:cstheme="minorHAnsi"/>
                <w:bCs/>
                <w:i/>
              </w:rPr>
            </w:pPr>
            <w:r w:rsidRPr="004002DD">
              <w:rPr>
                <w:rFonts w:cstheme="minorHAnsi"/>
                <w:bCs/>
                <w:i/>
              </w:rPr>
              <w:t>Please list questions about this principle that you would like to have answered in the interpretive guide. For instance, a question could be:</w:t>
            </w:r>
            <w:r w:rsidR="00704803">
              <w:rPr>
                <w:rFonts w:cstheme="minorHAnsi"/>
                <w:bCs/>
                <w:i/>
              </w:rPr>
              <w:t xml:space="preserve"> </w:t>
            </w:r>
          </w:p>
          <w:p w14:paraId="63D4F456" w14:textId="6D26E0D1" w:rsidR="004002DD" w:rsidRPr="009D6C83" w:rsidRDefault="00704803" w:rsidP="009D6C83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theme="minorHAnsi"/>
                <w:bCs/>
                <w:i/>
              </w:rPr>
            </w:pPr>
            <w:r w:rsidRPr="009D6C83">
              <w:rPr>
                <w:rFonts w:cstheme="minorHAnsi"/>
                <w:bCs/>
                <w:i/>
              </w:rPr>
              <w:t>What are the different models of mechanisms of collaborative initiatives?</w:t>
            </w:r>
          </w:p>
        </w:tc>
      </w:tr>
      <w:tr w:rsidR="004002DD" w14:paraId="62E86CA6" w14:textId="77777777" w:rsidTr="00B915EB">
        <w:tc>
          <w:tcPr>
            <w:tcW w:w="9016" w:type="dxa"/>
          </w:tcPr>
          <w:p w14:paraId="7036019A" w14:textId="77777777" w:rsidR="004002DD" w:rsidRDefault="004002DD" w:rsidP="00C901CF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66A2E2F4" w14:textId="63B149E4" w:rsidR="004002DD" w:rsidRDefault="004002DD" w:rsidP="00C901CF">
      <w:pPr>
        <w:spacing w:after="0" w:line="240" w:lineRule="auto"/>
        <w:jc w:val="both"/>
        <w:rPr>
          <w:rFonts w:cstheme="minorHAnsi"/>
          <w:b/>
          <w:bCs/>
        </w:rPr>
      </w:pPr>
    </w:p>
    <w:tbl>
      <w:tblPr>
        <w:tblStyle w:val="TableGrid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4002DD" w14:paraId="121B1356" w14:textId="77777777" w:rsidTr="0075277D">
        <w:tc>
          <w:tcPr>
            <w:tcW w:w="9016" w:type="dxa"/>
            <w:shd w:val="clear" w:color="auto" w:fill="D9E2F3" w:themeFill="accent1" w:themeFillTint="33"/>
          </w:tcPr>
          <w:p w14:paraId="5A7A42BF" w14:textId="517CE480" w:rsidR="004002DD" w:rsidRDefault="00C901CF" w:rsidP="00C901CF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UN</w:t>
            </w:r>
            <w:r w:rsidR="004002DD" w:rsidRPr="004002DD">
              <w:rPr>
                <w:rFonts w:cstheme="minorHAnsi"/>
                <w:b/>
                <w:bCs/>
              </w:rPr>
              <w:t>GP 31 (Effectiveness criteria): In order to ensure their effectiveness, non-judicial grievance mechanisms, both State-based and non-State-based, should be</w:t>
            </w:r>
            <w:r w:rsidR="00353820">
              <w:rPr>
                <w:rFonts w:cstheme="minorHAnsi"/>
                <w:b/>
                <w:bCs/>
              </w:rPr>
              <w:t xml:space="preserve"> legitimate, accessible, predictable, equitable, transparent, rights-compatible, and a source of continuous learning. Operational-level mechanisms </w:t>
            </w:r>
            <w:proofErr w:type="gramStart"/>
            <w:r w:rsidR="00353820">
              <w:rPr>
                <w:rFonts w:cstheme="minorHAnsi"/>
                <w:b/>
                <w:bCs/>
              </w:rPr>
              <w:t>should also be based</w:t>
            </w:r>
            <w:proofErr w:type="gramEnd"/>
            <w:r w:rsidR="00353820">
              <w:rPr>
                <w:rFonts w:cstheme="minorHAnsi"/>
                <w:b/>
                <w:bCs/>
              </w:rPr>
              <w:t xml:space="preserve"> on engagement and dialogue.</w:t>
            </w:r>
          </w:p>
          <w:p w14:paraId="0EF3BD7D" w14:textId="77777777" w:rsidR="009D6C83" w:rsidRDefault="004002DD" w:rsidP="00C901CF">
            <w:pPr>
              <w:jc w:val="both"/>
              <w:rPr>
                <w:rFonts w:cstheme="minorHAnsi"/>
                <w:bCs/>
                <w:i/>
              </w:rPr>
            </w:pPr>
            <w:r w:rsidRPr="004002DD">
              <w:rPr>
                <w:rFonts w:cstheme="minorHAnsi"/>
                <w:bCs/>
                <w:i/>
              </w:rPr>
              <w:t>Please list questions about the effectiveness criteria that you would like to have answered in the inte</w:t>
            </w:r>
            <w:r w:rsidR="00353820">
              <w:rPr>
                <w:rFonts w:cstheme="minorHAnsi"/>
                <w:bCs/>
                <w:i/>
              </w:rPr>
              <w:t xml:space="preserve">rpretive guide. For instance, </w:t>
            </w:r>
            <w:r w:rsidRPr="004002DD">
              <w:rPr>
                <w:rFonts w:cstheme="minorHAnsi"/>
                <w:bCs/>
                <w:i/>
              </w:rPr>
              <w:t>question</w:t>
            </w:r>
            <w:r w:rsidR="00353820">
              <w:rPr>
                <w:rFonts w:cstheme="minorHAnsi"/>
                <w:bCs/>
                <w:i/>
              </w:rPr>
              <w:t>s</w:t>
            </w:r>
            <w:r w:rsidRPr="004002DD">
              <w:rPr>
                <w:rFonts w:cstheme="minorHAnsi"/>
                <w:bCs/>
                <w:i/>
              </w:rPr>
              <w:t xml:space="preserve"> could be:</w:t>
            </w:r>
            <w:r w:rsidR="00CF34EB">
              <w:rPr>
                <w:rFonts w:cstheme="minorHAnsi"/>
                <w:bCs/>
                <w:i/>
              </w:rPr>
              <w:t xml:space="preserve"> </w:t>
            </w:r>
          </w:p>
          <w:p w14:paraId="2083991D" w14:textId="77777777" w:rsidR="009D6C83" w:rsidRDefault="00CF34EB" w:rsidP="009D6C83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theme="minorHAnsi"/>
                <w:bCs/>
                <w:i/>
              </w:rPr>
            </w:pPr>
            <w:r w:rsidRPr="009D6C83">
              <w:rPr>
                <w:rFonts w:cstheme="minorHAnsi"/>
                <w:bCs/>
                <w:i/>
              </w:rPr>
              <w:t xml:space="preserve">Does a mechanism need to meet each of these criteria to </w:t>
            </w:r>
            <w:proofErr w:type="gramStart"/>
            <w:r w:rsidRPr="009D6C83">
              <w:rPr>
                <w:rFonts w:cstheme="minorHAnsi"/>
                <w:bCs/>
                <w:i/>
              </w:rPr>
              <w:t>be considered</w:t>
            </w:r>
            <w:proofErr w:type="gramEnd"/>
            <w:r w:rsidRPr="009D6C83">
              <w:rPr>
                <w:rFonts w:cstheme="minorHAnsi"/>
                <w:bCs/>
                <w:i/>
              </w:rPr>
              <w:t xml:space="preserve"> effective?</w:t>
            </w:r>
            <w:r w:rsidR="00353820" w:rsidRPr="009D6C83">
              <w:rPr>
                <w:rFonts w:cstheme="minorHAnsi"/>
                <w:bCs/>
                <w:i/>
              </w:rPr>
              <w:t xml:space="preserve"> </w:t>
            </w:r>
          </w:p>
          <w:p w14:paraId="12D86157" w14:textId="35267C84" w:rsidR="004002DD" w:rsidRPr="009D6C83" w:rsidRDefault="00353820" w:rsidP="009D6C83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theme="minorHAnsi"/>
                <w:bCs/>
                <w:i/>
              </w:rPr>
            </w:pPr>
            <w:r w:rsidRPr="009D6C83">
              <w:rPr>
                <w:rFonts w:cstheme="minorHAnsi"/>
                <w:bCs/>
                <w:i/>
              </w:rPr>
              <w:t>What does a mechanism need to do in practice to be rights-compatible?</w:t>
            </w:r>
          </w:p>
        </w:tc>
      </w:tr>
      <w:tr w:rsidR="004002DD" w14:paraId="2100CD85" w14:textId="77777777" w:rsidTr="0075277D">
        <w:tc>
          <w:tcPr>
            <w:tcW w:w="9016" w:type="dxa"/>
            <w:shd w:val="clear" w:color="auto" w:fill="D9E2F3" w:themeFill="accent1" w:themeFillTint="33"/>
          </w:tcPr>
          <w:p w14:paraId="33C17DB8" w14:textId="77777777" w:rsidR="004002DD" w:rsidRDefault="004002DD" w:rsidP="00C901CF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13FC323B" w14:textId="7E45BC5A" w:rsidR="004002DD" w:rsidRDefault="004002DD" w:rsidP="00C901CF">
      <w:pPr>
        <w:spacing w:after="0" w:line="240" w:lineRule="auto"/>
        <w:jc w:val="both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02DD" w14:paraId="326CE11C" w14:textId="77777777" w:rsidTr="00B915EB">
        <w:tc>
          <w:tcPr>
            <w:tcW w:w="9016" w:type="dxa"/>
          </w:tcPr>
          <w:p w14:paraId="6BA202BD" w14:textId="649197C4" w:rsidR="004002DD" w:rsidRDefault="004002DD" w:rsidP="00C901CF">
            <w:pPr>
              <w:jc w:val="both"/>
              <w:rPr>
                <w:rFonts w:cstheme="minorHAnsi"/>
                <w:b/>
                <w:bCs/>
              </w:rPr>
            </w:pPr>
            <w:r w:rsidRPr="004002DD">
              <w:rPr>
                <w:rFonts w:cstheme="minorHAnsi"/>
                <w:b/>
                <w:bCs/>
              </w:rPr>
              <w:t>Any other comments or questions</w:t>
            </w:r>
          </w:p>
          <w:p w14:paraId="414FEE11" w14:textId="25CCE769" w:rsidR="004002DD" w:rsidRPr="004002DD" w:rsidRDefault="004002DD" w:rsidP="00C901CF">
            <w:pPr>
              <w:jc w:val="both"/>
              <w:rPr>
                <w:rFonts w:cstheme="minorHAnsi"/>
                <w:bCs/>
                <w:i/>
              </w:rPr>
            </w:pPr>
            <w:r w:rsidRPr="004002DD">
              <w:rPr>
                <w:rFonts w:cstheme="minorHAnsi"/>
                <w:bCs/>
                <w:i/>
              </w:rPr>
              <w:t>Please list any other comments / questions you may have.</w:t>
            </w:r>
          </w:p>
        </w:tc>
      </w:tr>
      <w:tr w:rsidR="004002DD" w14:paraId="516C6094" w14:textId="77777777" w:rsidTr="00B915EB">
        <w:tc>
          <w:tcPr>
            <w:tcW w:w="9016" w:type="dxa"/>
          </w:tcPr>
          <w:p w14:paraId="1604CE55" w14:textId="77777777" w:rsidR="004002DD" w:rsidRDefault="004002DD" w:rsidP="00C901CF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48176118" w14:textId="2F7FB8C2" w:rsidR="004002DD" w:rsidRDefault="004002DD" w:rsidP="00C901CF">
      <w:pPr>
        <w:spacing w:after="0" w:line="240" w:lineRule="auto"/>
        <w:jc w:val="both"/>
        <w:rPr>
          <w:rFonts w:cstheme="minorHAnsi"/>
          <w:b/>
          <w:bCs/>
        </w:rPr>
      </w:pPr>
    </w:p>
    <w:p w14:paraId="51DFA90A" w14:textId="073A8AA5" w:rsidR="00353820" w:rsidRDefault="00353820" w:rsidP="00C901CF">
      <w:pPr>
        <w:spacing w:after="0" w:line="240" w:lineRule="auto"/>
        <w:jc w:val="both"/>
        <w:rPr>
          <w:rFonts w:cstheme="minorHAnsi"/>
          <w:b/>
          <w:bCs/>
        </w:rPr>
      </w:pPr>
    </w:p>
    <w:p w14:paraId="6BE5806E" w14:textId="3ED4600F" w:rsidR="00353820" w:rsidRDefault="00353820" w:rsidP="00C901CF">
      <w:pPr>
        <w:spacing w:after="0" w:line="240" w:lineRule="auto"/>
        <w:jc w:val="both"/>
        <w:rPr>
          <w:rFonts w:cstheme="minorHAnsi"/>
          <w:b/>
          <w:bCs/>
        </w:rPr>
      </w:pPr>
    </w:p>
    <w:p w14:paraId="74760174" w14:textId="30052441" w:rsidR="00353820" w:rsidRDefault="00353820" w:rsidP="00C901CF">
      <w:pPr>
        <w:spacing w:after="0" w:line="240" w:lineRule="auto"/>
        <w:jc w:val="both"/>
        <w:rPr>
          <w:rFonts w:cstheme="minorHAnsi"/>
          <w:b/>
          <w:bCs/>
        </w:rPr>
      </w:pPr>
    </w:p>
    <w:p w14:paraId="504C9AD1" w14:textId="77777777" w:rsidR="00353820" w:rsidRDefault="00353820" w:rsidP="00C901CF">
      <w:pPr>
        <w:spacing w:after="0" w:line="240" w:lineRule="auto"/>
        <w:jc w:val="both"/>
        <w:rPr>
          <w:rFonts w:cstheme="minorHAnsi"/>
          <w:b/>
          <w:bCs/>
        </w:rPr>
      </w:pPr>
    </w:p>
    <w:tbl>
      <w:tblPr>
        <w:tblStyle w:val="TableGrid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4002DD" w14:paraId="55513852" w14:textId="77777777" w:rsidTr="0075277D">
        <w:tc>
          <w:tcPr>
            <w:tcW w:w="9016" w:type="dxa"/>
            <w:shd w:val="clear" w:color="auto" w:fill="D9E2F3" w:themeFill="accent1" w:themeFillTint="33"/>
          </w:tcPr>
          <w:p w14:paraId="7239DF35" w14:textId="730CC2D8" w:rsidR="004002DD" w:rsidRDefault="004002DD" w:rsidP="00C901CF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Contact information</w:t>
            </w:r>
            <w:r w:rsidRPr="004002DD">
              <w:rPr>
                <w:rFonts w:cstheme="minorHAnsi"/>
                <w:b/>
                <w:bCs/>
              </w:rPr>
              <w:t>.</w:t>
            </w:r>
          </w:p>
          <w:p w14:paraId="3134E566" w14:textId="6FD45E94" w:rsidR="004002DD" w:rsidRPr="004002DD" w:rsidRDefault="004002DD" w:rsidP="00C901CF">
            <w:pPr>
              <w:jc w:val="both"/>
              <w:rPr>
                <w:rFonts w:cstheme="minorHAnsi"/>
                <w:bCs/>
                <w:i/>
              </w:rPr>
            </w:pPr>
            <w:r w:rsidRPr="004002DD">
              <w:rPr>
                <w:rFonts w:cstheme="minorHAnsi"/>
                <w:bCs/>
                <w:i/>
              </w:rPr>
              <w:t xml:space="preserve">Providing contact information is </w:t>
            </w:r>
            <w:proofErr w:type="gramStart"/>
            <w:r w:rsidRPr="004002DD">
              <w:rPr>
                <w:rFonts w:cstheme="minorHAnsi"/>
                <w:bCs/>
                <w:i/>
              </w:rPr>
              <w:t>completely optional</w:t>
            </w:r>
            <w:proofErr w:type="gramEnd"/>
            <w:r w:rsidRPr="004002DD">
              <w:rPr>
                <w:rFonts w:cstheme="minorHAnsi"/>
                <w:bCs/>
                <w:i/>
              </w:rPr>
              <w:t>.</w:t>
            </w:r>
          </w:p>
        </w:tc>
      </w:tr>
      <w:tr w:rsidR="004002DD" w14:paraId="694244E9" w14:textId="77777777" w:rsidTr="0075277D">
        <w:tc>
          <w:tcPr>
            <w:tcW w:w="9016" w:type="dxa"/>
            <w:shd w:val="clear" w:color="auto" w:fill="D9E2F3" w:themeFill="accent1" w:themeFillTint="33"/>
          </w:tcPr>
          <w:p w14:paraId="7D0A3F80" w14:textId="77777777" w:rsidR="004002DD" w:rsidRPr="004002DD" w:rsidRDefault="004002DD" w:rsidP="00C901CF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</w:rPr>
            </w:pPr>
            <w:r w:rsidRPr="004002DD">
              <w:rPr>
                <w:rFonts w:cstheme="minorHAnsi"/>
                <w:b/>
                <w:bCs/>
              </w:rPr>
              <w:t>Name</w:t>
            </w:r>
            <w:r>
              <w:rPr>
                <w:rFonts w:cstheme="minorHAnsi"/>
                <w:bCs/>
              </w:rPr>
              <w:t>:</w:t>
            </w:r>
          </w:p>
          <w:p w14:paraId="77D955E3" w14:textId="2FAB2AD1" w:rsidR="004002DD" w:rsidRDefault="004002DD" w:rsidP="00C901CF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Email</w:t>
            </w:r>
            <w:r w:rsidRPr="004002DD">
              <w:rPr>
                <w:rFonts w:cstheme="minorHAnsi"/>
                <w:bCs/>
              </w:rPr>
              <w:t>:</w:t>
            </w:r>
          </w:p>
          <w:p w14:paraId="27EA7975" w14:textId="1571DE91" w:rsidR="004002DD" w:rsidRPr="004002DD" w:rsidRDefault="004002DD" w:rsidP="00C901CF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Organization / affiliation</w:t>
            </w:r>
            <w:r>
              <w:rPr>
                <w:rFonts w:cstheme="minorHAnsi"/>
                <w:bCs/>
              </w:rPr>
              <w:t>:</w:t>
            </w:r>
          </w:p>
        </w:tc>
      </w:tr>
    </w:tbl>
    <w:p w14:paraId="15B41D71" w14:textId="77777777" w:rsidR="004002DD" w:rsidRDefault="004002DD" w:rsidP="00C901CF">
      <w:pPr>
        <w:spacing w:after="0" w:line="240" w:lineRule="auto"/>
        <w:jc w:val="both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0873" w:rsidRPr="00D5293A" w14:paraId="767FAE19" w14:textId="77777777" w:rsidTr="00A15109">
        <w:tc>
          <w:tcPr>
            <w:tcW w:w="9016" w:type="dxa"/>
            <w:shd w:val="clear" w:color="auto" w:fill="D9D9D9" w:themeFill="background1" w:themeFillShade="D9"/>
          </w:tcPr>
          <w:p w14:paraId="7B8CABAC" w14:textId="608298CF" w:rsidR="00830873" w:rsidRPr="00D5293A" w:rsidRDefault="0049582A" w:rsidP="00C901CF">
            <w:pPr>
              <w:pStyle w:val="Heading1"/>
              <w:keepNext w:val="0"/>
              <w:keepLines w:val="0"/>
              <w:numPr>
                <w:ilvl w:val="0"/>
                <w:numId w:val="0"/>
              </w:numPr>
              <w:jc w:val="center"/>
              <w:outlineLvl w:val="0"/>
              <w:rPr>
                <w:rFonts w:asciiTheme="minorHAnsi" w:hAnsiTheme="minorHAnsi" w:cstheme="minorHAnsi"/>
              </w:rPr>
            </w:pPr>
            <w:bookmarkStart w:id="1" w:name="R2R"/>
            <w:r w:rsidRPr="0049582A">
              <w:rPr>
                <w:rFonts w:asciiTheme="minorHAnsi" w:hAnsiTheme="minorHAnsi" w:cstheme="minorHAnsi"/>
              </w:rPr>
              <w:t xml:space="preserve">Overview </w:t>
            </w:r>
            <w:bookmarkEnd w:id="1"/>
            <w:r w:rsidRPr="0049582A">
              <w:rPr>
                <w:rFonts w:asciiTheme="minorHAnsi" w:hAnsiTheme="minorHAnsi" w:cstheme="minorHAnsi"/>
              </w:rPr>
              <w:t>of questions from 2012 Interpretive Guide on the Corporate Responsibility to Respect Human Rights</w:t>
            </w:r>
          </w:p>
          <w:p w14:paraId="379589B1" w14:textId="123ED76E" w:rsidR="00830873" w:rsidRDefault="00830873" w:rsidP="00C901C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A2820DC" w14:textId="62FE273C" w:rsidR="0049582A" w:rsidRPr="0049582A" w:rsidRDefault="0049582A" w:rsidP="00C901CF">
            <w:p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 xml:space="preserve">This section provides a list of the questions addressed in our interpretive guide on the second pillar of the UNGPs. Please consult </w:t>
            </w:r>
            <w:hyperlink r:id="rId11" w:history="1">
              <w:r w:rsidRPr="0049582A">
                <w:rPr>
                  <w:rStyle w:val="Hyperlink"/>
                  <w:rFonts w:cstheme="minorHAnsi"/>
                </w:rPr>
                <w:t>the 2012 guide itself</w:t>
              </w:r>
            </w:hyperlink>
            <w:r w:rsidRPr="0049582A">
              <w:rPr>
                <w:rFonts w:cstheme="minorHAnsi"/>
              </w:rPr>
              <w:t xml:space="preserve"> for a full understanding of </w:t>
            </w:r>
            <w:r>
              <w:rPr>
                <w:rFonts w:cstheme="minorHAnsi"/>
              </w:rPr>
              <w:t>the approach</w:t>
            </w:r>
            <w:r w:rsidRPr="0049582A">
              <w:rPr>
                <w:rFonts w:cstheme="minorHAnsi"/>
              </w:rPr>
              <w:t xml:space="preserve">. </w:t>
            </w:r>
          </w:p>
          <w:p w14:paraId="0081676D" w14:textId="77777777" w:rsidR="0049582A" w:rsidRPr="0049582A" w:rsidRDefault="0049582A" w:rsidP="00C901CF">
            <w:pPr>
              <w:jc w:val="both"/>
              <w:rPr>
                <w:rFonts w:cstheme="minorHAnsi"/>
              </w:rPr>
            </w:pPr>
          </w:p>
          <w:p w14:paraId="7F69695B" w14:textId="58B493A4" w:rsidR="0049582A" w:rsidRPr="0049582A" w:rsidRDefault="0049582A" w:rsidP="00C901CF">
            <w:pPr>
              <w:jc w:val="both"/>
              <w:rPr>
                <w:rFonts w:cstheme="minorHAnsi"/>
                <w:b/>
              </w:rPr>
            </w:pPr>
            <w:r w:rsidRPr="0049582A">
              <w:rPr>
                <w:rFonts w:cstheme="minorHAnsi"/>
                <w:b/>
              </w:rPr>
              <w:t>UNGPs 11 and 12</w:t>
            </w:r>
            <w:r w:rsidR="00963D22">
              <w:rPr>
                <w:rFonts w:cstheme="minorHAnsi"/>
                <w:b/>
              </w:rPr>
              <w:t xml:space="preserve"> (</w:t>
            </w:r>
            <w:r w:rsidR="00846844">
              <w:rPr>
                <w:rFonts w:cstheme="minorHAnsi"/>
                <w:b/>
              </w:rPr>
              <w:t>Foundational principles</w:t>
            </w:r>
            <w:r w:rsidR="00963D22">
              <w:rPr>
                <w:rFonts w:cstheme="minorHAnsi"/>
                <w:b/>
              </w:rPr>
              <w:t>)</w:t>
            </w:r>
          </w:p>
          <w:p w14:paraId="09FBC113" w14:textId="1F31670F" w:rsidR="0049582A" w:rsidRPr="0049582A" w:rsidRDefault="0049582A" w:rsidP="00C901CF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What are human rights?</w:t>
            </w:r>
          </w:p>
          <w:p w14:paraId="1A2A9C0B" w14:textId="7B2C0F1F" w:rsidR="0049582A" w:rsidRPr="0049582A" w:rsidRDefault="0049582A" w:rsidP="00C901CF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How are human rights relevant to States?</w:t>
            </w:r>
          </w:p>
          <w:p w14:paraId="6FB116ED" w14:textId="09AF3F41" w:rsidR="0049582A" w:rsidRPr="0049582A" w:rsidRDefault="0049582A" w:rsidP="00C901CF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How are human rights relevant to businesses?</w:t>
            </w:r>
          </w:p>
          <w:p w14:paraId="77C9867E" w14:textId="64FC08E8" w:rsidR="0049582A" w:rsidRPr="0049582A" w:rsidRDefault="0049582A" w:rsidP="00C901CF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What additional human right standards may be relevant?</w:t>
            </w:r>
          </w:p>
          <w:p w14:paraId="09398E7B" w14:textId="33A328FE" w:rsidR="0049582A" w:rsidRPr="0049582A" w:rsidRDefault="0049582A" w:rsidP="00C901CF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How can all internationally recognized human rights be relevant to business?</w:t>
            </w:r>
          </w:p>
          <w:p w14:paraId="001BBE28" w14:textId="752E1A5B" w:rsidR="0049582A" w:rsidRPr="0049582A" w:rsidRDefault="0049582A" w:rsidP="00C901CF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What does “avoid infringing” human rights mean?</w:t>
            </w:r>
          </w:p>
          <w:p w14:paraId="435AC438" w14:textId="12AEC0E0" w:rsidR="0049582A" w:rsidRPr="0049582A" w:rsidRDefault="0049582A" w:rsidP="00C901CF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Is the responsibility to respect human rights optional for business enterprises?</w:t>
            </w:r>
          </w:p>
          <w:p w14:paraId="0C268153" w14:textId="0B44EA37" w:rsidR="0049582A" w:rsidRPr="0049582A" w:rsidRDefault="0049582A" w:rsidP="00C901CF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Do enterprises have any additional human rights responsibilities?</w:t>
            </w:r>
          </w:p>
          <w:p w14:paraId="3C3BFB02" w14:textId="77777777" w:rsidR="0049582A" w:rsidRPr="0049582A" w:rsidRDefault="0049582A" w:rsidP="00C901CF">
            <w:pPr>
              <w:jc w:val="both"/>
              <w:rPr>
                <w:rFonts w:cstheme="minorHAnsi"/>
              </w:rPr>
            </w:pPr>
          </w:p>
          <w:p w14:paraId="64195BDC" w14:textId="1F25BB16" w:rsidR="0049582A" w:rsidRPr="0049582A" w:rsidRDefault="0049582A" w:rsidP="00C901CF">
            <w:pPr>
              <w:jc w:val="both"/>
              <w:rPr>
                <w:rFonts w:cstheme="minorHAnsi"/>
                <w:b/>
              </w:rPr>
            </w:pPr>
            <w:r w:rsidRPr="0049582A">
              <w:rPr>
                <w:rFonts w:cstheme="minorHAnsi"/>
                <w:b/>
              </w:rPr>
              <w:t>UNGP 13</w:t>
            </w:r>
            <w:r w:rsidR="00963D22">
              <w:rPr>
                <w:rFonts w:cstheme="minorHAnsi"/>
                <w:b/>
              </w:rPr>
              <w:t xml:space="preserve"> </w:t>
            </w:r>
            <w:r w:rsidR="00963D22" w:rsidRPr="00963D22">
              <w:rPr>
                <w:rFonts w:cstheme="minorHAnsi"/>
                <w:b/>
              </w:rPr>
              <w:t>(</w:t>
            </w:r>
            <w:r w:rsidR="00846844">
              <w:rPr>
                <w:rFonts w:cstheme="minorHAnsi"/>
                <w:b/>
              </w:rPr>
              <w:t>Foundational principles</w:t>
            </w:r>
            <w:r w:rsidR="00963D22" w:rsidRPr="00C901CF">
              <w:rPr>
                <w:b/>
              </w:rPr>
              <w:t>)</w:t>
            </w:r>
          </w:p>
          <w:p w14:paraId="3BE5E27C" w14:textId="53A8D311" w:rsidR="0049582A" w:rsidRPr="0049582A" w:rsidRDefault="0049582A" w:rsidP="00C901CF">
            <w:pPr>
              <w:pStyle w:val="ListParagraph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How can enterprises be involved in adverse human rights impact?</w:t>
            </w:r>
          </w:p>
          <w:p w14:paraId="7D2E8789" w14:textId="3D602A93" w:rsidR="0049582A" w:rsidRPr="0049582A" w:rsidRDefault="0049582A" w:rsidP="00C901CF">
            <w:pPr>
              <w:pStyle w:val="ListParagraph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 xml:space="preserve">What </w:t>
            </w:r>
            <w:proofErr w:type="gramStart"/>
            <w:r w:rsidRPr="0049582A">
              <w:rPr>
                <w:rFonts w:cstheme="minorHAnsi"/>
              </w:rPr>
              <w:t>is meant</w:t>
            </w:r>
            <w:proofErr w:type="gramEnd"/>
            <w:r w:rsidRPr="0049582A">
              <w:rPr>
                <w:rFonts w:cstheme="minorHAnsi"/>
              </w:rPr>
              <w:t xml:space="preserve"> by “adverse human rights impact”?</w:t>
            </w:r>
          </w:p>
          <w:p w14:paraId="7D128076" w14:textId="1331C969" w:rsidR="0049582A" w:rsidRPr="0049582A" w:rsidRDefault="0049582A" w:rsidP="00C901CF">
            <w:pPr>
              <w:pStyle w:val="ListParagraph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What should enterprises do if they are at risk of involvement in adverse human rights impact?</w:t>
            </w:r>
          </w:p>
          <w:p w14:paraId="49D72C12" w14:textId="77777777" w:rsidR="0049582A" w:rsidRPr="0049582A" w:rsidRDefault="0049582A" w:rsidP="00C901CF">
            <w:pPr>
              <w:jc w:val="both"/>
              <w:rPr>
                <w:rFonts w:cstheme="minorHAnsi"/>
              </w:rPr>
            </w:pPr>
          </w:p>
          <w:p w14:paraId="5EC29C75" w14:textId="1A53C3E8" w:rsidR="0049582A" w:rsidRPr="0049582A" w:rsidRDefault="0049582A" w:rsidP="00C901CF">
            <w:pPr>
              <w:jc w:val="both"/>
              <w:rPr>
                <w:rFonts w:cstheme="minorHAnsi"/>
                <w:b/>
              </w:rPr>
            </w:pPr>
            <w:r w:rsidRPr="0049582A">
              <w:rPr>
                <w:rFonts w:cstheme="minorHAnsi"/>
                <w:b/>
              </w:rPr>
              <w:t>UNGP 14</w:t>
            </w:r>
            <w:r w:rsidR="00EC1592">
              <w:rPr>
                <w:rFonts w:cstheme="minorHAnsi"/>
                <w:b/>
              </w:rPr>
              <w:t xml:space="preserve"> (</w:t>
            </w:r>
            <w:r w:rsidR="00846844">
              <w:rPr>
                <w:rFonts w:cstheme="minorHAnsi"/>
                <w:b/>
              </w:rPr>
              <w:t>Foundational principles</w:t>
            </w:r>
            <w:r w:rsidR="00EC1592">
              <w:rPr>
                <w:rFonts w:cstheme="minorHAnsi"/>
                <w:b/>
              </w:rPr>
              <w:t>)</w:t>
            </w:r>
          </w:p>
          <w:p w14:paraId="6AF92040" w14:textId="344B364A" w:rsidR="0049582A" w:rsidRPr="0049582A" w:rsidRDefault="0049582A" w:rsidP="00C901C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What is the relevance of the “severity” of an enterprise’s human rights impact to other factors listed here?</w:t>
            </w:r>
          </w:p>
          <w:p w14:paraId="725718BB" w14:textId="5AAC1C16" w:rsidR="0049582A" w:rsidRPr="0049582A" w:rsidRDefault="0049582A" w:rsidP="00C901C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 xml:space="preserve">What </w:t>
            </w:r>
            <w:proofErr w:type="gramStart"/>
            <w:r w:rsidRPr="0049582A">
              <w:rPr>
                <w:rFonts w:cstheme="minorHAnsi"/>
              </w:rPr>
              <w:t>is meant</w:t>
            </w:r>
            <w:proofErr w:type="gramEnd"/>
            <w:r w:rsidRPr="0049582A">
              <w:rPr>
                <w:rFonts w:cstheme="minorHAnsi"/>
              </w:rPr>
              <w:t xml:space="preserve"> by a “severe” human rights impact?</w:t>
            </w:r>
          </w:p>
          <w:p w14:paraId="125CA3EA" w14:textId="66C93BB2" w:rsidR="0049582A" w:rsidRPr="0049582A" w:rsidRDefault="0049582A" w:rsidP="00C901C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How is the size of an enterprise relevant to its responsibility to respect human rights?</w:t>
            </w:r>
          </w:p>
          <w:p w14:paraId="070903BB" w14:textId="50BDCF88" w:rsidR="0049582A" w:rsidRPr="0049582A" w:rsidRDefault="0049582A" w:rsidP="00C901C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How is an enterprise’s sector and operational context relevant to its responsibility to respect human rights?</w:t>
            </w:r>
          </w:p>
          <w:p w14:paraId="7FE0C77D" w14:textId="54803D23" w:rsidR="0049582A" w:rsidRPr="0049582A" w:rsidRDefault="0049582A" w:rsidP="00C901C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How is an enterprise’s ownership relevant to its responsibility to respect human rights?</w:t>
            </w:r>
          </w:p>
          <w:p w14:paraId="6D520D34" w14:textId="0BF69077" w:rsidR="0049582A" w:rsidRPr="0049582A" w:rsidRDefault="0049582A" w:rsidP="00C901C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How is an enterprise’s structure relevant to its responsibility to respect human rights?</w:t>
            </w:r>
          </w:p>
          <w:p w14:paraId="7FD17B66" w14:textId="77777777" w:rsidR="0049582A" w:rsidRPr="0049582A" w:rsidRDefault="0049582A" w:rsidP="00C901CF">
            <w:pPr>
              <w:jc w:val="both"/>
              <w:rPr>
                <w:rFonts w:cstheme="minorHAnsi"/>
              </w:rPr>
            </w:pPr>
          </w:p>
          <w:p w14:paraId="2277ED78" w14:textId="1453A64C" w:rsidR="0049582A" w:rsidRPr="0049582A" w:rsidRDefault="0049582A" w:rsidP="00C901CF">
            <w:pPr>
              <w:jc w:val="both"/>
              <w:rPr>
                <w:rFonts w:cstheme="minorHAnsi"/>
                <w:b/>
              </w:rPr>
            </w:pPr>
            <w:r w:rsidRPr="0049582A">
              <w:rPr>
                <w:rFonts w:cstheme="minorHAnsi"/>
                <w:b/>
              </w:rPr>
              <w:t>UNGP 15</w:t>
            </w:r>
            <w:r w:rsidR="00EC1592">
              <w:rPr>
                <w:rFonts w:cstheme="minorHAnsi"/>
                <w:b/>
              </w:rPr>
              <w:t xml:space="preserve"> (</w:t>
            </w:r>
            <w:r w:rsidR="00846844">
              <w:rPr>
                <w:rFonts w:cstheme="minorHAnsi"/>
                <w:b/>
              </w:rPr>
              <w:t>Foundational principles</w:t>
            </w:r>
            <w:r w:rsidR="00EC1592">
              <w:rPr>
                <w:rFonts w:cstheme="minorHAnsi"/>
                <w:b/>
              </w:rPr>
              <w:t>)</w:t>
            </w:r>
          </w:p>
          <w:p w14:paraId="6DDDE058" w14:textId="77942D58" w:rsidR="0049582A" w:rsidRPr="0049582A" w:rsidRDefault="0049582A" w:rsidP="00C901CF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Why are policies and processes required if this is just a question of avoiding harm?</w:t>
            </w:r>
          </w:p>
          <w:p w14:paraId="73F4824E" w14:textId="1158725B" w:rsidR="0049582A" w:rsidRPr="0049582A" w:rsidRDefault="0049582A" w:rsidP="00C901CF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What makes policies and processes “appropriate to size and circumstances”?</w:t>
            </w:r>
          </w:p>
          <w:p w14:paraId="0637F1BC" w14:textId="28BBC199" w:rsidR="0049582A" w:rsidRPr="0049582A" w:rsidRDefault="0049582A" w:rsidP="00C901CF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 xml:space="preserve">How fast </w:t>
            </w:r>
            <w:proofErr w:type="gramStart"/>
            <w:r w:rsidRPr="0049582A">
              <w:rPr>
                <w:rFonts w:cstheme="minorHAnsi"/>
              </w:rPr>
              <w:t>can an enterprise be expected</w:t>
            </w:r>
            <w:proofErr w:type="gramEnd"/>
            <w:r w:rsidRPr="0049582A">
              <w:rPr>
                <w:rFonts w:cstheme="minorHAnsi"/>
              </w:rPr>
              <w:t xml:space="preserve"> to achieve all this?</w:t>
            </w:r>
          </w:p>
          <w:p w14:paraId="2B417577" w14:textId="77777777" w:rsidR="0049582A" w:rsidRPr="0049582A" w:rsidRDefault="0049582A" w:rsidP="00C901CF">
            <w:pPr>
              <w:jc w:val="both"/>
              <w:rPr>
                <w:rFonts w:cstheme="minorHAnsi"/>
              </w:rPr>
            </w:pPr>
          </w:p>
          <w:p w14:paraId="09442A9A" w14:textId="3C3FE844" w:rsidR="0049582A" w:rsidRPr="0049582A" w:rsidRDefault="0049582A" w:rsidP="00C901CF">
            <w:pPr>
              <w:jc w:val="both"/>
              <w:rPr>
                <w:rFonts w:cstheme="minorHAnsi"/>
                <w:b/>
              </w:rPr>
            </w:pPr>
            <w:r w:rsidRPr="0049582A">
              <w:rPr>
                <w:rFonts w:cstheme="minorHAnsi"/>
                <w:b/>
              </w:rPr>
              <w:t>UNGP 16</w:t>
            </w:r>
            <w:r w:rsidR="00EC1592">
              <w:rPr>
                <w:rFonts w:cstheme="minorHAnsi"/>
                <w:b/>
              </w:rPr>
              <w:t xml:space="preserve"> (Policy commitment)</w:t>
            </w:r>
          </w:p>
          <w:p w14:paraId="17231DA8" w14:textId="3D2894D4" w:rsidR="0049582A" w:rsidRPr="0049582A" w:rsidRDefault="0049582A" w:rsidP="00C901CF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Why does this matter?</w:t>
            </w:r>
          </w:p>
          <w:p w14:paraId="393562FD" w14:textId="16C9704D" w:rsidR="0049582A" w:rsidRPr="0049582A" w:rsidRDefault="0049582A" w:rsidP="00C901CF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How detailed should a policy commitment be?</w:t>
            </w:r>
          </w:p>
          <w:p w14:paraId="50235D26" w14:textId="5AEB9F3F" w:rsidR="0049582A" w:rsidRPr="0049582A" w:rsidRDefault="0049582A" w:rsidP="00C901CF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Which human rights issues are most salient to your business?</w:t>
            </w:r>
          </w:p>
          <w:p w14:paraId="77B96174" w14:textId="6D0B84DF" w:rsidR="0049582A" w:rsidRPr="0049582A" w:rsidRDefault="0049582A" w:rsidP="00C901CF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What relevant expertise can an enterprise draw upon?</w:t>
            </w:r>
          </w:p>
          <w:p w14:paraId="1DDC9980" w14:textId="222856D7" w:rsidR="0049582A" w:rsidRPr="0049582A" w:rsidRDefault="0049582A" w:rsidP="00C901CF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How does the public policy commitment relate to internal policies and procedures?</w:t>
            </w:r>
          </w:p>
          <w:p w14:paraId="2AE83D5E" w14:textId="70C81EAA" w:rsidR="0049582A" w:rsidRPr="0049582A" w:rsidRDefault="0049582A" w:rsidP="00C901CF">
            <w:pPr>
              <w:jc w:val="both"/>
              <w:rPr>
                <w:rFonts w:cstheme="minorHAnsi"/>
                <w:b/>
              </w:rPr>
            </w:pPr>
            <w:r w:rsidRPr="0049582A">
              <w:rPr>
                <w:rFonts w:cstheme="minorHAnsi"/>
                <w:b/>
              </w:rPr>
              <w:lastRenderedPageBreak/>
              <w:t>UNGP 17</w:t>
            </w:r>
            <w:r w:rsidR="00EC1592">
              <w:rPr>
                <w:rFonts w:cstheme="minorHAnsi"/>
                <w:b/>
              </w:rPr>
              <w:t xml:space="preserve"> (Human rights due diligence)</w:t>
            </w:r>
          </w:p>
          <w:p w14:paraId="2A871265" w14:textId="24B2E08E" w:rsidR="0049582A" w:rsidRPr="0049582A" w:rsidRDefault="0049582A" w:rsidP="00C901C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Why does this matter?</w:t>
            </w:r>
          </w:p>
          <w:p w14:paraId="1AD97EF7" w14:textId="19BA49C7" w:rsidR="0049582A" w:rsidRPr="0049582A" w:rsidRDefault="0049582A" w:rsidP="00C901C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What should the scope of human rights due diligence be?</w:t>
            </w:r>
          </w:p>
          <w:p w14:paraId="24E88E24" w14:textId="46DE99B6" w:rsidR="0049582A" w:rsidRPr="0049582A" w:rsidRDefault="0049582A" w:rsidP="00C901C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How can size and other characteristics affect an enterprise’s human rights due diligence process?</w:t>
            </w:r>
          </w:p>
          <w:p w14:paraId="08A1CEB4" w14:textId="1673F6E1" w:rsidR="0049582A" w:rsidRPr="0049582A" w:rsidRDefault="0049582A" w:rsidP="00C901C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Why should human rights due diligence be “ongoing”?</w:t>
            </w:r>
          </w:p>
          <w:p w14:paraId="428377C7" w14:textId="77708E6E" w:rsidR="0049582A" w:rsidRPr="0049582A" w:rsidRDefault="0049582A" w:rsidP="00C901C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What is the role of stakeholder engagement?</w:t>
            </w:r>
          </w:p>
          <w:p w14:paraId="4896E376" w14:textId="65B7C667" w:rsidR="0049582A" w:rsidRPr="0049582A" w:rsidRDefault="0049582A" w:rsidP="00C901C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What capacity does an enterprise need to conduct human right due diligence?</w:t>
            </w:r>
          </w:p>
          <w:p w14:paraId="5FA0FB5C" w14:textId="1536D008" w:rsidR="0049582A" w:rsidRPr="0049582A" w:rsidRDefault="0049582A" w:rsidP="00C901C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 xml:space="preserve">How does human rights due diligence relate to </w:t>
            </w:r>
            <w:proofErr w:type="gramStart"/>
            <w:r w:rsidRPr="0049582A">
              <w:rPr>
                <w:rFonts w:cstheme="minorHAnsi"/>
              </w:rPr>
              <w:t>remediation?</w:t>
            </w:r>
            <w:proofErr w:type="gramEnd"/>
          </w:p>
          <w:p w14:paraId="3DD7DBED" w14:textId="6A9231C3" w:rsidR="0049582A" w:rsidRPr="0049582A" w:rsidRDefault="0049582A" w:rsidP="00C901C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 xml:space="preserve">Can </w:t>
            </w:r>
            <w:proofErr w:type="gramStart"/>
            <w:r w:rsidRPr="0049582A">
              <w:rPr>
                <w:rFonts w:cstheme="minorHAnsi"/>
              </w:rPr>
              <w:t>human rights due diligence or parts of it be carried out by external experts</w:t>
            </w:r>
            <w:proofErr w:type="gramEnd"/>
            <w:r w:rsidRPr="0049582A">
              <w:rPr>
                <w:rFonts w:cstheme="minorHAnsi"/>
              </w:rPr>
              <w:t>?</w:t>
            </w:r>
          </w:p>
          <w:p w14:paraId="1D1CF555" w14:textId="77777777" w:rsidR="0049582A" w:rsidRPr="0049582A" w:rsidRDefault="0049582A" w:rsidP="00C901CF">
            <w:pPr>
              <w:jc w:val="both"/>
              <w:rPr>
                <w:rFonts w:cstheme="minorHAnsi"/>
              </w:rPr>
            </w:pPr>
          </w:p>
          <w:p w14:paraId="7AFC765F" w14:textId="71303A20" w:rsidR="0049582A" w:rsidRPr="0049582A" w:rsidRDefault="0049582A" w:rsidP="00C901CF">
            <w:pPr>
              <w:jc w:val="both"/>
              <w:rPr>
                <w:rFonts w:cstheme="minorHAnsi"/>
                <w:b/>
              </w:rPr>
            </w:pPr>
            <w:r w:rsidRPr="0049582A">
              <w:rPr>
                <w:rFonts w:cstheme="minorHAnsi"/>
                <w:b/>
              </w:rPr>
              <w:t>UNGP 18</w:t>
            </w:r>
            <w:r w:rsidR="00EC1592">
              <w:rPr>
                <w:rFonts w:cstheme="minorHAnsi"/>
                <w:b/>
              </w:rPr>
              <w:t xml:space="preserve"> (</w:t>
            </w:r>
            <w:r w:rsidR="00846844">
              <w:rPr>
                <w:rFonts w:cstheme="minorHAnsi"/>
                <w:b/>
              </w:rPr>
              <w:t>HRDD: Identify and assess</w:t>
            </w:r>
            <w:r w:rsidR="00EC1592">
              <w:rPr>
                <w:rFonts w:cstheme="minorHAnsi"/>
                <w:b/>
              </w:rPr>
              <w:t>)</w:t>
            </w:r>
          </w:p>
          <w:p w14:paraId="42561911" w14:textId="08FD5E44" w:rsidR="0049582A" w:rsidRPr="0049582A" w:rsidRDefault="0049582A" w:rsidP="00C901C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Why does this matter?</w:t>
            </w:r>
          </w:p>
          <w:p w14:paraId="7C0C7312" w14:textId="0598D281" w:rsidR="0049582A" w:rsidRPr="0049582A" w:rsidRDefault="0049582A" w:rsidP="00C901C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 xml:space="preserve">What </w:t>
            </w:r>
            <w:proofErr w:type="gramStart"/>
            <w:r w:rsidRPr="0049582A">
              <w:rPr>
                <w:rFonts w:cstheme="minorHAnsi"/>
              </w:rPr>
              <w:t>is meant</w:t>
            </w:r>
            <w:proofErr w:type="gramEnd"/>
            <w:r w:rsidRPr="0049582A">
              <w:rPr>
                <w:rFonts w:cstheme="minorHAnsi"/>
              </w:rPr>
              <w:t xml:space="preserve"> by “human rights risks” and whose human rights are relevant?</w:t>
            </w:r>
          </w:p>
          <w:p w14:paraId="04A767D6" w14:textId="6284C57B" w:rsidR="0049582A" w:rsidRPr="0049582A" w:rsidRDefault="0049582A" w:rsidP="00C901C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 xml:space="preserve">When </w:t>
            </w:r>
            <w:proofErr w:type="gramStart"/>
            <w:r w:rsidRPr="0049582A">
              <w:rPr>
                <w:rFonts w:cstheme="minorHAnsi"/>
              </w:rPr>
              <w:t>should impact be assessed</w:t>
            </w:r>
            <w:proofErr w:type="gramEnd"/>
            <w:r w:rsidRPr="0049582A">
              <w:rPr>
                <w:rFonts w:cstheme="minorHAnsi"/>
              </w:rPr>
              <w:t>?</w:t>
            </w:r>
          </w:p>
          <w:p w14:paraId="25473E9B" w14:textId="6110AD4B" w:rsidR="0049582A" w:rsidRPr="0049582A" w:rsidRDefault="0049582A" w:rsidP="00C901C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 xml:space="preserve">How </w:t>
            </w:r>
            <w:proofErr w:type="gramStart"/>
            <w:r w:rsidRPr="0049582A">
              <w:rPr>
                <w:rFonts w:cstheme="minorHAnsi"/>
              </w:rPr>
              <w:t>should human rights impact be assessed</w:t>
            </w:r>
            <w:proofErr w:type="gramEnd"/>
            <w:r w:rsidRPr="0049582A">
              <w:rPr>
                <w:rFonts w:cstheme="minorHAnsi"/>
              </w:rPr>
              <w:t>?</w:t>
            </w:r>
          </w:p>
          <w:p w14:paraId="39398D30" w14:textId="381D08E6" w:rsidR="0049582A" w:rsidRPr="0049582A" w:rsidRDefault="0049582A" w:rsidP="00C901C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How far afield should an enterprise look when assessing human rights impact?</w:t>
            </w:r>
          </w:p>
          <w:p w14:paraId="6FEA2BD9" w14:textId="0293E877" w:rsidR="0049582A" w:rsidRPr="0049582A" w:rsidRDefault="0049582A" w:rsidP="00C901C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What does it mean to assess the impact that occurs through an enterprise’s own activities?</w:t>
            </w:r>
          </w:p>
          <w:p w14:paraId="05A113A1" w14:textId="22E8ECAA" w:rsidR="0049582A" w:rsidRPr="0049582A" w:rsidRDefault="0049582A" w:rsidP="00C901C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 xml:space="preserve">What does it mean to assess the impact in which an enterprise is involved </w:t>
            </w:r>
            <w:proofErr w:type="gramStart"/>
            <w:r w:rsidRPr="0049582A">
              <w:rPr>
                <w:rFonts w:cstheme="minorHAnsi"/>
              </w:rPr>
              <w:t>as a result</w:t>
            </w:r>
            <w:proofErr w:type="gramEnd"/>
            <w:r w:rsidRPr="0049582A">
              <w:rPr>
                <w:rFonts w:cstheme="minorHAnsi"/>
              </w:rPr>
              <w:t xml:space="preserve"> of business relationships?</w:t>
            </w:r>
          </w:p>
          <w:p w14:paraId="0F7ABB44" w14:textId="3B3E369B" w:rsidR="0049582A" w:rsidRPr="0049582A" w:rsidRDefault="0049582A" w:rsidP="00C901C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What is the role of internal and external expertise in the assessment of human rights impact?</w:t>
            </w:r>
          </w:p>
          <w:p w14:paraId="726EE6E2" w14:textId="59AAB865" w:rsidR="0049582A" w:rsidRPr="0049582A" w:rsidRDefault="0049582A" w:rsidP="00C901C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What is the role of consultation with directly affected groups and other relevant stakeholders in the assessment of human rights impact?</w:t>
            </w:r>
          </w:p>
          <w:p w14:paraId="239C5B5F" w14:textId="77777777" w:rsidR="0049582A" w:rsidRPr="0049582A" w:rsidRDefault="0049582A" w:rsidP="00C901CF">
            <w:pPr>
              <w:jc w:val="both"/>
              <w:rPr>
                <w:rFonts w:cstheme="minorHAnsi"/>
              </w:rPr>
            </w:pPr>
          </w:p>
          <w:p w14:paraId="406A1B50" w14:textId="7718DA44" w:rsidR="0049582A" w:rsidRPr="0049582A" w:rsidRDefault="0049582A" w:rsidP="00C901CF">
            <w:pPr>
              <w:jc w:val="both"/>
              <w:rPr>
                <w:rFonts w:cstheme="minorHAnsi"/>
                <w:b/>
              </w:rPr>
            </w:pPr>
            <w:r w:rsidRPr="0049582A">
              <w:rPr>
                <w:rFonts w:cstheme="minorHAnsi"/>
                <w:b/>
              </w:rPr>
              <w:t>UNGP 19</w:t>
            </w:r>
            <w:r w:rsidR="00EC1592">
              <w:rPr>
                <w:rFonts w:cstheme="minorHAnsi"/>
                <w:b/>
              </w:rPr>
              <w:t xml:space="preserve"> (</w:t>
            </w:r>
            <w:r w:rsidR="00846844">
              <w:rPr>
                <w:rFonts w:cstheme="minorHAnsi"/>
                <w:b/>
              </w:rPr>
              <w:t>HRDD: Integrate and act</w:t>
            </w:r>
            <w:r w:rsidR="00EC1592">
              <w:rPr>
                <w:rFonts w:cstheme="minorHAnsi"/>
                <w:b/>
              </w:rPr>
              <w:t>)</w:t>
            </w:r>
          </w:p>
          <w:p w14:paraId="41A690B2" w14:textId="601CAB0A" w:rsidR="0049582A" w:rsidRPr="0049582A" w:rsidRDefault="0049582A" w:rsidP="00C901CF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Why does this matter?</w:t>
            </w:r>
          </w:p>
          <w:p w14:paraId="2E09E531" w14:textId="0D7C37D5" w:rsidR="0049582A" w:rsidRPr="0049582A" w:rsidRDefault="0049582A" w:rsidP="00C901CF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What processes will be most appropriate for enabling integration?</w:t>
            </w:r>
          </w:p>
          <w:p w14:paraId="4CAA4B30" w14:textId="52836405" w:rsidR="0049582A" w:rsidRPr="0049582A" w:rsidRDefault="0049582A" w:rsidP="00C901CF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How does integration relate to business relationships?</w:t>
            </w:r>
          </w:p>
          <w:p w14:paraId="3C1347BB" w14:textId="58CBED97" w:rsidR="0049582A" w:rsidRPr="0049582A" w:rsidRDefault="0049582A" w:rsidP="00C901CF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 xml:space="preserve">What kinds of action need to </w:t>
            </w:r>
            <w:proofErr w:type="gramStart"/>
            <w:r w:rsidRPr="0049582A">
              <w:rPr>
                <w:rFonts w:cstheme="minorHAnsi"/>
              </w:rPr>
              <w:t>be considered</w:t>
            </w:r>
            <w:proofErr w:type="gramEnd"/>
            <w:r w:rsidRPr="0049582A">
              <w:rPr>
                <w:rFonts w:cstheme="minorHAnsi"/>
              </w:rPr>
              <w:t xml:space="preserve"> in response to human rights risks that are identified?</w:t>
            </w:r>
          </w:p>
          <w:p w14:paraId="4AB39BDD" w14:textId="22998EC1" w:rsidR="0049582A" w:rsidRPr="0049582A" w:rsidRDefault="0049582A" w:rsidP="00C901CF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How should an enterprise approach complex situations with no obvious or easy solutions?</w:t>
            </w:r>
          </w:p>
          <w:p w14:paraId="676F3956" w14:textId="77777777" w:rsidR="0049582A" w:rsidRPr="0049582A" w:rsidRDefault="0049582A" w:rsidP="00C901CF">
            <w:pPr>
              <w:jc w:val="both"/>
              <w:rPr>
                <w:rFonts w:cstheme="minorHAnsi"/>
              </w:rPr>
            </w:pPr>
          </w:p>
          <w:p w14:paraId="30F78018" w14:textId="5D007C66" w:rsidR="0049582A" w:rsidRPr="0049582A" w:rsidRDefault="0049582A" w:rsidP="00C901CF">
            <w:pPr>
              <w:jc w:val="both"/>
              <w:rPr>
                <w:rFonts w:cstheme="minorHAnsi"/>
                <w:b/>
              </w:rPr>
            </w:pPr>
            <w:r w:rsidRPr="0049582A">
              <w:rPr>
                <w:rFonts w:cstheme="minorHAnsi"/>
                <w:b/>
              </w:rPr>
              <w:t>UNGP 20</w:t>
            </w:r>
            <w:r w:rsidR="00EC1592">
              <w:rPr>
                <w:rFonts w:cstheme="minorHAnsi"/>
                <w:b/>
              </w:rPr>
              <w:t xml:space="preserve"> (</w:t>
            </w:r>
            <w:r w:rsidR="00846844">
              <w:rPr>
                <w:rFonts w:cstheme="minorHAnsi"/>
                <w:b/>
              </w:rPr>
              <w:t>HRDD: Tracking</w:t>
            </w:r>
            <w:r w:rsidR="00EC1592">
              <w:rPr>
                <w:rFonts w:cstheme="minorHAnsi"/>
                <w:b/>
              </w:rPr>
              <w:t>)</w:t>
            </w:r>
          </w:p>
          <w:p w14:paraId="21F9E91E" w14:textId="7CC2D650" w:rsidR="0049582A" w:rsidRPr="0049582A" w:rsidRDefault="0049582A" w:rsidP="00C901CF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Why does this matter?</w:t>
            </w:r>
          </w:p>
          <w:p w14:paraId="0B70F9EB" w14:textId="48EB54EC" w:rsidR="0049582A" w:rsidRPr="0049582A" w:rsidRDefault="0049582A" w:rsidP="00C901CF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 xml:space="preserve">How </w:t>
            </w:r>
            <w:proofErr w:type="gramStart"/>
            <w:r w:rsidRPr="0049582A">
              <w:rPr>
                <w:rFonts w:cstheme="minorHAnsi"/>
              </w:rPr>
              <w:t>should the effectiveness of responses be tracked</w:t>
            </w:r>
            <w:proofErr w:type="gramEnd"/>
            <w:r w:rsidRPr="0049582A">
              <w:rPr>
                <w:rFonts w:cstheme="minorHAnsi"/>
              </w:rPr>
              <w:t>?</w:t>
            </w:r>
          </w:p>
          <w:p w14:paraId="083073EE" w14:textId="0858BE9A" w:rsidR="0049582A" w:rsidRPr="0049582A" w:rsidRDefault="0049582A" w:rsidP="00C901CF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How far should the tracking system go?</w:t>
            </w:r>
          </w:p>
          <w:p w14:paraId="45DC36D8" w14:textId="4530BDAC" w:rsidR="0049582A" w:rsidRPr="0049582A" w:rsidRDefault="0049582A" w:rsidP="00C901CF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What indicators should an enterprise use?</w:t>
            </w:r>
          </w:p>
          <w:p w14:paraId="2C30DDF4" w14:textId="1A8130A8" w:rsidR="0049582A" w:rsidRPr="0049582A" w:rsidRDefault="0049582A" w:rsidP="00C901CF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What is the appropriate role of feedback from internal and external sources?</w:t>
            </w:r>
          </w:p>
          <w:p w14:paraId="69BF992D" w14:textId="46808BCB" w:rsidR="0049582A" w:rsidRPr="0049582A" w:rsidRDefault="0049582A" w:rsidP="00C901CF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 xml:space="preserve">How </w:t>
            </w:r>
            <w:proofErr w:type="gramStart"/>
            <w:r w:rsidRPr="0049582A">
              <w:rPr>
                <w:rFonts w:cstheme="minorHAnsi"/>
              </w:rPr>
              <w:t>can the credibility of a tracking system be demonstrated</w:t>
            </w:r>
            <w:proofErr w:type="gramEnd"/>
            <w:r w:rsidRPr="0049582A">
              <w:rPr>
                <w:rFonts w:cstheme="minorHAnsi"/>
              </w:rPr>
              <w:t>?</w:t>
            </w:r>
          </w:p>
          <w:p w14:paraId="766454BF" w14:textId="77777777" w:rsidR="0049582A" w:rsidRPr="0049582A" w:rsidRDefault="0049582A" w:rsidP="00C901CF">
            <w:pPr>
              <w:jc w:val="both"/>
              <w:rPr>
                <w:rFonts w:cstheme="minorHAnsi"/>
              </w:rPr>
            </w:pPr>
          </w:p>
          <w:p w14:paraId="021417D4" w14:textId="76087B88" w:rsidR="0049582A" w:rsidRPr="0049582A" w:rsidRDefault="0049582A" w:rsidP="00C901CF">
            <w:pPr>
              <w:jc w:val="both"/>
              <w:rPr>
                <w:rFonts w:cstheme="minorHAnsi"/>
                <w:b/>
              </w:rPr>
            </w:pPr>
            <w:r w:rsidRPr="0049582A">
              <w:rPr>
                <w:rFonts w:cstheme="minorHAnsi"/>
                <w:b/>
              </w:rPr>
              <w:t>UNGP 21</w:t>
            </w:r>
            <w:r w:rsidR="00EC1592">
              <w:rPr>
                <w:rFonts w:cstheme="minorHAnsi"/>
                <w:b/>
              </w:rPr>
              <w:t xml:space="preserve"> (</w:t>
            </w:r>
            <w:r w:rsidR="00846844">
              <w:rPr>
                <w:rFonts w:cstheme="minorHAnsi"/>
                <w:b/>
              </w:rPr>
              <w:t>HRDD: Communicating</w:t>
            </w:r>
            <w:r w:rsidR="00EC1592">
              <w:rPr>
                <w:rFonts w:cstheme="minorHAnsi"/>
                <w:b/>
              </w:rPr>
              <w:t>)</w:t>
            </w:r>
          </w:p>
          <w:p w14:paraId="57E2DDFB" w14:textId="573F2F12" w:rsidR="0049582A" w:rsidRPr="0049582A" w:rsidRDefault="0049582A" w:rsidP="00C901CF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Why does this matter?</w:t>
            </w:r>
          </w:p>
          <w:p w14:paraId="356AC858" w14:textId="6C82AD0A" w:rsidR="0049582A" w:rsidRPr="0049582A" w:rsidRDefault="0049582A" w:rsidP="00C901CF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 xml:space="preserve">How much </w:t>
            </w:r>
            <w:proofErr w:type="gramStart"/>
            <w:r w:rsidRPr="0049582A">
              <w:rPr>
                <w:rFonts w:cstheme="minorHAnsi"/>
              </w:rPr>
              <w:t>is an enterprise expected</w:t>
            </w:r>
            <w:proofErr w:type="gramEnd"/>
            <w:r w:rsidRPr="0049582A">
              <w:rPr>
                <w:rFonts w:cstheme="minorHAnsi"/>
              </w:rPr>
              <w:t xml:space="preserve"> to communicate?</w:t>
            </w:r>
          </w:p>
          <w:p w14:paraId="5C94A07F" w14:textId="1476222D" w:rsidR="0049582A" w:rsidRPr="0049582A" w:rsidRDefault="0049582A" w:rsidP="00C901CF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What should an enterprise be able to communicate?</w:t>
            </w:r>
          </w:p>
          <w:p w14:paraId="4CDE21BF" w14:textId="0F6B1B72" w:rsidR="0049582A" w:rsidRPr="0049582A" w:rsidRDefault="0049582A" w:rsidP="00C901CF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What form(s) should communications take?</w:t>
            </w:r>
          </w:p>
          <w:p w14:paraId="00C16EAA" w14:textId="6CC099FB" w:rsidR="0049582A" w:rsidRPr="0049582A" w:rsidRDefault="0049582A" w:rsidP="00C901CF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When is external communication required?</w:t>
            </w:r>
          </w:p>
          <w:p w14:paraId="17BF0DCF" w14:textId="45D7A2F6" w:rsidR="0049582A" w:rsidRPr="0049582A" w:rsidRDefault="0049582A" w:rsidP="00C901CF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What makes the external communication of information “sufficient”?</w:t>
            </w:r>
          </w:p>
          <w:p w14:paraId="17816B76" w14:textId="2D3FB781" w:rsidR="0049582A" w:rsidRPr="0049582A" w:rsidRDefault="0049582A" w:rsidP="00C901CF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lastRenderedPageBreak/>
              <w:t xml:space="preserve">What </w:t>
            </w:r>
            <w:proofErr w:type="gramStart"/>
            <w:r w:rsidRPr="0049582A">
              <w:rPr>
                <w:rFonts w:cstheme="minorHAnsi"/>
              </w:rPr>
              <w:t>is meant</w:t>
            </w:r>
            <w:proofErr w:type="gramEnd"/>
            <w:r w:rsidRPr="0049582A">
              <w:rPr>
                <w:rFonts w:cstheme="minorHAnsi"/>
              </w:rPr>
              <w:t xml:space="preserve"> by the risks communications may pose to affected stakeholders, personnel or the legitimate requirements of commercial confidentiality?</w:t>
            </w:r>
          </w:p>
          <w:p w14:paraId="5B0441C1" w14:textId="62AF0492" w:rsidR="0049582A" w:rsidRPr="0049582A" w:rsidRDefault="0049582A" w:rsidP="00C901CF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How does communication relate to general stakeholder engagement?</w:t>
            </w:r>
          </w:p>
          <w:p w14:paraId="4D5B6DEE" w14:textId="77777777" w:rsidR="0049582A" w:rsidRPr="0049582A" w:rsidRDefault="0049582A" w:rsidP="00C901CF">
            <w:pPr>
              <w:jc w:val="both"/>
              <w:rPr>
                <w:rFonts w:cstheme="minorHAnsi"/>
              </w:rPr>
            </w:pPr>
          </w:p>
          <w:p w14:paraId="47951954" w14:textId="29C1A705" w:rsidR="0049582A" w:rsidRPr="0049582A" w:rsidRDefault="0049582A" w:rsidP="00C901CF">
            <w:pPr>
              <w:jc w:val="both"/>
              <w:rPr>
                <w:rFonts w:cstheme="minorHAnsi"/>
                <w:b/>
              </w:rPr>
            </w:pPr>
            <w:r w:rsidRPr="0049582A">
              <w:rPr>
                <w:rFonts w:cstheme="minorHAnsi"/>
                <w:b/>
              </w:rPr>
              <w:t>UNGP 22</w:t>
            </w:r>
            <w:r w:rsidR="00EC1592">
              <w:rPr>
                <w:rFonts w:cstheme="minorHAnsi"/>
                <w:b/>
              </w:rPr>
              <w:t xml:space="preserve"> (Remediation)</w:t>
            </w:r>
          </w:p>
          <w:p w14:paraId="3DF98B80" w14:textId="484C766E" w:rsidR="0049582A" w:rsidRPr="0049582A" w:rsidRDefault="0049582A" w:rsidP="00C901CF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Why does this matter?</w:t>
            </w:r>
          </w:p>
          <w:p w14:paraId="29697B21" w14:textId="3C2749E7" w:rsidR="0049582A" w:rsidRPr="0049582A" w:rsidRDefault="0049582A" w:rsidP="00C901CF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Does this apply even if the allegations are unfounded?</w:t>
            </w:r>
          </w:p>
          <w:p w14:paraId="4EA55B5B" w14:textId="07E8A420" w:rsidR="0049582A" w:rsidRPr="0049582A" w:rsidRDefault="0049582A" w:rsidP="00C901CF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When should an enterprise provide directly for remediation?</w:t>
            </w:r>
          </w:p>
          <w:p w14:paraId="38AE9F01" w14:textId="63D9F5F3" w:rsidR="0049582A" w:rsidRPr="0049582A" w:rsidRDefault="0049582A" w:rsidP="00C901CF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What kind of remediation processes should an enterprise provide for?</w:t>
            </w:r>
          </w:p>
          <w:p w14:paraId="1E16C740" w14:textId="3D9D62BD" w:rsidR="0049582A" w:rsidRPr="0049582A" w:rsidRDefault="0049582A" w:rsidP="00C901CF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What kinds of “legitimate processes” could provide remediation other than those of the enterprise itself?</w:t>
            </w:r>
          </w:p>
          <w:p w14:paraId="6AE6AC94" w14:textId="2585E02B" w:rsidR="0049582A" w:rsidRPr="0049582A" w:rsidRDefault="0049582A" w:rsidP="00C901CF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What if an enterprise agrees that it has caused or contributed to an impact but does not agree with those affected on the appropriate remedy?</w:t>
            </w:r>
          </w:p>
          <w:p w14:paraId="2E778ACD" w14:textId="12688039" w:rsidR="0049582A" w:rsidRPr="0049582A" w:rsidRDefault="0049582A" w:rsidP="00C901CF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proofErr w:type="gramStart"/>
            <w:r w:rsidRPr="0049582A">
              <w:rPr>
                <w:rFonts w:cstheme="minorHAnsi"/>
              </w:rPr>
              <w:t>What if an enterprise does not accept that it has caused or contributed to a human rights impact?</w:t>
            </w:r>
            <w:proofErr w:type="gramEnd"/>
          </w:p>
          <w:p w14:paraId="3B1496A4" w14:textId="77777777" w:rsidR="0049582A" w:rsidRPr="0049582A" w:rsidRDefault="0049582A" w:rsidP="00C901CF">
            <w:pPr>
              <w:jc w:val="both"/>
              <w:rPr>
                <w:rFonts w:cstheme="minorHAnsi"/>
              </w:rPr>
            </w:pPr>
          </w:p>
          <w:p w14:paraId="1FE3E5F3" w14:textId="02D3AB97" w:rsidR="0049582A" w:rsidRPr="0049582A" w:rsidRDefault="0049582A" w:rsidP="00C901CF">
            <w:pPr>
              <w:jc w:val="both"/>
              <w:rPr>
                <w:rFonts w:cstheme="minorHAnsi"/>
                <w:b/>
              </w:rPr>
            </w:pPr>
            <w:r w:rsidRPr="0049582A">
              <w:rPr>
                <w:rFonts w:cstheme="minorHAnsi"/>
                <w:b/>
              </w:rPr>
              <w:t>UNGP 29</w:t>
            </w:r>
            <w:r w:rsidR="00EC1592">
              <w:rPr>
                <w:rFonts w:cstheme="minorHAnsi"/>
                <w:b/>
              </w:rPr>
              <w:t xml:space="preserve"> (Operational-level grievance mechanisms)</w:t>
            </w:r>
          </w:p>
          <w:p w14:paraId="04F962FD" w14:textId="0227C5CC" w:rsidR="0049582A" w:rsidRPr="0049582A" w:rsidRDefault="0049582A" w:rsidP="00C901CF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Why does this matter?</w:t>
            </w:r>
          </w:p>
          <w:p w14:paraId="6E5730DD" w14:textId="0E27A19F" w:rsidR="0049582A" w:rsidRPr="0049582A" w:rsidRDefault="0049582A" w:rsidP="00C901CF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What is an operational-level grievance mechanism?</w:t>
            </w:r>
          </w:p>
          <w:p w14:paraId="21FA8DE4" w14:textId="0E636A7E" w:rsidR="0049582A" w:rsidRPr="0049582A" w:rsidRDefault="0049582A" w:rsidP="00C901CF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 xml:space="preserve">Does it have to </w:t>
            </w:r>
            <w:proofErr w:type="gramStart"/>
            <w:r w:rsidRPr="0049582A">
              <w:rPr>
                <w:rFonts w:cstheme="minorHAnsi"/>
              </w:rPr>
              <w:t>be called</w:t>
            </w:r>
            <w:proofErr w:type="gramEnd"/>
            <w:r w:rsidRPr="0049582A">
              <w:rPr>
                <w:rFonts w:cstheme="minorHAnsi"/>
              </w:rPr>
              <w:t xml:space="preserve"> a “grievance mechanism”?</w:t>
            </w:r>
          </w:p>
          <w:p w14:paraId="24222432" w14:textId="6A980A13" w:rsidR="0049582A" w:rsidRPr="0049582A" w:rsidRDefault="0049582A" w:rsidP="00C901CF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To whom should an operational-level grievance mechanism be available?</w:t>
            </w:r>
          </w:p>
          <w:p w14:paraId="4CD346C3" w14:textId="50605549" w:rsidR="0049582A" w:rsidRPr="0049582A" w:rsidRDefault="0049582A" w:rsidP="00C901CF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What issues should an operational-level grievance mechanism be able to address?</w:t>
            </w:r>
          </w:p>
          <w:p w14:paraId="604E944F" w14:textId="6BA06574" w:rsidR="0049582A" w:rsidRPr="0049582A" w:rsidRDefault="0049582A" w:rsidP="00C901CF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Who should oversee the mechanism?</w:t>
            </w:r>
          </w:p>
          <w:p w14:paraId="419C8300" w14:textId="7E8A03B1" w:rsidR="0049582A" w:rsidRPr="0049582A" w:rsidRDefault="0049582A" w:rsidP="00C901CF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How does an operational-level grievance mechanism relate to an enterprise’s wider operations?</w:t>
            </w:r>
          </w:p>
          <w:p w14:paraId="2C5A6AD9" w14:textId="42FBD603" w:rsidR="0049582A" w:rsidRPr="0049582A" w:rsidRDefault="0049582A" w:rsidP="00C901CF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How does the mechanism relate to wider stakeholder engagement?</w:t>
            </w:r>
          </w:p>
          <w:p w14:paraId="23C1C420" w14:textId="6FE4B026" w:rsidR="0049582A" w:rsidRPr="0049582A" w:rsidRDefault="0049582A" w:rsidP="00C901CF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When might an enterprise “participate in” a grievance mechanism rather than establish one itself?</w:t>
            </w:r>
          </w:p>
          <w:p w14:paraId="5B8DC96E" w14:textId="77777777" w:rsidR="0049582A" w:rsidRPr="0049582A" w:rsidRDefault="0049582A" w:rsidP="00C901CF">
            <w:pPr>
              <w:jc w:val="both"/>
              <w:rPr>
                <w:rFonts w:cstheme="minorHAnsi"/>
              </w:rPr>
            </w:pPr>
          </w:p>
          <w:p w14:paraId="69755793" w14:textId="731540E3" w:rsidR="0049582A" w:rsidRPr="0049582A" w:rsidRDefault="0049582A" w:rsidP="00C901CF">
            <w:pPr>
              <w:jc w:val="both"/>
              <w:rPr>
                <w:rFonts w:cstheme="minorHAnsi"/>
                <w:b/>
              </w:rPr>
            </w:pPr>
            <w:r w:rsidRPr="0049582A">
              <w:rPr>
                <w:rFonts w:cstheme="minorHAnsi"/>
                <w:b/>
              </w:rPr>
              <w:t>UNGP 31</w:t>
            </w:r>
            <w:r w:rsidR="00EC1592">
              <w:rPr>
                <w:rFonts w:cstheme="minorHAnsi"/>
                <w:b/>
              </w:rPr>
              <w:t xml:space="preserve"> (Effectiveness criteria for non-judicial mechanisms)</w:t>
            </w:r>
          </w:p>
          <w:p w14:paraId="55ADA1B4" w14:textId="4DAE5605" w:rsidR="0049582A" w:rsidRPr="0049582A" w:rsidRDefault="0049582A" w:rsidP="00C901CF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Why does this matter?</w:t>
            </w:r>
          </w:p>
          <w:p w14:paraId="01216789" w14:textId="4A93DB0A" w:rsidR="0049582A" w:rsidRPr="0049582A" w:rsidRDefault="0049582A" w:rsidP="00C901CF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Why these criteria?</w:t>
            </w:r>
          </w:p>
          <w:p w14:paraId="798DB0E2" w14:textId="36481CF6" w:rsidR="0049582A" w:rsidRPr="0049582A" w:rsidRDefault="0049582A" w:rsidP="00C901CF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 xml:space="preserve">How </w:t>
            </w:r>
            <w:proofErr w:type="gramStart"/>
            <w:r w:rsidRPr="0049582A">
              <w:rPr>
                <w:rFonts w:cstheme="minorHAnsi"/>
              </w:rPr>
              <w:t>should a grievance mechanism’s effectiveness be assessed</w:t>
            </w:r>
            <w:proofErr w:type="gramEnd"/>
            <w:r w:rsidRPr="0049582A">
              <w:rPr>
                <w:rFonts w:cstheme="minorHAnsi"/>
              </w:rPr>
              <w:t>?</w:t>
            </w:r>
          </w:p>
          <w:p w14:paraId="4BC7BE32" w14:textId="77777777" w:rsidR="0049582A" w:rsidRPr="0049582A" w:rsidRDefault="0049582A" w:rsidP="00C901CF">
            <w:pPr>
              <w:jc w:val="both"/>
              <w:rPr>
                <w:rFonts w:cstheme="minorHAnsi"/>
              </w:rPr>
            </w:pPr>
          </w:p>
          <w:p w14:paraId="48D85F5A" w14:textId="0446F1A2" w:rsidR="0049582A" w:rsidRPr="0049582A" w:rsidRDefault="0049582A" w:rsidP="00C901CF">
            <w:pPr>
              <w:jc w:val="both"/>
              <w:rPr>
                <w:rFonts w:cstheme="minorHAnsi"/>
                <w:b/>
              </w:rPr>
            </w:pPr>
            <w:r w:rsidRPr="0049582A">
              <w:rPr>
                <w:rFonts w:cstheme="minorHAnsi"/>
                <w:b/>
              </w:rPr>
              <w:t>UNGP 23</w:t>
            </w:r>
            <w:r w:rsidR="00605E70">
              <w:rPr>
                <w:rFonts w:cstheme="minorHAnsi"/>
                <w:b/>
              </w:rPr>
              <w:t xml:space="preserve"> (Issues of context)</w:t>
            </w:r>
          </w:p>
          <w:p w14:paraId="2FCEDBB5" w14:textId="3D213E0A" w:rsidR="0049582A" w:rsidRPr="0049582A" w:rsidRDefault="0049582A" w:rsidP="00C901CF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Why does this matter?</w:t>
            </w:r>
          </w:p>
          <w:p w14:paraId="2DCF8AB1" w14:textId="4C3DCF49" w:rsidR="0049582A" w:rsidRPr="0049582A" w:rsidRDefault="0049582A" w:rsidP="00C901CF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How does legal compliance relate to respect for human rights?</w:t>
            </w:r>
          </w:p>
          <w:p w14:paraId="0E087D46" w14:textId="65294BBE" w:rsidR="0049582A" w:rsidRPr="0049582A" w:rsidRDefault="0049582A" w:rsidP="00C901CF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How should an enterprise deal with conflicting requirements?</w:t>
            </w:r>
          </w:p>
          <w:p w14:paraId="76BA9927" w14:textId="5B32C7A2" w:rsidR="0049582A" w:rsidRPr="0049582A" w:rsidRDefault="0049582A" w:rsidP="00C901CF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 xml:space="preserve">Why </w:t>
            </w:r>
            <w:proofErr w:type="gramStart"/>
            <w:r w:rsidRPr="0049582A">
              <w:rPr>
                <w:rFonts w:cstheme="minorHAnsi"/>
              </w:rPr>
              <w:t>should the risk of being involved in gross human rights abuses be considered</w:t>
            </w:r>
            <w:proofErr w:type="gramEnd"/>
            <w:r w:rsidRPr="0049582A">
              <w:rPr>
                <w:rFonts w:cstheme="minorHAnsi"/>
              </w:rPr>
              <w:t xml:space="preserve"> a matter of legal compliance?</w:t>
            </w:r>
          </w:p>
          <w:p w14:paraId="6F926C3E" w14:textId="2081800F" w:rsidR="0049582A" w:rsidRPr="0049582A" w:rsidRDefault="0049582A" w:rsidP="00C901CF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What situations pose a particular risk of business involvement in gross human rights abuses?</w:t>
            </w:r>
          </w:p>
          <w:p w14:paraId="18FDB7D1" w14:textId="7CD8C45A" w:rsidR="009D6C83" w:rsidRPr="009D6C83" w:rsidRDefault="0049582A" w:rsidP="00C901CF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Where can an enterprise seek help in assessing and addressing challenges that arise in difficult contexts?</w:t>
            </w:r>
          </w:p>
          <w:p w14:paraId="1C508B9A" w14:textId="77777777" w:rsidR="009D6C83" w:rsidRDefault="009D6C83" w:rsidP="00C901CF">
            <w:pPr>
              <w:jc w:val="both"/>
              <w:rPr>
                <w:rFonts w:cstheme="minorHAnsi"/>
                <w:b/>
              </w:rPr>
            </w:pPr>
          </w:p>
          <w:p w14:paraId="5152C349" w14:textId="7A2FF17F" w:rsidR="0049582A" w:rsidRPr="0049582A" w:rsidRDefault="0049582A" w:rsidP="00C901CF">
            <w:pPr>
              <w:jc w:val="both"/>
              <w:rPr>
                <w:rFonts w:cstheme="minorHAnsi"/>
                <w:b/>
              </w:rPr>
            </w:pPr>
            <w:r w:rsidRPr="0049582A">
              <w:rPr>
                <w:rFonts w:cstheme="minorHAnsi"/>
                <w:b/>
              </w:rPr>
              <w:t>UNGP 24</w:t>
            </w:r>
            <w:r w:rsidR="00605E70">
              <w:rPr>
                <w:rFonts w:cstheme="minorHAnsi"/>
                <w:b/>
              </w:rPr>
              <w:t xml:space="preserve"> (Prioritization)</w:t>
            </w:r>
          </w:p>
          <w:p w14:paraId="6F1A9D9C" w14:textId="1E7CBA05" w:rsidR="0049582A" w:rsidRPr="0049582A" w:rsidRDefault="0049582A" w:rsidP="00C901CF">
            <w:pPr>
              <w:pStyle w:val="ListParagraph"/>
              <w:numPr>
                <w:ilvl w:val="0"/>
                <w:numId w:val="37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Why does this matter?</w:t>
            </w:r>
          </w:p>
          <w:p w14:paraId="6B1D5E8F" w14:textId="01F9E0F8" w:rsidR="0049582A" w:rsidRPr="0049582A" w:rsidRDefault="0049582A" w:rsidP="00C901CF">
            <w:pPr>
              <w:pStyle w:val="ListParagraph"/>
              <w:numPr>
                <w:ilvl w:val="0"/>
                <w:numId w:val="37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>What would count as “severe” impact?</w:t>
            </w:r>
          </w:p>
          <w:p w14:paraId="4147B1E0" w14:textId="737D43D9" w:rsidR="00D46B93" w:rsidRPr="0049582A" w:rsidRDefault="0049582A" w:rsidP="00C901CF">
            <w:pPr>
              <w:pStyle w:val="ListParagraph"/>
              <w:numPr>
                <w:ilvl w:val="0"/>
                <w:numId w:val="37"/>
              </w:numPr>
              <w:jc w:val="both"/>
              <w:rPr>
                <w:rFonts w:cstheme="minorHAnsi"/>
              </w:rPr>
            </w:pPr>
            <w:r w:rsidRPr="0049582A">
              <w:rPr>
                <w:rFonts w:cstheme="minorHAnsi"/>
              </w:rPr>
              <w:t xml:space="preserve">What does this mean for impact that </w:t>
            </w:r>
            <w:proofErr w:type="gramStart"/>
            <w:r w:rsidRPr="0049582A">
              <w:rPr>
                <w:rFonts w:cstheme="minorHAnsi"/>
              </w:rPr>
              <w:t>is not deemed</w:t>
            </w:r>
            <w:proofErr w:type="gramEnd"/>
            <w:r w:rsidRPr="0049582A">
              <w:rPr>
                <w:rFonts w:cstheme="minorHAnsi"/>
              </w:rPr>
              <w:t xml:space="preserve"> severe? </w:t>
            </w:r>
          </w:p>
        </w:tc>
      </w:tr>
    </w:tbl>
    <w:p w14:paraId="042DEC5D" w14:textId="77777777" w:rsidR="002F3A8E" w:rsidRPr="009D6C83" w:rsidRDefault="002F3A8E" w:rsidP="009D6C83">
      <w:pPr>
        <w:spacing w:after="0" w:line="240" w:lineRule="auto"/>
        <w:rPr>
          <w:rFonts w:cstheme="minorHAnsi"/>
          <w:b/>
          <w:bCs/>
          <w:sz w:val="2"/>
          <w:szCs w:val="2"/>
        </w:rPr>
      </w:pPr>
    </w:p>
    <w:sectPr w:rsidR="002F3A8E" w:rsidRPr="009D6C83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2BE11" w16cex:dateUtc="2021-07-09T10:22:00Z"/>
  <w16cex:commentExtensible w16cex:durableId="2492C323" w16cex:dateUtc="2021-07-09T10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5E6BAB" w16cid:durableId="2492B5A4"/>
  <w16cid:commentId w16cid:paraId="7FFCD76D" w16cid:durableId="2492B5A5"/>
  <w16cid:commentId w16cid:paraId="42FB84B9" w16cid:durableId="2492BE11"/>
  <w16cid:commentId w16cid:paraId="3CE80263" w16cid:durableId="2492C3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6906F" w14:textId="77777777" w:rsidR="000F3E34" w:rsidRDefault="000F3E34" w:rsidP="00FE4288">
      <w:pPr>
        <w:spacing w:after="0" w:line="240" w:lineRule="auto"/>
      </w:pPr>
      <w:r>
        <w:separator/>
      </w:r>
    </w:p>
  </w:endnote>
  <w:endnote w:type="continuationSeparator" w:id="0">
    <w:p w14:paraId="7B558EF8" w14:textId="77777777" w:rsidR="000F3E34" w:rsidRDefault="000F3E34" w:rsidP="00FE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0680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A00CD1" w14:textId="39D20886" w:rsidR="00D17DFD" w:rsidRDefault="00D17D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54C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F7057E8" w14:textId="77777777" w:rsidR="00D17DFD" w:rsidRDefault="00D17D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437DF" w14:textId="77777777" w:rsidR="000F3E34" w:rsidRDefault="000F3E34" w:rsidP="00FE4288">
      <w:pPr>
        <w:spacing w:after="0" w:line="240" w:lineRule="auto"/>
      </w:pPr>
      <w:r>
        <w:separator/>
      </w:r>
    </w:p>
  </w:footnote>
  <w:footnote w:type="continuationSeparator" w:id="0">
    <w:p w14:paraId="4B79B5BE" w14:textId="77777777" w:rsidR="000F3E34" w:rsidRDefault="000F3E34" w:rsidP="00FE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997EF" w14:textId="6EAFB516" w:rsidR="00122314" w:rsidRDefault="00122314" w:rsidP="00122314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61D15C9" wp14:editId="22337A80">
          <wp:extent cx="1187355" cy="411597"/>
          <wp:effectExtent l="0" t="0" r="0" b="7620"/>
          <wp:docPr id="2" name="Picture 2" descr="https://intranet.ohchr.org/ToolsLinks/Ourbrand/Logos_DL/OHCHR_Logo_Black_72dpi_EN.png?csf=1&amp;e=hUB2I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intranet.ohchr.org/ToolsLinks/Ourbrand/Logos_DL/OHCHR_Logo_Black_72dpi_EN.png?csf=1&amp;e=hUB2I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321" cy="421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9C2885" w14:textId="77777777" w:rsidR="00122314" w:rsidRDefault="001223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13C0"/>
    <w:multiLevelType w:val="hybridMultilevel"/>
    <w:tmpl w:val="E0280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93822"/>
    <w:multiLevelType w:val="hybridMultilevel"/>
    <w:tmpl w:val="2DDE1558"/>
    <w:lvl w:ilvl="0" w:tplc="B294442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33832"/>
    <w:multiLevelType w:val="hybridMultilevel"/>
    <w:tmpl w:val="13BC7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10883"/>
    <w:multiLevelType w:val="hybridMultilevel"/>
    <w:tmpl w:val="88B4F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0221E"/>
    <w:multiLevelType w:val="hybridMultilevel"/>
    <w:tmpl w:val="2340A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47288"/>
    <w:multiLevelType w:val="hybridMultilevel"/>
    <w:tmpl w:val="12FE0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042D8"/>
    <w:multiLevelType w:val="multilevel"/>
    <w:tmpl w:val="10F8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7F6EDB"/>
    <w:multiLevelType w:val="hybridMultilevel"/>
    <w:tmpl w:val="3514B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F4D27"/>
    <w:multiLevelType w:val="hybridMultilevel"/>
    <w:tmpl w:val="2B56E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A3A46"/>
    <w:multiLevelType w:val="hybridMultilevel"/>
    <w:tmpl w:val="6C5C6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27F93BA0"/>
    <w:multiLevelType w:val="hybridMultilevel"/>
    <w:tmpl w:val="C56E8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93A7B"/>
    <w:multiLevelType w:val="hybridMultilevel"/>
    <w:tmpl w:val="8CD43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40188"/>
    <w:multiLevelType w:val="hybridMultilevel"/>
    <w:tmpl w:val="F0C67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73FA0"/>
    <w:multiLevelType w:val="hybridMultilevel"/>
    <w:tmpl w:val="37949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644CB"/>
    <w:multiLevelType w:val="hybridMultilevel"/>
    <w:tmpl w:val="5B506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95292"/>
    <w:multiLevelType w:val="hybridMultilevel"/>
    <w:tmpl w:val="DFB82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E2B98"/>
    <w:multiLevelType w:val="hybridMultilevel"/>
    <w:tmpl w:val="623C2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94A2A"/>
    <w:multiLevelType w:val="hybridMultilevel"/>
    <w:tmpl w:val="09821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B0F15"/>
    <w:multiLevelType w:val="multilevel"/>
    <w:tmpl w:val="B4F0C9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C1212AF"/>
    <w:multiLevelType w:val="hybridMultilevel"/>
    <w:tmpl w:val="14046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D7A08"/>
    <w:multiLevelType w:val="hybridMultilevel"/>
    <w:tmpl w:val="B25E4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81C75"/>
    <w:multiLevelType w:val="hybridMultilevel"/>
    <w:tmpl w:val="F2789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D5732"/>
    <w:multiLevelType w:val="hybridMultilevel"/>
    <w:tmpl w:val="D7849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06908"/>
    <w:multiLevelType w:val="hybridMultilevel"/>
    <w:tmpl w:val="1AD851AE"/>
    <w:lvl w:ilvl="0" w:tplc="EF10FD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52E36"/>
    <w:multiLevelType w:val="hybridMultilevel"/>
    <w:tmpl w:val="1EEE1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56CFD"/>
    <w:multiLevelType w:val="hybridMultilevel"/>
    <w:tmpl w:val="02E43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E745A"/>
    <w:multiLevelType w:val="hybridMultilevel"/>
    <w:tmpl w:val="E3DAB6B4"/>
    <w:lvl w:ilvl="0" w:tplc="65864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05029"/>
    <w:multiLevelType w:val="hybridMultilevel"/>
    <w:tmpl w:val="D1F8C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A7BD7"/>
    <w:multiLevelType w:val="hybridMultilevel"/>
    <w:tmpl w:val="42F88E18"/>
    <w:lvl w:ilvl="0" w:tplc="C5F005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9F37E1"/>
    <w:multiLevelType w:val="hybridMultilevel"/>
    <w:tmpl w:val="D7767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36CEA"/>
    <w:multiLevelType w:val="hybridMultilevel"/>
    <w:tmpl w:val="1654E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E571A"/>
    <w:multiLevelType w:val="hybridMultilevel"/>
    <w:tmpl w:val="AD588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D0892"/>
    <w:multiLevelType w:val="hybridMultilevel"/>
    <w:tmpl w:val="07883D82"/>
    <w:lvl w:ilvl="0" w:tplc="1B144FB2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582CD7"/>
    <w:multiLevelType w:val="hybridMultilevel"/>
    <w:tmpl w:val="219842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B15C24"/>
    <w:multiLevelType w:val="hybridMultilevel"/>
    <w:tmpl w:val="53D20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601DC2"/>
    <w:multiLevelType w:val="hybridMultilevel"/>
    <w:tmpl w:val="8A94F65E"/>
    <w:lvl w:ilvl="0" w:tplc="86D4FCA4">
      <w:start w:val="1"/>
      <w:numFmt w:val="upperLetter"/>
      <w:pStyle w:val="Heading1"/>
      <w:lvlText w:val="%1."/>
      <w:lvlJc w:val="left"/>
      <w:pPr>
        <w:ind w:left="720" w:hanging="360"/>
      </w:pPr>
    </w:lvl>
    <w:lvl w:ilvl="1" w:tplc="1960F36E">
      <w:numFmt w:val="bullet"/>
      <w:lvlText w:val="-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26E1"/>
    <w:multiLevelType w:val="hybridMultilevel"/>
    <w:tmpl w:val="93A22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3281D"/>
    <w:multiLevelType w:val="hybridMultilevel"/>
    <w:tmpl w:val="49108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3"/>
  </w:num>
  <w:num w:numId="3">
    <w:abstractNumId w:val="30"/>
  </w:num>
  <w:num w:numId="4">
    <w:abstractNumId w:val="1"/>
  </w:num>
  <w:num w:numId="5">
    <w:abstractNumId w:val="18"/>
  </w:num>
  <w:num w:numId="6">
    <w:abstractNumId w:val="22"/>
  </w:num>
  <w:num w:numId="7">
    <w:abstractNumId w:val="2"/>
  </w:num>
  <w:num w:numId="8">
    <w:abstractNumId w:val="24"/>
  </w:num>
  <w:num w:numId="9">
    <w:abstractNumId w:val="34"/>
  </w:num>
  <w:num w:numId="10">
    <w:abstractNumId w:val="21"/>
  </w:num>
  <w:num w:numId="11">
    <w:abstractNumId w:val="23"/>
  </w:num>
  <w:num w:numId="12">
    <w:abstractNumId w:val="8"/>
  </w:num>
  <w:num w:numId="13">
    <w:abstractNumId w:val="35"/>
  </w:num>
  <w:num w:numId="14">
    <w:abstractNumId w:val="32"/>
  </w:num>
  <w:num w:numId="15">
    <w:abstractNumId w:val="32"/>
    <w:lvlOverride w:ilvl="0">
      <w:startOverride w:val="1"/>
    </w:lvlOverride>
  </w:num>
  <w:num w:numId="16">
    <w:abstractNumId w:val="15"/>
  </w:num>
  <w:num w:numId="17">
    <w:abstractNumId w:val="10"/>
  </w:num>
  <w:num w:numId="18">
    <w:abstractNumId w:val="28"/>
  </w:num>
  <w:num w:numId="19">
    <w:abstractNumId w:val="9"/>
  </w:num>
  <w:num w:numId="20">
    <w:abstractNumId w:val="6"/>
  </w:num>
  <w:num w:numId="21">
    <w:abstractNumId w:val="27"/>
  </w:num>
  <w:num w:numId="22">
    <w:abstractNumId w:val="13"/>
  </w:num>
  <w:num w:numId="23">
    <w:abstractNumId w:val="20"/>
  </w:num>
  <w:num w:numId="24">
    <w:abstractNumId w:val="19"/>
  </w:num>
  <w:num w:numId="25">
    <w:abstractNumId w:val="17"/>
  </w:num>
  <w:num w:numId="26">
    <w:abstractNumId w:val="3"/>
  </w:num>
  <w:num w:numId="27">
    <w:abstractNumId w:val="0"/>
  </w:num>
  <w:num w:numId="28">
    <w:abstractNumId w:val="29"/>
  </w:num>
  <w:num w:numId="29">
    <w:abstractNumId w:val="7"/>
  </w:num>
  <w:num w:numId="30">
    <w:abstractNumId w:val="36"/>
  </w:num>
  <w:num w:numId="31">
    <w:abstractNumId w:val="11"/>
  </w:num>
  <w:num w:numId="32">
    <w:abstractNumId w:val="5"/>
  </w:num>
  <w:num w:numId="33">
    <w:abstractNumId w:val="4"/>
  </w:num>
  <w:num w:numId="34">
    <w:abstractNumId w:val="31"/>
  </w:num>
  <w:num w:numId="35">
    <w:abstractNumId w:val="16"/>
  </w:num>
  <w:num w:numId="36">
    <w:abstractNumId w:val="25"/>
  </w:num>
  <w:num w:numId="37">
    <w:abstractNumId w:val="37"/>
  </w:num>
  <w:num w:numId="38">
    <w:abstractNumId w:val="12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03"/>
    <w:rsid w:val="00000A74"/>
    <w:rsid w:val="00005537"/>
    <w:rsid w:val="00033572"/>
    <w:rsid w:val="00041403"/>
    <w:rsid w:val="0004185B"/>
    <w:rsid w:val="000422DC"/>
    <w:rsid w:val="00042B16"/>
    <w:rsid w:val="0005054A"/>
    <w:rsid w:val="00055D19"/>
    <w:rsid w:val="00060353"/>
    <w:rsid w:val="00060ECC"/>
    <w:rsid w:val="00060FD7"/>
    <w:rsid w:val="000673D2"/>
    <w:rsid w:val="000751BE"/>
    <w:rsid w:val="00075E63"/>
    <w:rsid w:val="0007667D"/>
    <w:rsid w:val="000855FF"/>
    <w:rsid w:val="0008630E"/>
    <w:rsid w:val="00091A51"/>
    <w:rsid w:val="000A024D"/>
    <w:rsid w:val="000A457F"/>
    <w:rsid w:val="000B06CA"/>
    <w:rsid w:val="000B4BDC"/>
    <w:rsid w:val="000B6882"/>
    <w:rsid w:val="000C02D6"/>
    <w:rsid w:val="000C6941"/>
    <w:rsid w:val="000D02E1"/>
    <w:rsid w:val="000D31D7"/>
    <w:rsid w:val="000D390B"/>
    <w:rsid w:val="000D3F5B"/>
    <w:rsid w:val="000D6611"/>
    <w:rsid w:val="000E6BD6"/>
    <w:rsid w:val="000F109E"/>
    <w:rsid w:val="000F23A2"/>
    <w:rsid w:val="000F3E34"/>
    <w:rsid w:val="00100CF8"/>
    <w:rsid w:val="00106376"/>
    <w:rsid w:val="00112A28"/>
    <w:rsid w:val="00114424"/>
    <w:rsid w:val="0012076F"/>
    <w:rsid w:val="00122314"/>
    <w:rsid w:val="001240C8"/>
    <w:rsid w:val="00125318"/>
    <w:rsid w:val="00126B23"/>
    <w:rsid w:val="00133B0C"/>
    <w:rsid w:val="00134DB4"/>
    <w:rsid w:val="00135382"/>
    <w:rsid w:val="00135B34"/>
    <w:rsid w:val="00145126"/>
    <w:rsid w:val="00152262"/>
    <w:rsid w:val="00153435"/>
    <w:rsid w:val="00153F19"/>
    <w:rsid w:val="001542D3"/>
    <w:rsid w:val="00161B80"/>
    <w:rsid w:val="00164071"/>
    <w:rsid w:val="00164B72"/>
    <w:rsid w:val="00166B68"/>
    <w:rsid w:val="00180DF2"/>
    <w:rsid w:val="00181649"/>
    <w:rsid w:val="00182CA6"/>
    <w:rsid w:val="001B46B0"/>
    <w:rsid w:val="001B4DB1"/>
    <w:rsid w:val="001B5110"/>
    <w:rsid w:val="001C47D6"/>
    <w:rsid w:val="001C696D"/>
    <w:rsid w:val="001C6D60"/>
    <w:rsid w:val="001C6E42"/>
    <w:rsid w:val="001D2C0D"/>
    <w:rsid w:val="001D433D"/>
    <w:rsid w:val="001D5E9F"/>
    <w:rsid w:val="001D799C"/>
    <w:rsid w:val="001E00E8"/>
    <w:rsid w:val="001E527C"/>
    <w:rsid w:val="001E7CB1"/>
    <w:rsid w:val="001F2F69"/>
    <w:rsid w:val="001F4A0F"/>
    <w:rsid w:val="001F6D35"/>
    <w:rsid w:val="00204042"/>
    <w:rsid w:val="00212422"/>
    <w:rsid w:val="00215892"/>
    <w:rsid w:val="0023280B"/>
    <w:rsid w:val="00232DE2"/>
    <w:rsid w:val="002335C3"/>
    <w:rsid w:val="002369C0"/>
    <w:rsid w:val="002370B9"/>
    <w:rsid w:val="00241637"/>
    <w:rsid w:val="002435C9"/>
    <w:rsid w:val="002520BC"/>
    <w:rsid w:val="0025275D"/>
    <w:rsid w:val="002572B0"/>
    <w:rsid w:val="00257BED"/>
    <w:rsid w:val="00270473"/>
    <w:rsid w:val="00281818"/>
    <w:rsid w:val="002877AE"/>
    <w:rsid w:val="002978F7"/>
    <w:rsid w:val="002A20CF"/>
    <w:rsid w:val="002A5484"/>
    <w:rsid w:val="002A6466"/>
    <w:rsid w:val="002A662A"/>
    <w:rsid w:val="002B1658"/>
    <w:rsid w:val="002B1853"/>
    <w:rsid w:val="002C2E60"/>
    <w:rsid w:val="002D2AD6"/>
    <w:rsid w:val="002D3C5B"/>
    <w:rsid w:val="002D4EAA"/>
    <w:rsid w:val="002E5CAC"/>
    <w:rsid w:val="002F03B5"/>
    <w:rsid w:val="002F207E"/>
    <w:rsid w:val="002F29D6"/>
    <w:rsid w:val="002F3A8E"/>
    <w:rsid w:val="002F79CB"/>
    <w:rsid w:val="00303C63"/>
    <w:rsid w:val="0031317F"/>
    <w:rsid w:val="0031704D"/>
    <w:rsid w:val="00321D63"/>
    <w:rsid w:val="00326C51"/>
    <w:rsid w:val="00353820"/>
    <w:rsid w:val="00353B53"/>
    <w:rsid w:val="00354BAE"/>
    <w:rsid w:val="00354BD8"/>
    <w:rsid w:val="00364A64"/>
    <w:rsid w:val="00371B4B"/>
    <w:rsid w:val="00371E33"/>
    <w:rsid w:val="003836DC"/>
    <w:rsid w:val="003839F3"/>
    <w:rsid w:val="0039034B"/>
    <w:rsid w:val="00391833"/>
    <w:rsid w:val="003A15EB"/>
    <w:rsid w:val="003A7132"/>
    <w:rsid w:val="003B19A1"/>
    <w:rsid w:val="003B68FE"/>
    <w:rsid w:val="003C058D"/>
    <w:rsid w:val="003C2AB3"/>
    <w:rsid w:val="003C6625"/>
    <w:rsid w:val="003C7798"/>
    <w:rsid w:val="003D1383"/>
    <w:rsid w:val="003D3CC2"/>
    <w:rsid w:val="003D7585"/>
    <w:rsid w:val="003F0842"/>
    <w:rsid w:val="003F5B14"/>
    <w:rsid w:val="004002DD"/>
    <w:rsid w:val="00422062"/>
    <w:rsid w:val="0042586D"/>
    <w:rsid w:val="00427263"/>
    <w:rsid w:val="00432F9C"/>
    <w:rsid w:val="00434417"/>
    <w:rsid w:val="004401DC"/>
    <w:rsid w:val="00442BA4"/>
    <w:rsid w:val="00450F87"/>
    <w:rsid w:val="0045297E"/>
    <w:rsid w:val="00461B6F"/>
    <w:rsid w:val="00473AA6"/>
    <w:rsid w:val="0047754A"/>
    <w:rsid w:val="0048093E"/>
    <w:rsid w:val="00483750"/>
    <w:rsid w:val="00485919"/>
    <w:rsid w:val="00486A66"/>
    <w:rsid w:val="0049140B"/>
    <w:rsid w:val="0049582A"/>
    <w:rsid w:val="00495E82"/>
    <w:rsid w:val="004A0322"/>
    <w:rsid w:val="004A074B"/>
    <w:rsid w:val="004A1B72"/>
    <w:rsid w:val="004A2CFE"/>
    <w:rsid w:val="004A54C2"/>
    <w:rsid w:val="004B101A"/>
    <w:rsid w:val="004B1596"/>
    <w:rsid w:val="004B2067"/>
    <w:rsid w:val="004B4317"/>
    <w:rsid w:val="004B5B95"/>
    <w:rsid w:val="004B746A"/>
    <w:rsid w:val="004C57BD"/>
    <w:rsid w:val="004D36D8"/>
    <w:rsid w:val="004E0413"/>
    <w:rsid w:val="004E676A"/>
    <w:rsid w:val="004F22D3"/>
    <w:rsid w:val="005071D4"/>
    <w:rsid w:val="00517FF1"/>
    <w:rsid w:val="0054444A"/>
    <w:rsid w:val="0055049E"/>
    <w:rsid w:val="00550E79"/>
    <w:rsid w:val="005619F8"/>
    <w:rsid w:val="00565B73"/>
    <w:rsid w:val="00566315"/>
    <w:rsid w:val="00567E46"/>
    <w:rsid w:val="00570FBE"/>
    <w:rsid w:val="00580042"/>
    <w:rsid w:val="00591046"/>
    <w:rsid w:val="00591D2A"/>
    <w:rsid w:val="00596C5C"/>
    <w:rsid w:val="00597918"/>
    <w:rsid w:val="005A13C0"/>
    <w:rsid w:val="005A2017"/>
    <w:rsid w:val="005A5D46"/>
    <w:rsid w:val="005B0B8A"/>
    <w:rsid w:val="005B54A3"/>
    <w:rsid w:val="005C095A"/>
    <w:rsid w:val="005D6D35"/>
    <w:rsid w:val="005E3FFA"/>
    <w:rsid w:val="005E6103"/>
    <w:rsid w:val="005E72C3"/>
    <w:rsid w:val="00600C0F"/>
    <w:rsid w:val="00605E70"/>
    <w:rsid w:val="006067EE"/>
    <w:rsid w:val="00621E27"/>
    <w:rsid w:val="006232B4"/>
    <w:rsid w:val="006252AC"/>
    <w:rsid w:val="00641A80"/>
    <w:rsid w:val="006509E5"/>
    <w:rsid w:val="00651861"/>
    <w:rsid w:val="00663C0A"/>
    <w:rsid w:val="00663CE4"/>
    <w:rsid w:val="00664204"/>
    <w:rsid w:val="006658FB"/>
    <w:rsid w:val="00672373"/>
    <w:rsid w:val="00686C15"/>
    <w:rsid w:val="00696E02"/>
    <w:rsid w:val="006A00F1"/>
    <w:rsid w:val="006A6537"/>
    <w:rsid w:val="006A6557"/>
    <w:rsid w:val="006A7D0C"/>
    <w:rsid w:val="006B197C"/>
    <w:rsid w:val="006B4AD6"/>
    <w:rsid w:val="006B58BE"/>
    <w:rsid w:val="006B7505"/>
    <w:rsid w:val="006C4BB4"/>
    <w:rsid w:val="006E1EAE"/>
    <w:rsid w:val="006F78D5"/>
    <w:rsid w:val="00702FB3"/>
    <w:rsid w:val="00704636"/>
    <w:rsid w:val="00704803"/>
    <w:rsid w:val="00705105"/>
    <w:rsid w:val="00715C34"/>
    <w:rsid w:val="0071675A"/>
    <w:rsid w:val="00725982"/>
    <w:rsid w:val="007370D1"/>
    <w:rsid w:val="0075277D"/>
    <w:rsid w:val="00752791"/>
    <w:rsid w:val="00757113"/>
    <w:rsid w:val="00771A9A"/>
    <w:rsid w:val="00774362"/>
    <w:rsid w:val="00783CBE"/>
    <w:rsid w:val="007861DC"/>
    <w:rsid w:val="0079325C"/>
    <w:rsid w:val="007A2E66"/>
    <w:rsid w:val="007B192F"/>
    <w:rsid w:val="007D64AB"/>
    <w:rsid w:val="007E149B"/>
    <w:rsid w:val="007E48BC"/>
    <w:rsid w:val="007E61BF"/>
    <w:rsid w:val="007E6B7B"/>
    <w:rsid w:val="007F4336"/>
    <w:rsid w:val="007F67FA"/>
    <w:rsid w:val="007F6D22"/>
    <w:rsid w:val="00803343"/>
    <w:rsid w:val="00807322"/>
    <w:rsid w:val="008147B3"/>
    <w:rsid w:val="00823003"/>
    <w:rsid w:val="00830873"/>
    <w:rsid w:val="00832D15"/>
    <w:rsid w:val="00841C94"/>
    <w:rsid w:val="00843100"/>
    <w:rsid w:val="00846844"/>
    <w:rsid w:val="00847C25"/>
    <w:rsid w:val="00851AB2"/>
    <w:rsid w:val="00854304"/>
    <w:rsid w:val="00854A0B"/>
    <w:rsid w:val="00871320"/>
    <w:rsid w:val="00872A9F"/>
    <w:rsid w:val="00872D06"/>
    <w:rsid w:val="00874CB4"/>
    <w:rsid w:val="008801F4"/>
    <w:rsid w:val="00881C51"/>
    <w:rsid w:val="008857E3"/>
    <w:rsid w:val="008A71C1"/>
    <w:rsid w:val="008B1576"/>
    <w:rsid w:val="008B1767"/>
    <w:rsid w:val="008B5B1C"/>
    <w:rsid w:val="008B6A75"/>
    <w:rsid w:val="008C32A2"/>
    <w:rsid w:val="008E6C89"/>
    <w:rsid w:val="008E7358"/>
    <w:rsid w:val="008F02E8"/>
    <w:rsid w:val="00906436"/>
    <w:rsid w:val="009153D7"/>
    <w:rsid w:val="00920CDC"/>
    <w:rsid w:val="00930D51"/>
    <w:rsid w:val="00934141"/>
    <w:rsid w:val="009378B8"/>
    <w:rsid w:val="00942A07"/>
    <w:rsid w:val="00943813"/>
    <w:rsid w:val="00951F23"/>
    <w:rsid w:val="00952007"/>
    <w:rsid w:val="0096146E"/>
    <w:rsid w:val="00963D22"/>
    <w:rsid w:val="009659E5"/>
    <w:rsid w:val="00966FBB"/>
    <w:rsid w:val="00972DCF"/>
    <w:rsid w:val="009735FD"/>
    <w:rsid w:val="00974C7E"/>
    <w:rsid w:val="0097610B"/>
    <w:rsid w:val="0097742F"/>
    <w:rsid w:val="00981B83"/>
    <w:rsid w:val="00986A25"/>
    <w:rsid w:val="00987E9C"/>
    <w:rsid w:val="0099030D"/>
    <w:rsid w:val="009916B1"/>
    <w:rsid w:val="00995978"/>
    <w:rsid w:val="009979C0"/>
    <w:rsid w:val="009A2F5C"/>
    <w:rsid w:val="009A603E"/>
    <w:rsid w:val="009B0B3D"/>
    <w:rsid w:val="009B21B2"/>
    <w:rsid w:val="009B43D4"/>
    <w:rsid w:val="009C1079"/>
    <w:rsid w:val="009C37EE"/>
    <w:rsid w:val="009C52B3"/>
    <w:rsid w:val="009D2221"/>
    <w:rsid w:val="009D3269"/>
    <w:rsid w:val="009D63A2"/>
    <w:rsid w:val="009D66DA"/>
    <w:rsid w:val="009D6BCA"/>
    <w:rsid w:val="009D6C83"/>
    <w:rsid w:val="009E3667"/>
    <w:rsid w:val="009E4255"/>
    <w:rsid w:val="009E4757"/>
    <w:rsid w:val="009E6F51"/>
    <w:rsid w:val="009E6F8D"/>
    <w:rsid w:val="009F0BFB"/>
    <w:rsid w:val="009F1969"/>
    <w:rsid w:val="009F4A8D"/>
    <w:rsid w:val="009F5110"/>
    <w:rsid w:val="00A01C1B"/>
    <w:rsid w:val="00A1173B"/>
    <w:rsid w:val="00A12D9E"/>
    <w:rsid w:val="00A13F02"/>
    <w:rsid w:val="00A14EA0"/>
    <w:rsid w:val="00A15109"/>
    <w:rsid w:val="00A27869"/>
    <w:rsid w:val="00A30DCD"/>
    <w:rsid w:val="00A33D08"/>
    <w:rsid w:val="00A46E02"/>
    <w:rsid w:val="00A50F49"/>
    <w:rsid w:val="00A52DC4"/>
    <w:rsid w:val="00A561F9"/>
    <w:rsid w:val="00A602F3"/>
    <w:rsid w:val="00A61B88"/>
    <w:rsid w:val="00A6453E"/>
    <w:rsid w:val="00A65098"/>
    <w:rsid w:val="00A66546"/>
    <w:rsid w:val="00A72105"/>
    <w:rsid w:val="00A76413"/>
    <w:rsid w:val="00A80F25"/>
    <w:rsid w:val="00A85A26"/>
    <w:rsid w:val="00A92318"/>
    <w:rsid w:val="00A94429"/>
    <w:rsid w:val="00A97190"/>
    <w:rsid w:val="00A97F95"/>
    <w:rsid w:val="00AA5F88"/>
    <w:rsid w:val="00AC24E6"/>
    <w:rsid w:val="00AC42EA"/>
    <w:rsid w:val="00AD1153"/>
    <w:rsid w:val="00AD2785"/>
    <w:rsid w:val="00AE5EAD"/>
    <w:rsid w:val="00AF4127"/>
    <w:rsid w:val="00B01353"/>
    <w:rsid w:val="00B016C5"/>
    <w:rsid w:val="00B13305"/>
    <w:rsid w:val="00B14528"/>
    <w:rsid w:val="00B16ADE"/>
    <w:rsid w:val="00B17F68"/>
    <w:rsid w:val="00B304D8"/>
    <w:rsid w:val="00B43885"/>
    <w:rsid w:val="00B47998"/>
    <w:rsid w:val="00B7127F"/>
    <w:rsid w:val="00B74548"/>
    <w:rsid w:val="00B75237"/>
    <w:rsid w:val="00B822B5"/>
    <w:rsid w:val="00B84E7C"/>
    <w:rsid w:val="00B85249"/>
    <w:rsid w:val="00B92394"/>
    <w:rsid w:val="00B9691D"/>
    <w:rsid w:val="00BA4EF7"/>
    <w:rsid w:val="00BB0FBE"/>
    <w:rsid w:val="00BB41AF"/>
    <w:rsid w:val="00BC1A25"/>
    <w:rsid w:val="00BC7270"/>
    <w:rsid w:val="00BD14FA"/>
    <w:rsid w:val="00BD760B"/>
    <w:rsid w:val="00BE7C46"/>
    <w:rsid w:val="00C0347E"/>
    <w:rsid w:val="00C03A41"/>
    <w:rsid w:val="00C04DBC"/>
    <w:rsid w:val="00C06F78"/>
    <w:rsid w:val="00C1737C"/>
    <w:rsid w:val="00C26AF0"/>
    <w:rsid w:val="00C36FE0"/>
    <w:rsid w:val="00C377BA"/>
    <w:rsid w:val="00C41003"/>
    <w:rsid w:val="00C41DF3"/>
    <w:rsid w:val="00C429D9"/>
    <w:rsid w:val="00C453F5"/>
    <w:rsid w:val="00C45F2E"/>
    <w:rsid w:val="00C552AA"/>
    <w:rsid w:val="00C6148E"/>
    <w:rsid w:val="00C63EEA"/>
    <w:rsid w:val="00C67DCD"/>
    <w:rsid w:val="00C761D4"/>
    <w:rsid w:val="00C82C0F"/>
    <w:rsid w:val="00C84791"/>
    <w:rsid w:val="00C85210"/>
    <w:rsid w:val="00C901CF"/>
    <w:rsid w:val="00C922A4"/>
    <w:rsid w:val="00CB632B"/>
    <w:rsid w:val="00CC2C25"/>
    <w:rsid w:val="00CC6CCF"/>
    <w:rsid w:val="00CC72C4"/>
    <w:rsid w:val="00CD0705"/>
    <w:rsid w:val="00CD11EE"/>
    <w:rsid w:val="00CD4C8F"/>
    <w:rsid w:val="00CD60B8"/>
    <w:rsid w:val="00CE2353"/>
    <w:rsid w:val="00CF34EB"/>
    <w:rsid w:val="00CF6D25"/>
    <w:rsid w:val="00CF70BF"/>
    <w:rsid w:val="00CF763C"/>
    <w:rsid w:val="00D009D8"/>
    <w:rsid w:val="00D106AE"/>
    <w:rsid w:val="00D17DFD"/>
    <w:rsid w:val="00D27EF5"/>
    <w:rsid w:val="00D32D0A"/>
    <w:rsid w:val="00D3305B"/>
    <w:rsid w:val="00D45AEB"/>
    <w:rsid w:val="00D45DA6"/>
    <w:rsid w:val="00D46B93"/>
    <w:rsid w:val="00D5293A"/>
    <w:rsid w:val="00D56601"/>
    <w:rsid w:val="00D60216"/>
    <w:rsid w:val="00D60EE0"/>
    <w:rsid w:val="00D62FC0"/>
    <w:rsid w:val="00D75B99"/>
    <w:rsid w:val="00D76AAE"/>
    <w:rsid w:val="00D77E80"/>
    <w:rsid w:val="00D8489F"/>
    <w:rsid w:val="00D852AE"/>
    <w:rsid w:val="00D8632B"/>
    <w:rsid w:val="00D8766D"/>
    <w:rsid w:val="00D909FA"/>
    <w:rsid w:val="00D93810"/>
    <w:rsid w:val="00D95D36"/>
    <w:rsid w:val="00DB5DD4"/>
    <w:rsid w:val="00DC4EB2"/>
    <w:rsid w:val="00DD05BE"/>
    <w:rsid w:val="00DD545E"/>
    <w:rsid w:val="00DE0892"/>
    <w:rsid w:val="00DE189F"/>
    <w:rsid w:val="00DE18E3"/>
    <w:rsid w:val="00DE19EA"/>
    <w:rsid w:val="00DE2555"/>
    <w:rsid w:val="00DE4EDB"/>
    <w:rsid w:val="00DF091E"/>
    <w:rsid w:val="00DF55B8"/>
    <w:rsid w:val="00E01EED"/>
    <w:rsid w:val="00E0668A"/>
    <w:rsid w:val="00E10B3B"/>
    <w:rsid w:val="00E14CC5"/>
    <w:rsid w:val="00E21E0D"/>
    <w:rsid w:val="00E22772"/>
    <w:rsid w:val="00E232A8"/>
    <w:rsid w:val="00E278CB"/>
    <w:rsid w:val="00E31967"/>
    <w:rsid w:val="00E31F3B"/>
    <w:rsid w:val="00E33928"/>
    <w:rsid w:val="00E33F8C"/>
    <w:rsid w:val="00E3633F"/>
    <w:rsid w:val="00E4070E"/>
    <w:rsid w:val="00E41F5D"/>
    <w:rsid w:val="00E43371"/>
    <w:rsid w:val="00E44933"/>
    <w:rsid w:val="00E56F85"/>
    <w:rsid w:val="00E71F88"/>
    <w:rsid w:val="00E737AF"/>
    <w:rsid w:val="00E73ED0"/>
    <w:rsid w:val="00E768E8"/>
    <w:rsid w:val="00E77561"/>
    <w:rsid w:val="00E83016"/>
    <w:rsid w:val="00E8665C"/>
    <w:rsid w:val="00E94118"/>
    <w:rsid w:val="00E96626"/>
    <w:rsid w:val="00EA6CE1"/>
    <w:rsid w:val="00EB6BFC"/>
    <w:rsid w:val="00EC1592"/>
    <w:rsid w:val="00EC4008"/>
    <w:rsid w:val="00ED2793"/>
    <w:rsid w:val="00ED28D8"/>
    <w:rsid w:val="00ED3AF6"/>
    <w:rsid w:val="00EE1A7D"/>
    <w:rsid w:val="00EE1C31"/>
    <w:rsid w:val="00EE217C"/>
    <w:rsid w:val="00EE4233"/>
    <w:rsid w:val="00EE5306"/>
    <w:rsid w:val="00EE657C"/>
    <w:rsid w:val="00EE68B5"/>
    <w:rsid w:val="00EE70EF"/>
    <w:rsid w:val="00EF37D5"/>
    <w:rsid w:val="00EF3AF5"/>
    <w:rsid w:val="00EF3CC5"/>
    <w:rsid w:val="00F00F00"/>
    <w:rsid w:val="00F045CC"/>
    <w:rsid w:val="00F10E3B"/>
    <w:rsid w:val="00F33E8D"/>
    <w:rsid w:val="00F34F29"/>
    <w:rsid w:val="00F358C7"/>
    <w:rsid w:val="00F401BA"/>
    <w:rsid w:val="00F4166D"/>
    <w:rsid w:val="00F428C1"/>
    <w:rsid w:val="00F42E1A"/>
    <w:rsid w:val="00F47FDE"/>
    <w:rsid w:val="00F54D41"/>
    <w:rsid w:val="00F745A7"/>
    <w:rsid w:val="00F74F57"/>
    <w:rsid w:val="00F77932"/>
    <w:rsid w:val="00F82327"/>
    <w:rsid w:val="00F83DA1"/>
    <w:rsid w:val="00F856AB"/>
    <w:rsid w:val="00F85F26"/>
    <w:rsid w:val="00FA77EB"/>
    <w:rsid w:val="00FB1864"/>
    <w:rsid w:val="00FB313A"/>
    <w:rsid w:val="00FB330B"/>
    <w:rsid w:val="00FB6C6C"/>
    <w:rsid w:val="00FC36D0"/>
    <w:rsid w:val="00FC44BC"/>
    <w:rsid w:val="00FC63DD"/>
    <w:rsid w:val="00FD1E70"/>
    <w:rsid w:val="00FD2D88"/>
    <w:rsid w:val="00FD58C6"/>
    <w:rsid w:val="00FE4288"/>
    <w:rsid w:val="00FE7776"/>
    <w:rsid w:val="00FF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1AC88"/>
  <w15:chartTrackingRefBased/>
  <w15:docId w15:val="{488BA174-D5DF-4D4F-A12C-84C92A14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8D5"/>
    <w:pPr>
      <w:keepNext/>
      <w:keepLines/>
      <w:numPr>
        <w:numId w:val="13"/>
      </w:numPr>
      <w:spacing w:after="0"/>
      <w:outlineLvl w:val="0"/>
    </w:pPr>
    <w:rPr>
      <w:rFonts w:ascii="Calibri" w:eastAsiaTheme="majorEastAsia" w:hAnsi="Calibr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78D5"/>
    <w:pPr>
      <w:keepNext/>
      <w:keepLines/>
      <w:numPr>
        <w:numId w:val="14"/>
      </w:numPr>
      <w:spacing w:after="0"/>
      <w:ind w:left="1008" w:hanging="504"/>
      <w:outlineLvl w:val="1"/>
    </w:pPr>
    <w:rPr>
      <w:rFonts w:ascii="Calibri" w:eastAsiaTheme="majorEastAsia" w:hAnsi="Calibri" w:cstheme="majorBidi"/>
      <w:b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A8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E42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42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42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D661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661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33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35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35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5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335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6D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D60"/>
  </w:style>
  <w:style w:type="paragraph" w:styleId="Footer">
    <w:name w:val="footer"/>
    <w:basedOn w:val="Normal"/>
    <w:link w:val="FooterChar"/>
    <w:uiPriority w:val="99"/>
    <w:unhideWhenUsed/>
    <w:rsid w:val="001C6D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D60"/>
  </w:style>
  <w:style w:type="paragraph" w:customStyle="1" w:styleId="ATHeading3">
    <w:name w:val="AT Heading 3"/>
    <w:basedOn w:val="Normal"/>
    <w:next w:val="Normal"/>
    <w:rsid w:val="00442BA4"/>
    <w:pPr>
      <w:keepNext/>
      <w:keepLines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table" w:styleId="TableGrid">
    <w:name w:val="Table Grid"/>
    <w:basedOn w:val="TableNormal"/>
    <w:uiPriority w:val="39"/>
    <w:rsid w:val="00830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5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DA6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27EF5"/>
    <w:rPr>
      <w:color w:val="605E5C"/>
      <w:shd w:val="clear" w:color="auto" w:fill="E1DFDD"/>
    </w:rPr>
  </w:style>
  <w:style w:type="character" w:customStyle="1" w:styleId="highlight">
    <w:name w:val="highlight"/>
    <w:basedOn w:val="DefaultParagraphFont"/>
    <w:rsid w:val="0007667D"/>
  </w:style>
  <w:style w:type="character" w:styleId="FollowedHyperlink">
    <w:name w:val="FollowedHyperlink"/>
    <w:basedOn w:val="DefaultParagraphFont"/>
    <w:uiPriority w:val="99"/>
    <w:semiHidden/>
    <w:unhideWhenUsed/>
    <w:rsid w:val="007F67F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F78D5"/>
    <w:rPr>
      <w:rFonts w:ascii="Calibri" w:eastAsiaTheme="majorEastAsia" w:hAnsi="Calibri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78D5"/>
    <w:rPr>
      <w:rFonts w:ascii="Calibri" w:eastAsiaTheme="majorEastAsia" w:hAnsi="Calibri" w:cstheme="majorBidi"/>
      <w:b/>
      <w:i/>
      <w:sz w:val="24"/>
      <w:szCs w:val="2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E5306"/>
    <w:rPr>
      <w:color w:val="605E5C"/>
      <w:shd w:val="clear" w:color="auto" w:fill="E1DFDD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8E7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1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hchr.org/Documents/Publications/GuidingPrinciplesBusinessHR_EN.pdf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hchr.org/Documents/Issues/Business/RtRInterpretativeGuide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usiness-access2remedy@ohchr.org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ohchr.org/Documents/Issues/Business/RtRInterpretativeGuide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13D6ED-B7EC-4DEE-8286-ED2D30D1B6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CD135E-E83C-4613-91FC-694BC57886FF}"/>
</file>

<file path=customXml/itemProps3.xml><?xml version="1.0" encoding="utf-8"?>
<ds:datastoreItem xmlns:ds="http://schemas.openxmlformats.org/officeDocument/2006/customXml" ds:itemID="{F5E94445-6423-486F-90D3-117A3602459B}"/>
</file>

<file path=customXml/itemProps4.xml><?xml version="1.0" encoding="utf-8"?>
<ds:datastoreItem xmlns:ds="http://schemas.openxmlformats.org/officeDocument/2006/customXml" ds:itemID="{8C96183A-2F93-420B-9630-7B6DC1EAB8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1829</Words>
  <Characters>10426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Zerk</dc:creator>
  <cp:keywords/>
  <dc:description/>
  <cp:lastModifiedBy>SHEA Benjamin</cp:lastModifiedBy>
  <cp:revision>4</cp:revision>
  <cp:lastPrinted>2021-07-02T11:02:00Z</cp:lastPrinted>
  <dcterms:created xsi:type="dcterms:W3CDTF">2021-07-12T07:13:00Z</dcterms:created>
  <dcterms:modified xsi:type="dcterms:W3CDTF">2021-07-12T08:51:00Z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