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57" w:rsidRPr="002559A8" w:rsidRDefault="00A57A57" w:rsidP="00EF0386">
      <w:pPr>
        <w:widowControl w:val="0"/>
        <w:spacing w:before="120" w:after="120"/>
        <w:rPr>
          <w:rFonts w:ascii="Times New Roman" w:hAnsi="Times New Roman"/>
          <w:sz w:val="24"/>
          <w:szCs w:val="24"/>
          <w:lang w:val="en-GB"/>
        </w:rPr>
      </w:pPr>
      <w:bookmarkStart w:id="0" w:name="_GoBack"/>
      <w:bookmarkEnd w:id="0"/>
    </w:p>
    <w:p w:rsidR="00A57A57" w:rsidRPr="002559A8" w:rsidRDefault="00A57A57" w:rsidP="00EF0386">
      <w:pPr>
        <w:widowControl w:val="0"/>
        <w:spacing w:before="120" w:after="120"/>
        <w:rPr>
          <w:rFonts w:ascii="Times New Roman" w:hAnsi="Times New Roman"/>
          <w:sz w:val="24"/>
          <w:szCs w:val="24"/>
          <w:lang w:val="en-GB"/>
        </w:rPr>
      </w:pPr>
    </w:p>
    <w:p w:rsidR="00A57A57" w:rsidRPr="002559A8" w:rsidRDefault="00A57A57" w:rsidP="00EF0386">
      <w:pPr>
        <w:widowControl w:val="0"/>
        <w:spacing w:before="120" w:after="120"/>
        <w:rPr>
          <w:rFonts w:ascii="Times New Roman" w:hAnsi="Times New Roman"/>
          <w:sz w:val="24"/>
          <w:szCs w:val="24"/>
          <w:lang w:val="en-GB"/>
        </w:rPr>
      </w:pPr>
    </w:p>
    <w:p w:rsidR="00A57A57" w:rsidRPr="002559A8" w:rsidRDefault="00573FEF" w:rsidP="00EF0386">
      <w:pPr>
        <w:widowControl w:val="0"/>
        <w:spacing w:before="120" w:after="120"/>
        <w:jc w:val="center"/>
        <w:rPr>
          <w:rFonts w:ascii="Times New Roman" w:hAnsi="Times New Roman"/>
          <w:b/>
          <w:sz w:val="24"/>
          <w:szCs w:val="24"/>
          <w:lang w:val="en-GB"/>
        </w:rPr>
      </w:pPr>
      <w:r>
        <w:rPr>
          <w:noProof/>
          <w:lang w:val="en-GB" w:eastAsia="en-GB"/>
        </w:rPr>
        <w:drawing>
          <wp:anchor distT="0" distB="0" distL="114300" distR="114300" simplePos="0" relativeHeight="251658240" behindDoc="1" locked="0" layoutInCell="0" allowOverlap="1">
            <wp:simplePos x="0" y="0"/>
            <wp:positionH relativeFrom="column">
              <wp:posOffset>2514600</wp:posOffset>
            </wp:positionH>
            <wp:positionV relativeFrom="paragraph">
              <wp:posOffset>-636905</wp:posOffset>
            </wp:positionV>
            <wp:extent cx="1143000"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723900"/>
                    </a:xfrm>
                    <a:prstGeom prst="rect">
                      <a:avLst/>
                    </a:prstGeom>
                    <a:noFill/>
                  </pic:spPr>
                </pic:pic>
              </a:graphicData>
            </a:graphic>
            <wp14:sizeRelH relativeFrom="page">
              <wp14:pctWidth>0</wp14:pctWidth>
            </wp14:sizeRelH>
            <wp14:sizeRelV relativeFrom="page">
              <wp14:pctHeight>0</wp14:pctHeight>
            </wp14:sizeRelV>
          </wp:anchor>
        </w:drawing>
      </w:r>
    </w:p>
    <w:p w:rsidR="00A57A57" w:rsidRPr="002559A8" w:rsidRDefault="00A57A57" w:rsidP="00EF0386">
      <w:pPr>
        <w:spacing w:before="120" w:after="120"/>
        <w:jc w:val="center"/>
        <w:outlineLvl w:val="0"/>
        <w:rPr>
          <w:rFonts w:ascii="Times New Roman" w:hAnsi="Times New Roman"/>
          <w:b/>
          <w:sz w:val="24"/>
          <w:szCs w:val="24"/>
          <w:lang w:val="en-GB"/>
        </w:rPr>
      </w:pPr>
      <w:r w:rsidRPr="002559A8">
        <w:rPr>
          <w:rFonts w:ascii="Times New Roman" w:hAnsi="Times New Roman"/>
          <w:b/>
          <w:sz w:val="24"/>
          <w:szCs w:val="24"/>
          <w:lang w:val="en-GB"/>
        </w:rPr>
        <w:t>European Union</w:t>
      </w:r>
    </w:p>
    <w:p w:rsidR="00A57A57" w:rsidRPr="002559A8" w:rsidRDefault="00A57A57" w:rsidP="00EF0386">
      <w:pPr>
        <w:spacing w:before="120" w:after="120"/>
        <w:jc w:val="center"/>
        <w:outlineLvl w:val="0"/>
        <w:rPr>
          <w:rFonts w:ascii="Times New Roman" w:hAnsi="Times New Roman"/>
          <w:b/>
          <w:sz w:val="24"/>
          <w:szCs w:val="24"/>
          <w:lang w:val="en-GB"/>
        </w:rPr>
      </w:pPr>
    </w:p>
    <w:p w:rsidR="00A57A57" w:rsidRPr="002559A8" w:rsidRDefault="00A57A57" w:rsidP="00EF0386">
      <w:pPr>
        <w:spacing w:before="120" w:after="120" w:line="360" w:lineRule="auto"/>
        <w:jc w:val="center"/>
        <w:rPr>
          <w:rFonts w:ascii="Times New Roman" w:hAnsi="Times New Roman"/>
          <w:b/>
          <w:sz w:val="24"/>
          <w:szCs w:val="24"/>
          <w:lang w:val="en-GB"/>
        </w:rPr>
      </w:pPr>
      <w:r w:rsidRPr="002559A8">
        <w:rPr>
          <w:rFonts w:ascii="Times New Roman" w:hAnsi="Times New Roman"/>
          <w:b/>
          <w:sz w:val="24"/>
          <w:szCs w:val="24"/>
          <w:lang w:val="en-GB"/>
        </w:rPr>
        <w:t>UNITED NATIONS HUMAN RIGHTS COUNCIL</w:t>
      </w:r>
    </w:p>
    <w:p w:rsidR="00A57A57" w:rsidRPr="002559A8" w:rsidRDefault="00A57A57" w:rsidP="00EF0386">
      <w:pPr>
        <w:spacing w:before="120" w:after="120" w:line="360" w:lineRule="auto"/>
        <w:jc w:val="center"/>
        <w:rPr>
          <w:rFonts w:ascii="Times New Roman" w:hAnsi="Times New Roman"/>
          <w:b/>
          <w:sz w:val="24"/>
          <w:szCs w:val="24"/>
          <w:lang w:val="en-GB"/>
        </w:rPr>
      </w:pPr>
      <w:r>
        <w:rPr>
          <w:rFonts w:ascii="Times New Roman" w:hAnsi="Times New Roman"/>
          <w:b/>
          <w:sz w:val="24"/>
          <w:szCs w:val="24"/>
          <w:lang w:val="en-GB"/>
        </w:rPr>
        <w:t>Forum on Business and Human Rights</w:t>
      </w:r>
    </w:p>
    <w:p w:rsidR="00A57A57" w:rsidRPr="002559A8" w:rsidRDefault="00A57A57" w:rsidP="00EF0386">
      <w:pPr>
        <w:spacing w:before="120" w:after="120" w:line="360" w:lineRule="auto"/>
        <w:jc w:val="center"/>
        <w:rPr>
          <w:rFonts w:ascii="Times New Roman" w:hAnsi="Times New Roman"/>
          <w:b/>
          <w:sz w:val="24"/>
          <w:szCs w:val="24"/>
          <w:lang w:val="en-GB"/>
        </w:rPr>
      </w:pPr>
      <w:r>
        <w:rPr>
          <w:rFonts w:ascii="Times New Roman" w:hAnsi="Times New Roman"/>
          <w:b/>
          <w:sz w:val="24"/>
          <w:szCs w:val="24"/>
          <w:lang w:val="en-GB"/>
        </w:rPr>
        <w:t>(3-4 December 2013)</w:t>
      </w:r>
    </w:p>
    <w:p w:rsidR="00A57A57" w:rsidRDefault="00A57A57" w:rsidP="00EF0386">
      <w:pPr>
        <w:spacing w:before="120" w:after="120" w:line="360" w:lineRule="auto"/>
        <w:jc w:val="center"/>
        <w:rPr>
          <w:rFonts w:ascii="Times New Roman" w:hAnsi="Times New Roman"/>
          <w:b/>
          <w:sz w:val="24"/>
          <w:szCs w:val="24"/>
          <w:lang w:val="en-GB"/>
        </w:rPr>
      </w:pPr>
    </w:p>
    <w:p w:rsidR="00A57A57" w:rsidRDefault="00A57A57" w:rsidP="00EF0386">
      <w:pPr>
        <w:spacing w:before="120" w:after="120" w:line="360" w:lineRule="auto"/>
        <w:jc w:val="center"/>
        <w:rPr>
          <w:rFonts w:ascii="Times New Roman" w:hAnsi="Times New Roman"/>
          <w:b/>
          <w:sz w:val="24"/>
          <w:szCs w:val="24"/>
          <w:lang w:val="en-GB"/>
        </w:rPr>
      </w:pPr>
    </w:p>
    <w:p w:rsidR="00A57A57" w:rsidRDefault="00A57A57" w:rsidP="00EF0386">
      <w:pPr>
        <w:spacing w:before="120" w:after="120" w:line="360" w:lineRule="auto"/>
        <w:jc w:val="center"/>
        <w:rPr>
          <w:rFonts w:ascii="Times New Roman" w:hAnsi="Times New Roman"/>
          <w:b/>
          <w:sz w:val="24"/>
          <w:szCs w:val="24"/>
          <w:lang w:val="en-GB"/>
        </w:rPr>
      </w:pPr>
    </w:p>
    <w:p w:rsidR="00A57A57" w:rsidRDefault="00A57A57" w:rsidP="00EF0386">
      <w:pPr>
        <w:spacing w:before="120" w:after="120" w:line="360" w:lineRule="auto"/>
        <w:jc w:val="center"/>
        <w:rPr>
          <w:rFonts w:ascii="Times New Roman" w:hAnsi="Times New Roman"/>
          <w:b/>
          <w:sz w:val="24"/>
          <w:szCs w:val="24"/>
          <w:lang w:val="en-GB"/>
        </w:rPr>
      </w:pPr>
    </w:p>
    <w:p w:rsidR="00A57A57" w:rsidRPr="002559A8" w:rsidRDefault="00A57A57" w:rsidP="00EF0386">
      <w:pPr>
        <w:spacing w:before="120" w:after="120" w:line="360" w:lineRule="auto"/>
        <w:jc w:val="center"/>
        <w:rPr>
          <w:rFonts w:ascii="Times New Roman" w:hAnsi="Times New Roman"/>
          <w:b/>
          <w:sz w:val="24"/>
          <w:szCs w:val="24"/>
          <w:lang w:val="en-GB"/>
        </w:rPr>
      </w:pPr>
    </w:p>
    <w:p w:rsidR="00A57A57" w:rsidRDefault="00A57A57" w:rsidP="00EF0386">
      <w:pPr>
        <w:spacing w:before="120" w:after="120" w:line="360" w:lineRule="auto"/>
        <w:jc w:val="center"/>
        <w:rPr>
          <w:rFonts w:ascii="Times New Roman" w:hAnsi="Times New Roman"/>
          <w:b/>
          <w:sz w:val="24"/>
          <w:szCs w:val="24"/>
          <w:lang w:val="en-GB"/>
        </w:rPr>
      </w:pPr>
    </w:p>
    <w:p w:rsidR="00B301F4" w:rsidRPr="002559A8" w:rsidRDefault="00B301F4" w:rsidP="00EF0386">
      <w:pPr>
        <w:spacing w:before="120" w:after="120" w:line="360" w:lineRule="auto"/>
        <w:jc w:val="center"/>
        <w:rPr>
          <w:rFonts w:ascii="Times New Roman" w:hAnsi="Times New Roman"/>
          <w:b/>
          <w:sz w:val="24"/>
          <w:szCs w:val="24"/>
          <w:lang w:val="en-GB"/>
        </w:rPr>
      </w:pPr>
    </w:p>
    <w:p w:rsidR="00A57A57" w:rsidRPr="002559A8" w:rsidRDefault="00A57A57" w:rsidP="00EF0386">
      <w:pPr>
        <w:spacing w:before="120" w:after="120"/>
        <w:jc w:val="center"/>
        <w:rPr>
          <w:rFonts w:ascii="Times New Roman" w:hAnsi="Times New Roman"/>
          <w:b/>
          <w:sz w:val="24"/>
          <w:szCs w:val="24"/>
          <w:lang w:val="en-GB"/>
        </w:rPr>
      </w:pPr>
    </w:p>
    <w:p w:rsidR="00A57A57" w:rsidRPr="002559A8" w:rsidRDefault="00A57A57" w:rsidP="00EF0386">
      <w:pPr>
        <w:spacing w:before="120" w:after="120"/>
        <w:jc w:val="center"/>
        <w:rPr>
          <w:rFonts w:ascii="Times New Roman" w:hAnsi="Times New Roman"/>
          <w:b/>
          <w:sz w:val="24"/>
          <w:szCs w:val="24"/>
          <w:lang w:val="en-GB"/>
        </w:rPr>
      </w:pPr>
    </w:p>
    <w:p w:rsidR="00A57A57" w:rsidRDefault="00A57A57" w:rsidP="00EF0386">
      <w:pPr>
        <w:spacing w:before="120" w:after="120"/>
        <w:jc w:val="center"/>
        <w:rPr>
          <w:rFonts w:ascii="Times New Roman" w:hAnsi="Times New Roman"/>
          <w:b/>
          <w:sz w:val="24"/>
          <w:szCs w:val="24"/>
          <w:lang w:val="en-GB"/>
        </w:rPr>
      </w:pPr>
    </w:p>
    <w:p w:rsidR="00A57A57" w:rsidRDefault="00A57A57" w:rsidP="00EF0386">
      <w:pPr>
        <w:spacing w:before="120" w:after="120"/>
        <w:jc w:val="center"/>
        <w:rPr>
          <w:rFonts w:ascii="Times New Roman" w:hAnsi="Times New Roman"/>
          <w:b/>
          <w:sz w:val="24"/>
          <w:szCs w:val="24"/>
          <w:lang w:val="en-GB"/>
        </w:rPr>
      </w:pPr>
    </w:p>
    <w:p w:rsidR="00A57A57" w:rsidRPr="002559A8" w:rsidRDefault="00A57A57" w:rsidP="00EF0386">
      <w:pPr>
        <w:spacing w:before="120" w:after="120"/>
        <w:jc w:val="center"/>
        <w:rPr>
          <w:rFonts w:ascii="Times New Roman" w:hAnsi="Times New Roman"/>
          <w:b/>
          <w:sz w:val="24"/>
          <w:szCs w:val="24"/>
          <w:lang w:val="en-GB"/>
        </w:rPr>
      </w:pPr>
    </w:p>
    <w:p w:rsidR="006E3846" w:rsidRDefault="00A57A57" w:rsidP="00EF0386">
      <w:pPr>
        <w:spacing w:before="120" w:after="120"/>
        <w:jc w:val="center"/>
        <w:outlineLvl w:val="0"/>
        <w:rPr>
          <w:rFonts w:ascii="Times New Roman" w:hAnsi="Times New Roman"/>
          <w:b/>
          <w:sz w:val="24"/>
          <w:szCs w:val="24"/>
          <w:lang w:val="en-GB"/>
        </w:rPr>
      </w:pPr>
      <w:r w:rsidRPr="002559A8">
        <w:rPr>
          <w:rFonts w:ascii="Times New Roman" w:hAnsi="Times New Roman"/>
          <w:b/>
          <w:sz w:val="24"/>
          <w:szCs w:val="24"/>
          <w:lang w:val="en-GB"/>
        </w:rPr>
        <w:t>Geneva</w:t>
      </w:r>
      <w:proofErr w:type="gramStart"/>
      <w:r w:rsidRPr="002559A8">
        <w:rPr>
          <w:rFonts w:ascii="Times New Roman" w:hAnsi="Times New Roman"/>
          <w:b/>
          <w:sz w:val="24"/>
          <w:szCs w:val="24"/>
          <w:lang w:val="en-GB"/>
        </w:rPr>
        <w:t xml:space="preserve">,  </w:t>
      </w:r>
      <w:r>
        <w:rPr>
          <w:rFonts w:ascii="Times New Roman" w:hAnsi="Times New Roman"/>
          <w:b/>
          <w:sz w:val="24"/>
          <w:szCs w:val="24"/>
          <w:lang w:val="en-GB"/>
        </w:rPr>
        <w:t>3</w:t>
      </w:r>
      <w:proofErr w:type="gramEnd"/>
      <w:r>
        <w:rPr>
          <w:rFonts w:ascii="Times New Roman" w:hAnsi="Times New Roman"/>
          <w:b/>
          <w:sz w:val="24"/>
          <w:szCs w:val="24"/>
          <w:lang w:val="en-GB"/>
        </w:rPr>
        <w:t xml:space="preserve"> December 2013</w:t>
      </w:r>
      <w:r w:rsidRPr="002559A8">
        <w:rPr>
          <w:rFonts w:ascii="Times New Roman" w:hAnsi="Times New Roman"/>
          <w:b/>
          <w:sz w:val="24"/>
          <w:szCs w:val="24"/>
          <w:lang w:val="en-GB"/>
        </w:rPr>
        <w:br/>
      </w:r>
    </w:p>
    <w:p w:rsidR="006E3846" w:rsidRDefault="006E3846" w:rsidP="00EF0386">
      <w:pPr>
        <w:spacing w:before="120" w:after="120"/>
        <w:jc w:val="center"/>
        <w:outlineLvl w:val="0"/>
        <w:rPr>
          <w:rFonts w:ascii="Times New Roman" w:hAnsi="Times New Roman"/>
          <w:b/>
          <w:sz w:val="24"/>
          <w:szCs w:val="24"/>
          <w:lang w:val="en-GB"/>
        </w:rPr>
      </w:pPr>
    </w:p>
    <w:p w:rsidR="00A57A57" w:rsidRPr="002559A8" w:rsidRDefault="00A57A57" w:rsidP="00EF0386">
      <w:pPr>
        <w:spacing w:before="120" w:after="120"/>
        <w:jc w:val="center"/>
        <w:outlineLvl w:val="0"/>
        <w:rPr>
          <w:rFonts w:ascii="Times New Roman" w:hAnsi="Times New Roman"/>
          <w:b/>
          <w:sz w:val="24"/>
          <w:szCs w:val="24"/>
          <w:lang w:val="en-GB"/>
        </w:rPr>
      </w:pPr>
      <w:r w:rsidRPr="002559A8">
        <w:rPr>
          <w:rFonts w:ascii="Times New Roman" w:hAnsi="Times New Roman"/>
          <w:b/>
          <w:sz w:val="24"/>
          <w:szCs w:val="24"/>
          <w:lang w:val="en-GB"/>
        </w:rPr>
        <w:br/>
      </w:r>
    </w:p>
    <w:p w:rsidR="00A57A57" w:rsidRDefault="00A57A57" w:rsidP="00EF0386">
      <w:pPr>
        <w:spacing w:before="120" w:after="120"/>
        <w:jc w:val="center"/>
        <w:rPr>
          <w:rFonts w:ascii="Times New Roman" w:hAnsi="Times New Roman"/>
          <w:b/>
          <w:sz w:val="24"/>
          <w:szCs w:val="24"/>
          <w:lang w:val="en-GB"/>
        </w:rPr>
      </w:pPr>
      <w:r w:rsidRPr="002559A8">
        <w:rPr>
          <w:rFonts w:ascii="Times New Roman" w:hAnsi="Times New Roman"/>
          <w:b/>
          <w:sz w:val="24"/>
          <w:szCs w:val="24"/>
          <w:lang w:val="en-GB"/>
        </w:rPr>
        <w:t xml:space="preserve">- CHECK AGAINST DELIVERY </w:t>
      </w:r>
      <w:r w:rsidR="009F73B8">
        <w:rPr>
          <w:rFonts w:ascii="Times New Roman" w:hAnsi="Times New Roman"/>
          <w:b/>
          <w:sz w:val="24"/>
          <w:szCs w:val="24"/>
          <w:lang w:val="en-GB"/>
        </w:rPr>
        <w:t>–</w:t>
      </w:r>
      <w:r w:rsidRPr="002559A8">
        <w:rPr>
          <w:rFonts w:ascii="Times New Roman" w:hAnsi="Times New Roman"/>
          <w:b/>
          <w:sz w:val="24"/>
          <w:szCs w:val="24"/>
          <w:lang w:val="en-GB"/>
        </w:rPr>
        <w:t xml:space="preserve"> </w:t>
      </w:r>
    </w:p>
    <w:p w:rsidR="009F73B8" w:rsidRPr="002559A8" w:rsidRDefault="009F73B8" w:rsidP="00EF0386">
      <w:pPr>
        <w:spacing w:before="120" w:after="120"/>
        <w:jc w:val="center"/>
        <w:rPr>
          <w:rFonts w:ascii="Times New Roman" w:hAnsi="Times New Roman"/>
          <w:sz w:val="24"/>
          <w:szCs w:val="24"/>
          <w:lang w:val="en-GB"/>
        </w:rPr>
      </w:pPr>
    </w:p>
    <w:p w:rsidR="00A57A57" w:rsidRPr="008E042F" w:rsidRDefault="00A57A57" w:rsidP="008E042F">
      <w:pPr>
        <w:pStyle w:val="NormalWeb"/>
        <w:spacing w:before="120" w:beforeAutospacing="0" w:after="120" w:afterAutospacing="0" w:line="320" w:lineRule="atLeast"/>
        <w:jc w:val="center"/>
        <w:rPr>
          <w:b/>
        </w:rPr>
      </w:pPr>
      <w:r w:rsidRPr="008E042F">
        <w:rPr>
          <w:b/>
        </w:rPr>
        <w:lastRenderedPageBreak/>
        <w:t xml:space="preserve">UNITED NATIONS </w:t>
      </w:r>
      <w:r w:rsidRPr="008E042F">
        <w:rPr>
          <w:b/>
        </w:rPr>
        <w:br/>
        <w:t>HUMAN RIGHTS COUNCIL</w:t>
      </w:r>
    </w:p>
    <w:p w:rsidR="00A57A57" w:rsidRPr="008E042F" w:rsidRDefault="00A57A57" w:rsidP="008E042F">
      <w:pPr>
        <w:pStyle w:val="NormalWeb"/>
        <w:spacing w:before="120" w:beforeAutospacing="0" w:after="120" w:afterAutospacing="0" w:line="320" w:lineRule="atLeast"/>
        <w:jc w:val="center"/>
        <w:rPr>
          <w:b/>
        </w:rPr>
      </w:pPr>
      <w:r w:rsidRPr="008E042F">
        <w:rPr>
          <w:b/>
        </w:rPr>
        <w:t>Forum on Business and Human Rights</w:t>
      </w:r>
    </w:p>
    <w:p w:rsidR="00A57A57" w:rsidRPr="008E042F" w:rsidRDefault="00A57A57" w:rsidP="008E042F">
      <w:pPr>
        <w:pStyle w:val="NormalWeb"/>
        <w:spacing w:before="120" w:beforeAutospacing="0" w:after="120" w:afterAutospacing="0" w:line="320" w:lineRule="atLeast"/>
        <w:jc w:val="center"/>
        <w:rPr>
          <w:b/>
        </w:rPr>
      </w:pPr>
      <w:r w:rsidRPr="008E042F">
        <w:rPr>
          <w:b/>
        </w:rPr>
        <w:t>(3-4 December 2013)</w:t>
      </w:r>
    </w:p>
    <w:p w:rsidR="00A57A57" w:rsidRPr="008E042F" w:rsidRDefault="00A57A57" w:rsidP="008E042F">
      <w:pPr>
        <w:pStyle w:val="NormalWeb"/>
        <w:spacing w:before="120" w:beforeAutospacing="0" w:after="120" w:afterAutospacing="0" w:line="320" w:lineRule="atLeast"/>
        <w:jc w:val="center"/>
        <w:rPr>
          <w:b/>
        </w:rPr>
      </w:pPr>
    </w:p>
    <w:p w:rsidR="00A57A57" w:rsidRPr="008E042F" w:rsidRDefault="00A57A57" w:rsidP="008E042F">
      <w:pPr>
        <w:rPr>
          <w:rFonts w:ascii="Times New Roman" w:hAnsi="Times New Roman"/>
          <w:sz w:val="24"/>
          <w:szCs w:val="24"/>
          <w:lang w:val="en-US"/>
        </w:rPr>
      </w:pPr>
    </w:p>
    <w:p w:rsidR="00A57A57" w:rsidRPr="008E042F" w:rsidRDefault="00A57A57" w:rsidP="008E042F">
      <w:pPr>
        <w:rPr>
          <w:rFonts w:ascii="Times New Roman" w:hAnsi="Times New Roman"/>
          <w:sz w:val="24"/>
          <w:szCs w:val="24"/>
          <w:lang w:val="en-US"/>
        </w:rPr>
      </w:pPr>
      <w:r w:rsidRPr="008E042F">
        <w:rPr>
          <w:rFonts w:ascii="Times New Roman" w:hAnsi="Times New Roman"/>
          <w:sz w:val="24"/>
          <w:szCs w:val="24"/>
          <w:lang w:val="en-US"/>
        </w:rPr>
        <w:t>Mr Chair,</w:t>
      </w:r>
    </w:p>
    <w:p w:rsidR="00A57A57" w:rsidRPr="008E042F" w:rsidRDefault="00A57A57" w:rsidP="008E042F">
      <w:pPr>
        <w:spacing w:line="360" w:lineRule="auto"/>
        <w:jc w:val="both"/>
        <w:rPr>
          <w:rFonts w:ascii="Times New Roman" w:hAnsi="Times New Roman"/>
          <w:sz w:val="24"/>
          <w:szCs w:val="24"/>
          <w:lang w:val="en-US"/>
        </w:rPr>
      </w:pPr>
      <w:r w:rsidRPr="008E042F">
        <w:rPr>
          <w:rFonts w:ascii="Times New Roman" w:hAnsi="Times New Roman"/>
          <w:sz w:val="24"/>
          <w:szCs w:val="24"/>
          <w:lang w:val="en-US"/>
        </w:rPr>
        <w:t>On behalf of the E</w:t>
      </w:r>
      <w:r>
        <w:rPr>
          <w:rFonts w:ascii="Times New Roman" w:hAnsi="Times New Roman"/>
          <w:sz w:val="24"/>
          <w:szCs w:val="24"/>
          <w:lang w:val="en-US"/>
        </w:rPr>
        <w:t>uropean Union</w:t>
      </w:r>
      <w:r w:rsidRPr="008E042F">
        <w:rPr>
          <w:rFonts w:ascii="Times New Roman" w:hAnsi="Times New Roman"/>
          <w:sz w:val="24"/>
          <w:szCs w:val="24"/>
          <w:lang w:val="en-US"/>
        </w:rPr>
        <w:t>, I wish to thank</w:t>
      </w:r>
      <w:r>
        <w:rPr>
          <w:rFonts w:ascii="Times New Roman" w:hAnsi="Times New Roman"/>
          <w:sz w:val="24"/>
          <w:szCs w:val="24"/>
          <w:lang w:val="en-US"/>
        </w:rPr>
        <w:t xml:space="preserve"> </w:t>
      </w:r>
      <w:r w:rsidRPr="008E042F">
        <w:rPr>
          <w:rFonts w:ascii="Times New Roman" w:hAnsi="Times New Roman"/>
          <w:sz w:val="24"/>
          <w:szCs w:val="24"/>
          <w:lang w:val="en-US"/>
        </w:rPr>
        <w:t>the Working G</w:t>
      </w:r>
      <w:r>
        <w:rPr>
          <w:rFonts w:ascii="Times New Roman" w:hAnsi="Times New Roman"/>
          <w:sz w:val="24"/>
          <w:szCs w:val="24"/>
          <w:lang w:val="en-US"/>
        </w:rPr>
        <w:t>roup for the organization of this second</w:t>
      </w:r>
      <w:r w:rsidRPr="008E042F">
        <w:rPr>
          <w:rFonts w:ascii="Times New Roman" w:hAnsi="Times New Roman"/>
          <w:sz w:val="24"/>
          <w:szCs w:val="24"/>
          <w:lang w:val="en-US"/>
        </w:rPr>
        <w:t xml:space="preserve"> Forum</w:t>
      </w:r>
      <w:r>
        <w:rPr>
          <w:rFonts w:ascii="Times New Roman" w:hAnsi="Times New Roman"/>
          <w:sz w:val="24"/>
          <w:szCs w:val="24"/>
          <w:lang w:val="en-US"/>
        </w:rPr>
        <w:t xml:space="preserve"> on Business and Human Rights, and</w:t>
      </w:r>
      <w:r w:rsidRPr="008E042F">
        <w:rPr>
          <w:rFonts w:ascii="Times New Roman" w:hAnsi="Times New Roman"/>
          <w:sz w:val="24"/>
          <w:szCs w:val="24"/>
          <w:lang w:val="en-US"/>
        </w:rPr>
        <w:t xml:space="preserve"> the Office of the High Commissioner </w:t>
      </w:r>
      <w:r>
        <w:rPr>
          <w:rFonts w:ascii="Times New Roman" w:hAnsi="Times New Roman"/>
          <w:sz w:val="24"/>
          <w:szCs w:val="24"/>
          <w:lang w:val="en-US"/>
        </w:rPr>
        <w:t>for Human Rights for its support</w:t>
      </w:r>
      <w:r w:rsidRPr="008E042F">
        <w:rPr>
          <w:rFonts w:ascii="Times New Roman" w:hAnsi="Times New Roman"/>
          <w:sz w:val="24"/>
          <w:szCs w:val="24"/>
          <w:lang w:val="en-US"/>
        </w:rPr>
        <w:t xml:space="preserve">. We would also like to thank the core group, </w:t>
      </w:r>
      <w:smartTag w:uri="urn:schemas-microsoft-com:office:smarttags" w:element="country-region">
        <w:r w:rsidRPr="008E042F">
          <w:rPr>
            <w:rFonts w:ascii="Times New Roman" w:hAnsi="Times New Roman"/>
            <w:sz w:val="24"/>
            <w:szCs w:val="24"/>
            <w:lang w:val="en-US"/>
          </w:rPr>
          <w:t>Argentina</w:t>
        </w:r>
      </w:smartTag>
      <w:r w:rsidRPr="008E042F">
        <w:rPr>
          <w:rFonts w:ascii="Times New Roman" w:hAnsi="Times New Roman"/>
          <w:sz w:val="24"/>
          <w:szCs w:val="24"/>
          <w:lang w:val="en-US"/>
        </w:rPr>
        <w:t xml:space="preserve">, </w:t>
      </w:r>
      <w:smartTag w:uri="urn:schemas-microsoft-com:office:smarttags" w:element="country-region">
        <w:r w:rsidRPr="008E042F">
          <w:rPr>
            <w:rFonts w:ascii="Times New Roman" w:hAnsi="Times New Roman"/>
            <w:sz w:val="24"/>
            <w:szCs w:val="24"/>
            <w:lang w:val="en-US"/>
          </w:rPr>
          <w:t>Ghana</w:t>
        </w:r>
      </w:smartTag>
      <w:r w:rsidRPr="008E042F">
        <w:rPr>
          <w:rFonts w:ascii="Times New Roman" w:hAnsi="Times New Roman"/>
          <w:sz w:val="24"/>
          <w:szCs w:val="24"/>
          <w:lang w:val="en-US"/>
        </w:rPr>
        <w:t xml:space="preserve">, </w:t>
      </w:r>
      <w:smartTag w:uri="urn:schemas-microsoft-com:office:smarttags" w:element="country-region">
        <w:r w:rsidRPr="008E042F">
          <w:rPr>
            <w:rFonts w:ascii="Times New Roman" w:hAnsi="Times New Roman"/>
            <w:sz w:val="24"/>
            <w:szCs w:val="24"/>
            <w:lang w:val="en-US"/>
          </w:rPr>
          <w:t>India</w:t>
        </w:r>
      </w:smartTag>
      <w:r w:rsidRPr="008E042F">
        <w:rPr>
          <w:rFonts w:ascii="Times New Roman" w:hAnsi="Times New Roman"/>
          <w:sz w:val="24"/>
          <w:szCs w:val="24"/>
          <w:lang w:val="en-US"/>
        </w:rPr>
        <w:t xml:space="preserve">, </w:t>
      </w:r>
      <w:smartTag w:uri="urn:schemas-microsoft-com:office:smarttags" w:element="country-region">
        <w:r w:rsidRPr="008E042F">
          <w:rPr>
            <w:rFonts w:ascii="Times New Roman" w:hAnsi="Times New Roman"/>
            <w:sz w:val="24"/>
            <w:szCs w:val="24"/>
            <w:lang w:val="en-US"/>
          </w:rPr>
          <w:t>Norway</w:t>
        </w:r>
      </w:smartTag>
      <w:r w:rsidRPr="008E042F">
        <w:rPr>
          <w:rFonts w:ascii="Times New Roman" w:hAnsi="Times New Roman"/>
          <w:sz w:val="24"/>
          <w:szCs w:val="24"/>
          <w:lang w:val="en-US"/>
        </w:rPr>
        <w:t xml:space="preserve"> and the </w:t>
      </w:r>
      <w:smartTag w:uri="urn:schemas-microsoft-com:office:smarttags" w:element="place">
        <w:smartTag w:uri="urn:schemas-microsoft-com:office:smarttags" w:element="country-region">
          <w:r w:rsidRPr="008E042F">
            <w:rPr>
              <w:rFonts w:ascii="Times New Roman" w:hAnsi="Times New Roman"/>
              <w:sz w:val="24"/>
              <w:szCs w:val="24"/>
              <w:lang w:val="en-US"/>
            </w:rPr>
            <w:t>Russian Federation</w:t>
          </w:r>
        </w:smartTag>
      </w:smartTag>
      <w:r w:rsidRPr="008E042F">
        <w:rPr>
          <w:rFonts w:ascii="Times New Roman" w:hAnsi="Times New Roman"/>
          <w:sz w:val="24"/>
          <w:szCs w:val="24"/>
          <w:lang w:val="en-US"/>
        </w:rPr>
        <w:t>, for their continuing efforts to drive the process on business and human rights in the Human Rights Council.</w:t>
      </w:r>
    </w:p>
    <w:p w:rsidR="00A57A57" w:rsidRPr="008E042F" w:rsidRDefault="00A57A57" w:rsidP="008E042F">
      <w:pPr>
        <w:spacing w:line="360" w:lineRule="auto"/>
        <w:jc w:val="both"/>
        <w:outlineLvl w:val="0"/>
        <w:rPr>
          <w:rFonts w:ascii="Times New Roman" w:hAnsi="Times New Roman"/>
          <w:sz w:val="24"/>
          <w:szCs w:val="24"/>
          <w:lang w:val="en-US"/>
        </w:rPr>
      </w:pPr>
      <w:r w:rsidRPr="008E042F">
        <w:rPr>
          <w:rFonts w:ascii="Times New Roman" w:hAnsi="Times New Roman"/>
          <w:sz w:val="24"/>
          <w:szCs w:val="24"/>
          <w:lang w:val="en-US"/>
        </w:rPr>
        <w:t xml:space="preserve">Since the adoption of the </w:t>
      </w:r>
      <w:hyperlink r:id="rId8" w:history="1">
        <w:r w:rsidRPr="009B631D">
          <w:rPr>
            <w:rStyle w:val="Hyperlink"/>
            <w:rFonts w:ascii="Times New Roman" w:hAnsi="Times New Roman"/>
            <w:sz w:val="24"/>
            <w:szCs w:val="24"/>
            <w:lang w:val="en-US"/>
          </w:rPr>
          <w:t>UN Guiding Principles on Business and Human Rights</w:t>
        </w:r>
      </w:hyperlink>
      <w:r w:rsidRPr="008E042F">
        <w:rPr>
          <w:rFonts w:ascii="Times New Roman" w:hAnsi="Times New Roman"/>
          <w:sz w:val="24"/>
          <w:szCs w:val="24"/>
          <w:lang w:val="en-US"/>
        </w:rPr>
        <w:t xml:space="preserve"> two and a half years ago, a lot of progress has been achieved: more and more states are taking action to promote the Guiding Principles and we have also seen important leadership by some companies. Still, the global implementation remains a challenge. It requires the commitment of all actors, in particular regional bodies, such as the European Union.  </w:t>
      </w:r>
    </w:p>
    <w:p w:rsidR="00A57A57" w:rsidRPr="008E042F" w:rsidRDefault="00A57A57" w:rsidP="008E042F">
      <w:pPr>
        <w:spacing w:line="360" w:lineRule="auto"/>
        <w:jc w:val="both"/>
        <w:outlineLvl w:val="0"/>
        <w:rPr>
          <w:rFonts w:ascii="Times New Roman" w:hAnsi="Times New Roman"/>
          <w:sz w:val="24"/>
          <w:szCs w:val="24"/>
          <w:lang w:val="en-GB"/>
        </w:rPr>
      </w:pPr>
      <w:r>
        <w:rPr>
          <w:rFonts w:ascii="Times New Roman" w:hAnsi="Times New Roman"/>
          <w:sz w:val="24"/>
          <w:szCs w:val="24"/>
          <w:lang w:val="en-US"/>
        </w:rPr>
        <w:t>T</w:t>
      </w:r>
      <w:r w:rsidRPr="008E042F">
        <w:rPr>
          <w:rFonts w:ascii="Times New Roman" w:hAnsi="Times New Roman"/>
          <w:sz w:val="24"/>
          <w:szCs w:val="24"/>
          <w:lang w:val="en-US"/>
        </w:rPr>
        <w:t xml:space="preserve">he EU remains fully committed to the Guiding Principles, as </w:t>
      </w:r>
      <w:proofErr w:type="spellStart"/>
      <w:r w:rsidRPr="008E042F">
        <w:rPr>
          <w:rFonts w:ascii="Times New Roman" w:hAnsi="Times New Roman"/>
          <w:sz w:val="24"/>
          <w:szCs w:val="24"/>
          <w:lang w:val="en-US"/>
        </w:rPr>
        <w:t>emphasised</w:t>
      </w:r>
      <w:proofErr w:type="spellEnd"/>
      <w:r w:rsidRPr="008E042F">
        <w:rPr>
          <w:rFonts w:ascii="Times New Roman" w:hAnsi="Times New Roman"/>
          <w:sz w:val="24"/>
          <w:szCs w:val="24"/>
          <w:lang w:val="en-US"/>
        </w:rPr>
        <w:t xml:space="preserve"> in the </w:t>
      </w:r>
      <w:hyperlink r:id="rId9" w:history="1">
        <w:r w:rsidRPr="009B631D">
          <w:rPr>
            <w:rStyle w:val="Hyperlink"/>
            <w:rFonts w:ascii="Times New Roman" w:hAnsi="Times New Roman"/>
            <w:sz w:val="24"/>
            <w:szCs w:val="24"/>
            <w:lang w:val="en-US"/>
          </w:rPr>
          <w:t>European Commission’s current strategy on Corporate Social Responsibility</w:t>
        </w:r>
      </w:hyperlink>
      <w:r w:rsidRPr="008E042F">
        <w:rPr>
          <w:rFonts w:ascii="Times New Roman" w:hAnsi="Times New Roman"/>
          <w:sz w:val="24"/>
          <w:szCs w:val="24"/>
          <w:lang w:val="en-US"/>
        </w:rPr>
        <w:t>. The EU believes that governments have an important role to play as they are first and foremost responsible for the protection of human rights by law and in practice. Businesses, on the other hand, should carefully consider their impacts on society and a) plan and carry out operations in compliance with legal frameworks and b) integrate environmental, social, ethical, human rights and consumer concerns into their business strategies and operations.</w:t>
      </w:r>
    </w:p>
    <w:p w:rsidR="00A57A57" w:rsidRPr="008E042F" w:rsidRDefault="00A57A57" w:rsidP="008E042F">
      <w:pPr>
        <w:spacing w:line="360" w:lineRule="auto"/>
        <w:jc w:val="both"/>
        <w:outlineLvl w:val="0"/>
        <w:rPr>
          <w:rFonts w:ascii="Times New Roman" w:hAnsi="Times New Roman"/>
          <w:sz w:val="24"/>
          <w:szCs w:val="24"/>
          <w:lang w:val="en-US"/>
        </w:rPr>
      </w:pPr>
      <w:r w:rsidRPr="008E042F">
        <w:rPr>
          <w:rFonts w:ascii="Times New Roman" w:hAnsi="Times New Roman"/>
          <w:sz w:val="24"/>
          <w:szCs w:val="24"/>
          <w:lang w:val="en-US"/>
        </w:rPr>
        <w:t>The EU is dedicated to a two-pronged approach: first, to ensure that the Guiding Principles are fully understood and adhered to at European Union level; and second, to promote their implementation through its external actions.</w:t>
      </w:r>
    </w:p>
    <w:p w:rsidR="00A57A57" w:rsidRPr="008E042F" w:rsidRDefault="00A57A57" w:rsidP="008E042F">
      <w:pPr>
        <w:spacing w:line="360" w:lineRule="auto"/>
        <w:jc w:val="both"/>
        <w:outlineLvl w:val="0"/>
        <w:rPr>
          <w:rFonts w:ascii="Times New Roman" w:hAnsi="Times New Roman"/>
          <w:sz w:val="24"/>
          <w:szCs w:val="24"/>
          <w:lang w:val="en-US"/>
        </w:rPr>
      </w:pPr>
      <w:r w:rsidRPr="008E042F">
        <w:rPr>
          <w:rFonts w:ascii="Times New Roman" w:hAnsi="Times New Roman"/>
          <w:sz w:val="24"/>
          <w:szCs w:val="24"/>
          <w:lang w:val="en-US"/>
        </w:rPr>
        <w:t xml:space="preserve">At EU level, the EU and its </w:t>
      </w:r>
      <w:smartTag w:uri="urn:schemas-microsoft-com:office:smarttags" w:element="PlaceName">
        <w:smartTag w:uri="urn:schemas-microsoft-com:office:smarttags" w:element="place">
          <w:r w:rsidRPr="008E042F">
            <w:rPr>
              <w:rFonts w:ascii="Times New Roman" w:hAnsi="Times New Roman"/>
              <w:sz w:val="24"/>
              <w:szCs w:val="24"/>
              <w:lang w:val="en-US"/>
            </w:rPr>
            <w:t>Member</w:t>
          </w:r>
        </w:smartTag>
        <w:r w:rsidRPr="008E042F">
          <w:rPr>
            <w:rFonts w:ascii="Times New Roman" w:hAnsi="Times New Roman"/>
            <w:sz w:val="24"/>
            <w:szCs w:val="24"/>
            <w:lang w:val="en-US"/>
          </w:rPr>
          <w:t xml:space="preserve"> </w:t>
        </w:r>
        <w:smartTag w:uri="urn:schemas-microsoft-com:office:smarttags" w:element="PlaceType">
          <w:r w:rsidRPr="008E042F">
            <w:rPr>
              <w:rFonts w:ascii="Times New Roman" w:hAnsi="Times New Roman"/>
              <w:sz w:val="24"/>
              <w:szCs w:val="24"/>
              <w:lang w:val="en-US"/>
            </w:rPr>
            <w:t>States</w:t>
          </w:r>
        </w:smartTag>
      </w:smartTag>
      <w:r w:rsidRPr="008E042F">
        <w:rPr>
          <w:rFonts w:ascii="Times New Roman" w:hAnsi="Times New Roman"/>
          <w:sz w:val="24"/>
          <w:szCs w:val="24"/>
          <w:lang w:val="en-US"/>
        </w:rPr>
        <w:t xml:space="preserve"> have taken tangible steps towards the adoption of national plans on the Guiding Principles. The United Kingdom was first to launch an action plan on </w:t>
      </w:r>
      <w:r w:rsidRPr="008E042F">
        <w:rPr>
          <w:rFonts w:ascii="Times New Roman" w:hAnsi="Times New Roman"/>
          <w:sz w:val="24"/>
          <w:szCs w:val="24"/>
          <w:lang w:val="en-US"/>
        </w:rPr>
        <w:lastRenderedPageBreak/>
        <w:t xml:space="preserve">business and human rights and a large number of EU member states intend to have an action plan in due course. </w:t>
      </w:r>
    </w:p>
    <w:p w:rsidR="00A57A57" w:rsidRPr="008E042F" w:rsidRDefault="00A57A57" w:rsidP="008E042F">
      <w:pPr>
        <w:spacing w:line="360" w:lineRule="auto"/>
        <w:jc w:val="both"/>
        <w:outlineLvl w:val="0"/>
        <w:rPr>
          <w:rFonts w:ascii="Times New Roman" w:hAnsi="Times New Roman"/>
          <w:sz w:val="24"/>
          <w:szCs w:val="24"/>
          <w:lang w:val="en-US"/>
        </w:rPr>
      </w:pPr>
      <w:r w:rsidRPr="008E042F">
        <w:rPr>
          <w:rFonts w:ascii="Times New Roman" w:hAnsi="Times New Roman"/>
          <w:sz w:val="24"/>
          <w:szCs w:val="24"/>
          <w:lang w:val="en-US"/>
        </w:rPr>
        <w:t xml:space="preserve">As part of the duty to protect, the European Commission has further developed guidance material to enterprises on meeting the corporate responsibility to protect. This includes our guidance material for three industry sectors, namely </w:t>
      </w:r>
      <w:hyperlink r:id="rId10" w:history="1">
        <w:r w:rsidRPr="009B631D">
          <w:rPr>
            <w:rStyle w:val="Hyperlink"/>
            <w:rFonts w:ascii="Times New Roman" w:hAnsi="Times New Roman"/>
            <w:sz w:val="24"/>
            <w:szCs w:val="24"/>
            <w:lang w:val="en-US"/>
          </w:rPr>
          <w:t>ICT</w:t>
        </w:r>
      </w:hyperlink>
      <w:r w:rsidRPr="008E042F">
        <w:rPr>
          <w:rFonts w:ascii="Times New Roman" w:hAnsi="Times New Roman"/>
          <w:sz w:val="24"/>
          <w:szCs w:val="24"/>
          <w:lang w:val="en-US"/>
        </w:rPr>
        <w:t xml:space="preserve">, </w:t>
      </w:r>
      <w:hyperlink r:id="rId11" w:history="1">
        <w:r w:rsidRPr="009B631D">
          <w:rPr>
            <w:rStyle w:val="Hyperlink"/>
            <w:rFonts w:ascii="Times New Roman" w:hAnsi="Times New Roman"/>
            <w:sz w:val="24"/>
            <w:szCs w:val="24"/>
            <w:lang w:val="en-US"/>
          </w:rPr>
          <w:t>oil and gas</w:t>
        </w:r>
      </w:hyperlink>
      <w:r w:rsidRPr="008E042F">
        <w:rPr>
          <w:rFonts w:ascii="Times New Roman" w:hAnsi="Times New Roman"/>
          <w:sz w:val="24"/>
          <w:szCs w:val="24"/>
          <w:lang w:val="en-US"/>
        </w:rPr>
        <w:t xml:space="preserve"> and </w:t>
      </w:r>
      <w:hyperlink r:id="rId12" w:history="1">
        <w:r w:rsidRPr="009B631D">
          <w:rPr>
            <w:rStyle w:val="Hyperlink"/>
            <w:rFonts w:ascii="Times New Roman" w:hAnsi="Times New Roman"/>
            <w:sz w:val="24"/>
            <w:szCs w:val="24"/>
            <w:lang w:val="en-US"/>
          </w:rPr>
          <w:t>employment and recruitment agencies</w:t>
        </w:r>
      </w:hyperlink>
      <w:r w:rsidRPr="008E042F">
        <w:rPr>
          <w:rFonts w:ascii="Times New Roman" w:hAnsi="Times New Roman"/>
          <w:sz w:val="24"/>
          <w:szCs w:val="24"/>
          <w:lang w:val="en-US"/>
        </w:rPr>
        <w:t xml:space="preserve">, as well as our </w:t>
      </w:r>
      <w:hyperlink r:id="rId13" w:history="1">
        <w:r w:rsidRPr="009B631D">
          <w:rPr>
            <w:rStyle w:val="Hyperlink"/>
            <w:rFonts w:ascii="Times New Roman" w:hAnsi="Times New Roman"/>
            <w:sz w:val="24"/>
            <w:szCs w:val="24"/>
            <w:lang w:val="en-US"/>
          </w:rPr>
          <w:t>guide for small and medium-sized enterprises</w:t>
        </w:r>
      </w:hyperlink>
      <w:r w:rsidRPr="008E042F">
        <w:rPr>
          <w:rFonts w:ascii="Times New Roman" w:hAnsi="Times New Roman"/>
          <w:sz w:val="24"/>
          <w:szCs w:val="24"/>
          <w:lang w:val="en-US"/>
        </w:rPr>
        <w:t xml:space="preserve">. </w:t>
      </w:r>
    </w:p>
    <w:p w:rsidR="00A57A57" w:rsidRPr="008E042F" w:rsidRDefault="00A57A57" w:rsidP="008E042F">
      <w:pPr>
        <w:spacing w:line="360" w:lineRule="auto"/>
        <w:jc w:val="both"/>
        <w:outlineLvl w:val="0"/>
        <w:rPr>
          <w:rFonts w:ascii="Times New Roman" w:hAnsi="Times New Roman"/>
          <w:sz w:val="24"/>
          <w:szCs w:val="24"/>
          <w:lang w:val="en-US"/>
        </w:rPr>
      </w:pPr>
      <w:r w:rsidRPr="008E042F">
        <w:rPr>
          <w:rFonts w:ascii="Times New Roman" w:hAnsi="Times New Roman"/>
          <w:sz w:val="24"/>
          <w:szCs w:val="24"/>
          <w:lang w:val="en-US"/>
        </w:rPr>
        <w:t xml:space="preserve">For the EU’s external activities, our objective is to promote a global level playing field on business and human rights. This is why our guiding material is of global applicability and of relevance to companies operating inside and outside the EU. Further, the EU has included in recent Free Trade Agreements references to the promotion of Corporate Social Responsibility and intends to pursue a similar approach in ongoing and planned trade negotiations, including those for stand-alone investment agreements. The Guiding Principles further feature regularly on the diplomatic agenda as part of our political dialogues with third countries. </w:t>
      </w:r>
    </w:p>
    <w:p w:rsidR="00A57A57" w:rsidRPr="008E042F" w:rsidRDefault="00A57A57" w:rsidP="008E042F">
      <w:pPr>
        <w:spacing w:line="360" w:lineRule="auto"/>
        <w:jc w:val="both"/>
        <w:outlineLvl w:val="0"/>
        <w:rPr>
          <w:rFonts w:ascii="Times New Roman" w:hAnsi="Times New Roman"/>
          <w:sz w:val="24"/>
          <w:szCs w:val="24"/>
          <w:lang w:val="en-US"/>
        </w:rPr>
      </w:pPr>
      <w:r w:rsidRPr="008E042F">
        <w:rPr>
          <w:rFonts w:ascii="Times New Roman" w:hAnsi="Times New Roman"/>
          <w:sz w:val="24"/>
          <w:szCs w:val="24"/>
          <w:lang w:val="en-US"/>
        </w:rPr>
        <w:t xml:space="preserve">A further important element is that the European institutions ensure policy coherence of EU policies, which are of relevance to business and human rights. This includes in particular specific human rights and </w:t>
      </w:r>
      <w:proofErr w:type="spellStart"/>
      <w:r w:rsidRPr="008E042F">
        <w:rPr>
          <w:rFonts w:ascii="Times New Roman" w:hAnsi="Times New Roman"/>
          <w:sz w:val="24"/>
          <w:szCs w:val="24"/>
          <w:lang w:val="en-US"/>
        </w:rPr>
        <w:t>labour</w:t>
      </w:r>
      <w:proofErr w:type="spellEnd"/>
      <w:r w:rsidRPr="008E042F">
        <w:rPr>
          <w:rFonts w:ascii="Times New Roman" w:hAnsi="Times New Roman"/>
          <w:sz w:val="24"/>
          <w:szCs w:val="24"/>
          <w:lang w:val="en-US"/>
        </w:rPr>
        <w:t xml:space="preserve"> issues, such as child </w:t>
      </w:r>
      <w:proofErr w:type="spellStart"/>
      <w:r w:rsidRPr="008E042F">
        <w:rPr>
          <w:rFonts w:ascii="Times New Roman" w:hAnsi="Times New Roman"/>
          <w:sz w:val="24"/>
          <w:szCs w:val="24"/>
          <w:lang w:val="en-US"/>
        </w:rPr>
        <w:t>labour</w:t>
      </w:r>
      <w:proofErr w:type="spellEnd"/>
      <w:r w:rsidRPr="008E042F">
        <w:rPr>
          <w:rFonts w:ascii="Times New Roman" w:hAnsi="Times New Roman"/>
          <w:sz w:val="24"/>
          <w:szCs w:val="24"/>
          <w:lang w:val="en-US"/>
        </w:rPr>
        <w:t xml:space="preserve">, forced </w:t>
      </w:r>
      <w:proofErr w:type="spellStart"/>
      <w:r w:rsidRPr="008E042F">
        <w:rPr>
          <w:rFonts w:ascii="Times New Roman" w:hAnsi="Times New Roman"/>
          <w:sz w:val="24"/>
          <w:szCs w:val="24"/>
          <w:lang w:val="en-US"/>
        </w:rPr>
        <w:t>labour</w:t>
      </w:r>
      <w:proofErr w:type="spellEnd"/>
      <w:r w:rsidRPr="008E042F">
        <w:rPr>
          <w:rFonts w:ascii="Times New Roman" w:hAnsi="Times New Roman"/>
          <w:sz w:val="24"/>
          <w:szCs w:val="24"/>
          <w:lang w:val="en-US"/>
        </w:rPr>
        <w:t xml:space="preserve">, human trafficking, gender equality, non-discrimination, freedom of association and the right of collective bargaining etc. We are confident that the enhanced implementation of the UN Guiding Principles will also contribute to achieving these EU objectives. </w:t>
      </w:r>
    </w:p>
    <w:p w:rsidR="00A57A57" w:rsidRPr="008E042F" w:rsidRDefault="00A57A57" w:rsidP="008E042F">
      <w:pPr>
        <w:spacing w:line="360" w:lineRule="auto"/>
        <w:jc w:val="both"/>
        <w:outlineLvl w:val="0"/>
        <w:rPr>
          <w:rFonts w:ascii="Times New Roman" w:hAnsi="Times New Roman"/>
          <w:sz w:val="24"/>
          <w:szCs w:val="24"/>
          <w:lang w:val="en-US"/>
        </w:rPr>
      </w:pPr>
      <w:r w:rsidRPr="008E042F">
        <w:rPr>
          <w:rFonts w:ascii="Times New Roman" w:hAnsi="Times New Roman"/>
          <w:sz w:val="24"/>
          <w:szCs w:val="24"/>
          <w:lang w:val="en-US"/>
        </w:rPr>
        <w:t xml:space="preserve">We would also like to stress the importance of a multi-stakeholder approach in the implementation of the UN Guiding Principles, which should involve the private sector, social partners and civil society representatives. EU Delegations in third countries can play an important role in this process. </w:t>
      </w:r>
    </w:p>
    <w:p w:rsidR="00A57A57" w:rsidRPr="008E042F" w:rsidRDefault="00A57A57" w:rsidP="008E042F">
      <w:pPr>
        <w:spacing w:line="360" w:lineRule="auto"/>
        <w:jc w:val="both"/>
        <w:rPr>
          <w:rFonts w:ascii="Times New Roman" w:hAnsi="Times New Roman"/>
          <w:sz w:val="24"/>
          <w:szCs w:val="24"/>
          <w:lang w:val="en-US"/>
        </w:rPr>
      </w:pPr>
      <w:r w:rsidRPr="008E042F">
        <w:rPr>
          <w:rFonts w:ascii="Times New Roman" w:hAnsi="Times New Roman"/>
          <w:sz w:val="24"/>
          <w:szCs w:val="24"/>
          <w:lang w:val="en-US"/>
        </w:rPr>
        <w:t>A lot has been done, but still we are only at the beginning of the implementation of the Guiding Principles. In the end, our success will be measured against the capacity to prevent human rights violations and to ensure effective access to remedy when such violations occur. The European Union remains strongly committed to these goals.</w:t>
      </w:r>
    </w:p>
    <w:p w:rsidR="00A57A57" w:rsidRDefault="00A57A57" w:rsidP="008E042F">
      <w:pPr>
        <w:spacing w:line="360" w:lineRule="auto"/>
        <w:jc w:val="both"/>
        <w:rPr>
          <w:rFonts w:ascii="Times New Roman" w:hAnsi="Times New Roman"/>
          <w:sz w:val="24"/>
          <w:szCs w:val="24"/>
          <w:lang w:val="en-US"/>
        </w:rPr>
      </w:pPr>
      <w:r w:rsidRPr="008E042F">
        <w:rPr>
          <w:rFonts w:ascii="Times New Roman" w:hAnsi="Times New Roman"/>
          <w:sz w:val="24"/>
          <w:szCs w:val="24"/>
          <w:lang w:val="en-US"/>
        </w:rPr>
        <w:t>I thank you Mr. Chair</w:t>
      </w:r>
      <w:r>
        <w:rPr>
          <w:rFonts w:ascii="Times New Roman" w:hAnsi="Times New Roman"/>
          <w:sz w:val="24"/>
          <w:szCs w:val="24"/>
          <w:lang w:val="en-US"/>
        </w:rPr>
        <w:t>.</w:t>
      </w:r>
    </w:p>
    <w:p w:rsidR="00A57A57" w:rsidRDefault="00A57A57" w:rsidP="008E042F">
      <w:pPr>
        <w:spacing w:line="360" w:lineRule="auto"/>
        <w:jc w:val="both"/>
        <w:rPr>
          <w:rFonts w:ascii="Times New Roman" w:hAnsi="Times New Roman"/>
          <w:sz w:val="24"/>
          <w:szCs w:val="24"/>
          <w:lang w:val="en-US"/>
        </w:rPr>
      </w:pPr>
    </w:p>
    <w:sectPr w:rsidR="00A57A57" w:rsidSect="007E3F63">
      <w:footerReference w:type="even" r:id="rId14"/>
      <w:footerReference w:type="default" r:id="rId15"/>
      <w:footerReference w:type="first" r:id="rId16"/>
      <w:footnotePr>
        <w:numFmt w:val="chicago"/>
      </w:footnotePr>
      <w:type w:val="continuous"/>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A57" w:rsidRDefault="00A57A57" w:rsidP="00F33D68">
      <w:pPr>
        <w:spacing w:after="0" w:line="240" w:lineRule="auto"/>
      </w:pPr>
      <w:r>
        <w:separator/>
      </w:r>
    </w:p>
  </w:endnote>
  <w:endnote w:type="continuationSeparator" w:id="0">
    <w:p w:rsidR="00A57A57" w:rsidRDefault="00A57A57" w:rsidP="00F3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57" w:rsidRDefault="00A57A57" w:rsidP="00EC4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57A57" w:rsidRDefault="00A57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57" w:rsidRDefault="00A57A57" w:rsidP="00EC4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5FA0">
      <w:rPr>
        <w:rStyle w:val="PageNumber"/>
        <w:noProof/>
      </w:rPr>
      <w:t>3</w:t>
    </w:r>
    <w:r>
      <w:rPr>
        <w:rStyle w:val="PageNumber"/>
      </w:rPr>
      <w:fldChar w:fldCharType="end"/>
    </w:r>
  </w:p>
  <w:p w:rsidR="00A57A57" w:rsidRDefault="00A57A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57" w:rsidRDefault="00A57A57" w:rsidP="00EC441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A57" w:rsidRDefault="00A57A57" w:rsidP="00F33D68">
      <w:pPr>
        <w:spacing w:after="0" w:line="240" w:lineRule="auto"/>
      </w:pPr>
      <w:r>
        <w:separator/>
      </w:r>
    </w:p>
  </w:footnote>
  <w:footnote w:type="continuationSeparator" w:id="0">
    <w:p w:rsidR="00A57A57" w:rsidRDefault="00A57A57" w:rsidP="00F33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7E0D"/>
    <w:rsid w:val="000223A2"/>
    <w:rsid w:val="000458E4"/>
    <w:rsid w:val="00093040"/>
    <w:rsid w:val="000944AC"/>
    <w:rsid w:val="000B7A6B"/>
    <w:rsid w:val="000E733C"/>
    <w:rsid w:val="000F5601"/>
    <w:rsid w:val="0014288D"/>
    <w:rsid w:val="001453D6"/>
    <w:rsid w:val="00172DAC"/>
    <w:rsid w:val="00180609"/>
    <w:rsid w:val="001C7FD0"/>
    <w:rsid w:val="001D54F8"/>
    <w:rsid w:val="001E2467"/>
    <w:rsid w:val="001F7CB2"/>
    <w:rsid w:val="0020471B"/>
    <w:rsid w:val="00207110"/>
    <w:rsid w:val="00231A2F"/>
    <w:rsid w:val="00255493"/>
    <w:rsid w:val="002559A8"/>
    <w:rsid w:val="00266F26"/>
    <w:rsid w:val="00273647"/>
    <w:rsid w:val="002852C6"/>
    <w:rsid w:val="002A36D0"/>
    <w:rsid w:val="002B1CF9"/>
    <w:rsid w:val="002B2ED8"/>
    <w:rsid w:val="002B7FF2"/>
    <w:rsid w:val="002C62DD"/>
    <w:rsid w:val="002D05FF"/>
    <w:rsid w:val="002D6332"/>
    <w:rsid w:val="002F19A0"/>
    <w:rsid w:val="002F25D4"/>
    <w:rsid w:val="002F3359"/>
    <w:rsid w:val="002F71D2"/>
    <w:rsid w:val="00335D13"/>
    <w:rsid w:val="00343C7A"/>
    <w:rsid w:val="00370D2F"/>
    <w:rsid w:val="003769AE"/>
    <w:rsid w:val="003E1692"/>
    <w:rsid w:val="00445952"/>
    <w:rsid w:val="0045095D"/>
    <w:rsid w:val="004618B1"/>
    <w:rsid w:val="0047759E"/>
    <w:rsid w:val="00484621"/>
    <w:rsid w:val="004B5FA0"/>
    <w:rsid w:val="004C73A9"/>
    <w:rsid w:val="004D0CF5"/>
    <w:rsid w:val="004E43C8"/>
    <w:rsid w:val="00507E0D"/>
    <w:rsid w:val="0055521B"/>
    <w:rsid w:val="00561E5A"/>
    <w:rsid w:val="00563B77"/>
    <w:rsid w:val="00573FEF"/>
    <w:rsid w:val="00577F99"/>
    <w:rsid w:val="00596E56"/>
    <w:rsid w:val="005A1005"/>
    <w:rsid w:val="005A4601"/>
    <w:rsid w:val="005B200E"/>
    <w:rsid w:val="005B2ED9"/>
    <w:rsid w:val="005B49DF"/>
    <w:rsid w:val="005B72C1"/>
    <w:rsid w:val="005E480B"/>
    <w:rsid w:val="00611B6F"/>
    <w:rsid w:val="00631F70"/>
    <w:rsid w:val="00632E43"/>
    <w:rsid w:val="00644C86"/>
    <w:rsid w:val="006676C0"/>
    <w:rsid w:val="006764EC"/>
    <w:rsid w:val="00683683"/>
    <w:rsid w:val="006A17AA"/>
    <w:rsid w:val="006B4EA6"/>
    <w:rsid w:val="006E3846"/>
    <w:rsid w:val="006E4D1F"/>
    <w:rsid w:val="006F483B"/>
    <w:rsid w:val="007123E6"/>
    <w:rsid w:val="00752241"/>
    <w:rsid w:val="00771F42"/>
    <w:rsid w:val="007737E6"/>
    <w:rsid w:val="007E3F63"/>
    <w:rsid w:val="007F15DE"/>
    <w:rsid w:val="00817618"/>
    <w:rsid w:val="00826E8F"/>
    <w:rsid w:val="00833FFE"/>
    <w:rsid w:val="008458F1"/>
    <w:rsid w:val="0085464F"/>
    <w:rsid w:val="00873CDD"/>
    <w:rsid w:val="00887E6E"/>
    <w:rsid w:val="008B2DCF"/>
    <w:rsid w:val="008B48FC"/>
    <w:rsid w:val="008C3665"/>
    <w:rsid w:val="008D6D9F"/>
    <w:rsid w:val="008E042F"/>
    <w:rsid w:val="008E3F9B"/>
    <w:rsid w:val="008F6624"/>
    <w:rsid w:val="00926808"/>
    <w:rsid w:val="009642A0"/>
    <w:rsid w:val="009A0AAA"/>
    <w:rsid w:val="009B0A37"/>
    <w:rsid w:val="009B631D"/>
    <w:rsid w:val="009C080F"/>
    <w:rsid w:val="009C0996"/>
    <w:rsid w:val="009C3DCE"/>
    <w:rsid w:val="009F73B8"/>
    <w:rsid w:val="00A04622"/>
    <w:rsid w:val="00A11C0B"/>
    <w:rsid w:val="00A40E2B"/>
    <w:rsid w:val="00A57A57"/>
    <w:rsid w:val="00A63451"/>
    <w:rsid w:val="00A63A4F"/>
    <w:rsid w:val="00A74878"/>
    <w:rsid w:val="00AB7904"/>
    <w:rsid w:val="00AC7F97"/>
    <w:rsid w:val="00AD4D64"/>
    <w:rsid w:val="00AE15C1"/>
    <w:rsid w:val="00AE55A5"/>
    <w:rsid w:val="00AF26FC"/>
    <w:rsid w:val="00B301F4"/>
    <w:rsid w:val="00B30E99"/>
    <w:rsid w:val="00B3367A"/>
    <w:rsid w:val="00B61918"/>
    <w:rsid w:val="00B76A9D"/>
    <w:rsid w:val="00B853A8"/>
    <w:rsid w:val="00BA5191"/>
    <w:rsid w:val="00BE0E31"/>
    <w:rsid w:val="00BF05EC"/>
    <w:rsid w:val="00C02208"/>
    <w:rsid w:val="00C024CF"/>
    <w:rsid w:val="00C20E77"/>
    <w:rsid w:val="00C559B3"/>
    <w:rsid w:val="00C75BB6"/>
    <w:rsid w:val="00C968F7"/>
    <w:rsid w:val="00CA5FB7"/>
    <w:rsid w:val="00CD27A5"/>
    <w:rsid w:val="00CD3385"/>
    <w:rsid w:val="00CE46D6"/>
    <w:rsid w:val="00CF10C2"/>
    <w:rsid w:val="00D06DD2"/>
    <w:rsid w:val="00D93A28"/>
    <w:rsid w:val="00D93F45"/>
    <w:rsid w:val="00DC60BB"/>
    <w:rsid w:val="00E23782"/>
    <w:rsid w:val="00E3044B"/>
    <w:rsid w:val="00E62DEF"/>
    <w:rsid w:val="00E6701C"/>
    <w:rsid w:val="00E7441F"/>
    <w:rsid w:val="00EA0332"/>
    <w:rsid w:val="00EA0770"/>
    <w:rsid w:val="00EB45C4"/>
    <w:rsid w:val="00EB61C9"/>
    <w:rsid w:val="00EB6B63"/>
    <w:rsid w:val="00EC441E"/>
    <w:rsid w:val="00ED2F9D"/>
    <w:rsid w:val="00EF0386"/>
    <w:rsid w:val="00EF1720"/>
    <w:rsid w:val="00F01C0B"/>
    <w:rsid w:val="00F30D5C"/>
    <w:rsid w:val="00F33D68"/>
    <w:rsid w:val="00F42F2D"/>
    <w:rsid w:val="00F438B2"/>
    <w:rsid w:val="00F50526"/>
    <w:rsid w:val="00F547F9"/>
    <w:rsid w:val="00F60E88"/>
    <w:rsid w:val="00F87CDB"/>
    <w:rsid w:val="00FA0F24"/>
    <w:rsid w:val="00FA112D"/>
    <w:rsid w:val="00FA5262"/>
    <w:rsid w:val="00FA52DE"/>
    <w:rsid w:val="00FB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A0"/>
    <w:pPr>
      <w:spacing w:after="200" w:line="276" w:lineRule="auto"/>
    </w:pPr>
    <w:rPr>
      <w:lang w:val="da-DK"/>
    </w:rPr>
  </w:style>
  <w:style w:type="paragraph" w:styleId="Heading5">
    <w:name w:val="heading 5"/>
    <w:basedOn w:val="Normal"/>
    <w:link w:val="Heading5Char"/>
    <w:uiPriority w:val="99"/>
    <w:qFormat/>
    <w:locked/>
    <w:rsid w:val="00A63A4F"/>
    <w:pPr>
      <w:spacing w:before="100" w:beforeAutospacing="1" w:after="100" w:afterAutospacing="1" w:line="240" w:lineRule="auto"/>
      <w:outlineLvl w:val="4"/>
    </w:pPr>
    <w:rPr>
      <w:rFonts w:ascii="Times New Roman" w:hAnsi="Times New Roman"/>
      <w:b/>
      <w:bCs/>
      <w:color w:val="555555"/>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CF10C2"/>
    <w:rPr>
      <w:rFonts w:ascii="Calibri" w:hAnsi="Calibri" w:cs="Times New Roman"/>
      <w:b/>
      <w:bCs/>
      <w:i/>
      <w:iCs/>
      <w:sz w:val="26"/>
      <w:szCs w:val="26"/>
      <w:lang w:val="da-DK"/>
    </w:rPr>
  </w:style>
  <w:style w:type="paragraph" w:styleId="Header">
    <w:name w:val="header"/>
    <w:basedOn w:val="Normal"/>
    <w:link w:val="HeaderChar"/>
    <w:uiPriority w:val="99"/>
    <w:semiHidden/>
    <w:rsid w:val="00F33D6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F33D68"/>
    <w:rPr>
      <w:rFonts w:cs="Times New Roman"/>
    </w:rPr>
  </w:style>
  <w:style w:type="paragraph" w:styleId="Footer">
    <w:name w:val="footer"/>
    <w:basedOn w:val="Normal"/>
    <w:link w:val="FooterChar"/>
    <w:uiPriority w:val="99"/>
    <w:semiHidden/>
    <w:rsid w:val="00F33D6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F33D68"/>
    <w:rPr>
      <w:rFonts w:cs="Times New Roman"/>
    </w:rPr>
  </w:style>
  <w:style w:type="character" w:styleId="PageNumber">
    <w:name w:val="page number"/>
    <w:basedOn w:val="DefaultParagraphFont"/>
    <w:uiPriority w:val="99"/>
    <w:rsid w:val="002C62DD"/>
    <w:rPr>
      <w:rFonts w:ascii="Times New Roman" w:hAnsi="Times New Roman" w:cs="Times New Roman"/>
      <w:sz w:val="22"/>
    </w:rPr>
  </w:style>
  <w:style w:type="paragraph" w:customStyle="1" w:styleId="RKnormal">
    <w:name w:val="RKnormal"/>
    <w:basedOn w:val="Normal"/>
    <w:link w:val="RKnormalChar"/>
    <w:uiPriority w:val="99"/>
    <w:rsid w:val="00FA5262"/>
    <w:pPr>
      <w:tabs>
        <w:tab w:val="left" w:pos="2835"/>
      </w:tabs>
      <w:overflowPunct w:val="0"/>
      <w:autoSpaceDE w:val="0"/>
      <w:autoSpaceDN w:val="0"/>
      <w:adjustRightInd w:val="0"/>
      <w:spacing w:after="0" w:line="240" w:lineRule="atLeast"/>
      <w:textAlignment w:val="baseline"/>
    </w:pPr>
    <w:rPr>
      <w:sz w:val="24"/>
      <w:szCs w:val="20"/>
      <w:lang w:val="sv-SE"/>
    </w:rPr>
  </w:style>
  <w:style w:type="character" w:customStyle="1" w:styleId="RKnormalChar">
    <w:name w:val="RKnormal Char"/>
    <w:link w:val="RKnormal"/>
    <w:uiPriority w:val="99"/>
    <w:locked/>
    <w:rsid w:val="00FA5262"/>
    <w:rPr>
      <w:sz w:val="24"/>
      <w:lang w:val="sv-SE" w:eastAsia="en-US"/>
    </w:rPr>
  </w:style>
  <w:style w:type="paragraph" w:styleId="DocumentMap">
    <w:name w:val="Document Map"/>
    <w:basedOn w:val="Normal"/>
    <w:link w:val="DocumentMapChar"/>
    <w:uiPriority w:val="99"/>
    <w:semiHidden/>
    <w:rsid w:val="0014288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B7A6B"/>
    <w:rPr>
      <w:rFonts w:ascii="Times New Roman" w:hAnsi="Times New Roman" w:cs="Times New Roman"/>
      <w:sz w:val="2"/>
      <w:lang w:val="da-DK"/>
    </w:rPr>
  </w:style>
  <w:style w:type="paragraph" w:styleId="FootnoteText">
    <w:name w:val="footnote text"/>
    <w:basedOn w:val="Normal"/>
    <w:link w:val="FootnoteTextChar"/>
    <w:uiPriority w:val="99"/>
    <w:semiHidden/>
    <w:rsid w:val="00EB45C4"/>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locked/>
    <w:rsid w:val="00093040"/>
    <w:rPr>
      <w:rFonts w:cs="Times New Roman"/>
      <w:sz w:val="20"/>
      <w:szCs w:val="20"/>
      <w:lang w:val="da-DK"/>
    </w:rPr>
  </w:style>
  <w:style w:type="character" w:styleId="FootnoteReference">
    <w:name w:val="footnote reference"/>
    <w:basedOn w:val="DefaultParagraphFont"/>
    <w:uiPriority w:val="99"/>
    <w:semiHidden/>
    <w:rsid w:val="00EB45C4"/>
    <w:rPr>
      <w:rFonts w:cs="Times New Roman"/>
      <w:vertAlign w:val="superscript"/>
    </w:rPr>
  </w:style>
  <w:style w:type="paragraph" w:styleId="NormalWeb">
    <w:name w:val="Normal (Web)"/>
    <w:basedOn w:val="Normal"/>
    <w:uiPriority w:val="99"/>
    <w:semiHidden/>
    <w:rsid w:val="004D0CF5"/>
    <w:pPr>
      <w:spacing w:before="100" w:beforeAutospacing="1" w:after="100" w:afterAutospacing="1" w:line="240" w:lineRule="auto"/>
    </w:pPr>
    <w:rPr>
      <w:rFonts w:ascii="Times New Roman" w:hAnsi="Times New Roman"/>
      <w:sz w:val="24"/>
      <w:szCs w:val="24"/>
      <w:lang w:val="en-GB" w:eastAsia="en-GB"/>
    </w:rPr>
  </w:style>
  <w:style w:type="character" w:customStyle="1" w:styleId="PlainTextChar">
    <w:name w:val="Plain Text Char"/>
    <w:uiPriority w:val="99"/>
    <w:semiHidden/>
    <w:locked/>
    <w:rsid w:val="00EF0386"/>
    <w:rPr>
      <w:rFonts w:ascii="Consolas" w:hAnsi="Consolas"/>
      <w:sz w:val="21"/>
      <w:lang w:val="fi-FI" w:eastAsia="en-US"/>
    </w:rPr>
  </w:style>
  <w:style w:type="paragraph" w:styleId="PlainText">
    <w:name w:val="Plain Text"/>
    <w:basedOn w:val="Normal"/>
    <w:link w:val="PlainTextChar1"/>
    <w:uiPriority w:val="99"/>
    <w:semiHidden/>
    <w:rsid w:val="00EF0386"/>
    <w:pPr>
      <w:spacing w:after="0" w:line="240" w:lineRule="auto"/>
    </w:pPr>
    <w:rPr>
      <w:rFonts w:ascii="Consolas" w:hAnsi="Consolas"/>
      <w:sz w:val="21"/>
      <w:szCs w:val="20"/>
      <w:lang w:val="fi-FI"/>
    </w:rPr>
  </w:style>
  <w:style w:type="character" w:customStyle="1" w:styleId="PlainTextChar1">
    <w:name w:val="Plain Text Char1"/>
    <w:basedOn w:val="DefaultParagraphFont"/>
    <w:link w:val="PlainText"/>
    <w:uiPriority w:val="99"/>
    <w:semiHidden/>
    <w:locked/>
    <w:rsid w:val="00EF1720"/>
    <w:rPr>
      <w:rFonts w:ascii="Courier New" w:hAnsi="Courier New" w:cs="Courier New"/>
      <w:sz w:val="20"/>
      <w:szCs w:val="20"/>
      <w:lang w:val="da-DK"/>
    </w:rPr>
  </w:style>
  <w:style w:type="paragraph" w:styleId="BalloonText">
    <w:name w:val="Balloon Text"/>
    <w:basedOn w:val="Normal"/>
    <w:link w:val="BalloonTextChar"/>
    <w:uiPriority w:val="99"/>
    <w:semiHidden/>
    <w:unhideWhenUsed/>
    <w:rsid w:val="00573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FEF"/>
    <w:rPr>
      <w:rFonts w:ascii="Tahoma" w:hAnsi="Tahoma" w:cs="Tahoma"/>
      <w:sz w:val="16"/>
      <w:szCs w:val="16"/>
      <w:lang w:val="da-DK"/>
    </w:rPr>
  </w:style>
  <w:style w:type="character" w:styleId="Hyperlink">
    <w:name w:val="Hyperlink"/>
    <w:basedOn w:val="DefaultParagraphFont"/>
    <w:uiPriority w:val="99"/>
    <w:unhideWhenUsed/>
    <w:rsid w:val="009B63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A0"/>
    <w:pPr>
      <w:spacing w:after="200" w:line="276" w:lineRule="auto"/>
    </w:pPr>
    <w:rPr>
      <w:lang w:val="da-DK"/>
    </w:rPr>
  </w:style>
  <w:style w:type="paragraph" w:styleId="Heading5">
    <w:name w:val="heading 5"/>
    <w:basedOn w:val="Normal"/>
    <w:link w:val="Heading5Char"/>
    <w:uiPriority w:val="99"/>
    <w:qFormat/>
    <w:locked/>
    <w:rsid w:val="00A63A4F"/>
    <w:pPr>
      <w:spacing w:before="100" w:beforeAutospacing="1" w:after="100" w:afterAutospacing="1" w:line="240" w:lineRule="auto"/>
      <w:outlineLvl w:val="4"/>
    </w:pPr>
    <w:rPr>
      <w:rFonts w:ascii="Times New Roman" w:hAnsi="Times New Roman"/>
      <w:b/>
      <w:bCs/>
      <w:color w:val="555555"/>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CF10C2"/>
    <w:rPr>
      <w:rFonts w:ascii="Calibri" w:hAnsi="Calibri" w:cs="Times New Roman"/>
      <w:b/>
      <w:bCs/>
      <w:i/>
      <w:iCs/>
      <w:sz w:val="26"/>
      <w:szCs w:val="26"/>
      <w:lang w:val="da-DK"/>
    </w:rPr>
  </w:style>
  <w:style w:type="paragraph" w:styleId="Header">
    <w:name w:val="header"/>
    <w:basedOn w:val="Normal"/>
    <w:link w:val="HeaderChar"/>
    <w:uiPriority w:val="99"/>
    <w:semiHidden/>
    <w:rsid w:val="00F33D6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F33D68"/>
    <w:rPr>
      <w:rFonts w:cs="Times New Roman"/>
    </w:rPr>
  </w:style>
  <w:style w:type="paragraph" w:styleId="Footer">
    <w:name w:val="footer"/>
    <w:basedOn w:val="Normal"/>
    <w:link w:val="FooterChar"/>
    <w:uiPriority w:val="99"/>
    <w:semiHidden/>
    <w:rsid w:val="00F33D6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F33D68"/>
    <w:rPr>
      <w:rFonts w:cs="Times New Roman"/>
    </w:rPr>
  </w:style>
  <w:style w:type="character" w:styleId="PageNumber">
    <w:name w:val="page number"/>
    <w:basedOn w:val="DefaultParagraphFont"/>
    <w:uiPriority w:val="99"/>
    <w:rsid w:val="002C62DD"/>
    <w:rPr>
      <w:rFonts w:ascii="Times New Roman" w:hAnsi="Times New Roman" w:cs="Times New Roman"/>
      <w:sz w:val="22"/>
    </w:rPr>
  </w:style>
  <w:style w:type="paragraph" w:customStyle="1" w:styleId="RKnormal">
    <w:name w:val="RKnormal"/>
    <w:basedOn w:val="Normal"/>
    <w:link w:val="RKnormalChar"/>
    <w:uiPriority w:val="99"/>
    <w:rsid w:val="00FA5262"/>
    <w:pPr>
      <w:tabs>
        <w:tab w:val="left" w:pos="2835"/>
      </w:tabs>
      <w:overflowPunct w:val="0"/>
      <w:autoSpaceDE w:val="0"/>
      <w:autoSpaceDN w:val="0"/>
      <w:adjustRightInd w:val="0"/>
      <w:spacing w:after="0" w:line="240" w:lineRule="atLeast"/>
      <w:textAlignment w:val="baseline"/>
    </w:pPr>
    <w:rPr>
      <w:sz w:val="24"/>
      <w:szCs w:val="20"/>
      <w:lang w:val="sv-SE"/>
    </w:rPr>
  </w:style>
  <w:style w:type="character" w:customStyle="1" w:styleId="RKnormalChar">
    <w:name w:val="RKnormal Char"/>
    <w:link w:val="RKnormal"/>
    <w:uiPriority w:val="99"/>
    <w:locked/>
    <w:rsid w:val="00FA5262"/>
    <w:rPr>
      <w:sz w:val="24"/>
      <w:lang w:val="sv-SE" w:eastAsia="en-US"/>
    </w:rPr>
  </w:style>
  <w:style w:type="paragraph" w:styleId="DocumentMap">
    <w:name w:val="Document Map"/>
    <w:basedOn w:val="Normal"/>
    <w:link w:val="DocumentMapChar"/>
    <w:uiPriority w:val="99"/>
    <w:semiHidden/>
    <w:rsid w:val="0014288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B7A6B"/>
    <w:rPr>
      <w:rFonts w:ascii="Times New Roman" w:hAnsi="Times New Roman" w:cs="Times New Roman"/>
      <w:sz w:val="2"/>
      <w:lang w:val="da-DK"/>
    </w:rPr>
  </w:style>
  <w:style w:type="paragraph" w:styleId="FootnoteText">
    <w:name w:val="footnote text"/>
    <w:basedOn w:val="Normal"/>
    <w:link w:val="FootnoteTextChar"/>
    <w:uiPriority w:val="99"/>
    <w:semiHidden/>
    <w:rsid w:val="00EB45C4"/>
    <w:pPr>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locked/>
    <w:rsid w:val="00093040"/>
    <w:rPr>
      <w:rFonts w:cs="Times New Roman"/>
      <w:sz w:val="20"/>
      <w:szCs w:val="20"/>
      <w:lang w:val="da-DK"/>
    </w:rPr>
  </w:style>
  <w:style w:type="character" w:styleId="FootnoteReference">
    <w:name w:val="footnote reference"/>
    <w:basedOn w:val="DefaultParagraphFont"/>
    <w:uiPriority w:val="99"/>
    <w:semiHidden/>
    <w:rsid w:val="00EB45C4"/>
    <w:rPr>
      <w:rFonts w:cs="Times New Roman"/>
      <w:vertAlign w:val="superscript"/>
    </w:rPr>
  </w:style>
  <w:style w:type="paragraph" w:styleId="NormalWeb">
    <w:name w:val="Normal (Web)"/>
    <w:basedOn w:val="Normal"/>
    <w:uiPriority w:val="99"/>
    <w:semiHidden/>
    <w:rsid w:val="004D0CF5"/>
    <w:pPr>
      <w:spacing w:before="100" w:beforeAutospacing="1" w:after="100" w:afterAutospacing="1" w:line="240" w:lineRule="auto"/>
    </w:pPr>
    <w:rPr>
      <w:rFonts w:ascii="Times New Roman" w:hAnsi="Times New Roman"/>
      <w:sz w:val="24"/>
      <w:szCs w:val="24"/>
      <w:lang w:val="en-GB" w:eastAsia="en-GB"/>
    </w:rPr>
  </w:style>
  <w:style w:type="character" w:customStyle="1" w:styleId="PlainTextChar">
    <w:name w:val="Plain Text Char"/>
    <w:uiPriority w:val="99"/>
    <w:semiHidden/>
    <w:locked/>
    <w:rsid w:val="00EF0386"/>
    <w:rPr>
      <w:rFonts w:ascii="Consolas" w:hAnsi="Consolas"/>
      <w:sz w:val="21"/>
      <w:lang w:val="fi-FI" w:eastAsia="en-US"/>
    </w:rPr>
  </w:style>
  <w:style w:type="paragraph" w:styleId="PlainText">
    <w:name w:val="Plain Text"/>
    <w:basedOn w:val="Normal"/>
    <w:link w:val="PlainTextChar1"/>
    <w:uiPriority w:val="99"/>
    <w:semiHidden/>
    <w:rsid w:val="00EF0386"/>
    <w:pPr>
      <w:spacing w:after="0" w:line="240" w:lineRule="auto"/>
    </w:pPr>
    <w:rPr>
      <w:rFonts w:ascii="Consolas" w:hAnsi="Consolas"/>
      <w:sz w:val="21"/>
      <w:szCs w:val="20"/>
      <w:lang w:val="fi-FI"/>
    </w:rPr>
  </w:style>
  <w:style w:type="character" w:customStyle="1" w:styleId="PlainTextChar1">
    <w:name w:val="Plain Text Char1"/>
    <w:basedOn w:val="DefaultParagraphFont"/>
    <w:link w:val="PlainText"/>
    <w:uiPriority w:val="99"/>
    <w:semiHidden/>
    <w:locked/>
    <w:rsid w:val="00EF1720"/>
    <w:rPr>
      <w:rFonts w:ascii="Courier New" w:hAnsi="Courier New" w:cs="Courier New"/>
      <w:sz w:val="20"/>
      <w:szCs w:val="20"/>
      <w:lang w:val="da-DK"/>
    </w:rPr>
  </w:style>
  <w:style w:type="paragraph" w:styleId="BalloonText">
    <w:name w:val="Balloon Text"/>
    <w:basedOn w:val="Normal"/>
    <w:link w:val="BalloonTextChar"/>
    <w:uiPriority w:val="99"/>
    <w:semiHidden/>
    <w:unhideWhenUsed/>
    <w:rsid w:val="00573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FEF"/>
    <w:rPr>
      <w:rFonts w:ascii="Tahoma" w:hAnsi="Tahoma" w:cs="Tahoma"/>
      <w:sz w:val="16"/>
      <w:szCs w:val="16"/>
      <w:lang w:val="da-DK"/>
    </w:rPr>
  </w:style>
  <w:style w:type="character" w:styleId="Hyperlink">
    <w:name w:val="Hyperlink"/>
    <w:basedOn w:val="DefaultParagraphFont"/>
    <w:uiPriority w:val="99"/>
    <w:unhideWhenUsed/>
    <w:rsid w:val="009B63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chr.org/Documents/Publications/GuidingPrinciplesBusinessHR_EN.pdf" TargetMode="External"/><Relationship Id="rId13" Type="http://schemas.openxmlformats.org/officeDocument/2006/relationships/hyperlink" Target="http://ec.europa.eu/enterprise/policies/sustainable-business/files/csr-sme/human-rights-sme-guide-final_en.pdf"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ec.europa.eu/enterprise/policies/sustainable-business/files/csr-sme/csr-era-hr-business_en.pd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c.europa.eu/enterprise/policies/sustainable-business/files/csr-sme/csr-oag-hr-business_en.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c.europa.eu/enterprise/policies/sustainable-business/files/csr-sme/csr-ict-hr-business_en.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ec.europa.eu/enterprise/policies/sustainable-business/corporate-social-responsibility/index_en.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AAC088-5CFA-4557-8FF4-5A004A9C69CA}"/>
</file>

<file path=customXml/itemProps2.xml><?xml version="1.0" encoding="utf-8"?>
<ds:datastoreItem xmlns:ds="http://schemas.openxmlformats.org/officeDocument/2006/customXml" ds:itemID="{70AEC867-5562-4534-8A4E-F379C8EFEADC}"/>
</file>

<file path=customXml/itemProps3.xml><?xml version="1.0" encoding="utf-8"?>
<ds:datastoreItem xmlns:ds="http://schemas.openxmlformats.org/officeDocument/2006/customXml" ds:itemID="{CA9121F7-F404-429B-8BBE-36581A105F1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European Union</vt:lpstr>
    </vt:vector>
  </TitlesOfParts>
  <Company>European Commission</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Union</dc:title>
  <dc:creator>im-hjem</dc:creator>
  <cp:lastModifiedBy>Taryn Lesser</cp:lastModifiedBy>
  <cp:revision>2</cp:revision>
  <cp:lastPrinted>2013-12-02T12:05:00Z</cp:lastPrinted>
  <dcterms:created xsi:type="dcterms:W3CDTF">2013-12-11T13:31:00Z</dcterms:created>
  <dcterms:modified xsi:type="dcterms:W3CDTF">2013-12-11T13:31:00Z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2131100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