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9B04B" w14:textId="621AF67C" w:rsidR="00AC01A0" w:rsidRPr="001C1CC5" w:rsidRDefault="00BD5F4B" w:rsidP="001C1CC5">
      <w:pPr>
        <w:spacing w:after="0" w:line="240" w:lineRule="auto"/>
        <w:rPr>
          <w:rFonts w:ascii="Times New Roman" w:hAnsi="Times New Roman" w:cs="Times New Roman"/>
          <w:b/>
          <w:sz w:val="24"/>
          <w:szCs w:val="24"/>
        </w:rPr>
      </w:pPr>
      <w:r w:rsidRPr="00832684">
        <w:rPr>
          <w:rFonts w:ascii="Times New Roman" w:hAnsi="Times New Roman" w:cs="Times New Roman"/>
          <w:b/>
          <w:noProof/>
          <w:sz w:val="24"/>
          <w:szCs w:val="24"/>
          <w:lang w:val="es-ES" w:eastAsia="es-ES"/>
        </w:rPr>
        <mc:AlternateContent>
          <mc:Choice Requires="wps">
            <w:drawing>
              <wp:anchor distT="45720" distB="45720" distL="114300" distR="114300" simplePos="0" relativeHeight="251659264" behindDoc="0" locked="0" layoutInCell="1" allowOverlap="1" wp14:anchorId="5DC8003A" wp14:editId="2093B74F">
                <wp:simplePos x="0" y="0"/>
                <wp:positionH relativeFrom="margin">
                  <wp:align>right</wp:align>
                </wp:positionH>
                <wp:positionV relativeFrom="paragraph">
                  <wp:posOffset>0</wp:posOffset>
                </wp:positionV>
                <wp:extent cx="6296025" cy="976630"/>
                <wp:effectExtent l="0" t="0" r="2857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976630"/>
                        </a:xfrm>
                        <a:prstGeom prst="rect">
                          <a:avLst/>
                        </a:prstGeom>
                        <a:solidFill>
                          <a:srgbClr val="FFFFFF"/>
                        </a:solidFill>
                        <a:ln w="9525">
                          <a:solidFill>
                            <a:srgbClr val="000000"/>
                          </a:solidFill>
                          <a:miter lim="800000"/>
                          <a:headEnd/>
                          <a:tailEnd/>
                        </a:ln>
                      </wps:spPr>
                      <wps:txbx>
                        <w:txbxContent>
                          <w:p w14:paraId="29F52646" w14:textId="27DADED3" w:rsidR="00AE6AAC" w:rsidRPr="00BD5F4B" w:rsidRDefault="00AE6AAC" w:rsidP="00BD5F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Información solicitada por</w:t>
                            </w:r>
                            <w:r w:rsidRPr="00BD5F4B">
                              <w:rPr>
                                <w:rFonts w:ascii="Times New Roman" w:hAnsi="Times New Roman" w:cs="Times New Roman"/>
                                <w:b/>
                                <w:sz w:val="24"/>
                                <w:szCs w:val="24"/>
                              </w:rPr>
                              <w:t xml:space="preserve"> </w:t>
                            </w:r>
                            <w:r>
                              <w:rPr>
                                <w:rFonts w:ascii="Times New Roman" w:hAnsi="Times New Roman" w:cs="Times New Roman"/>
                                <w:b/>
                                <w:sz w:val="24"/>
                                <w:szCs w:val="24"/>
                              </w:rPr>
                              <w:t>el Grupo de Trabajo sobre la cuestión de los derechos humanos y las empresas transnacionales y otras empresas</w:t>
                            </w:r>
                            <w:r w:rsidRPr="00BD5F4B">
                              <w:rPr>
                                <w:rFonts w:ascii="Times New Roman" w:hAnsi="Times New Roman" w:cs="Times New Roman"/>
                                <w:b/>
                                <w:sz w:val="24"/>
                                <w:szCs w:val="24"/>
                              </w:rPr>
                              <w:t>, relativ</w:t>
                            </w:r>
                            <w:r>
                              <w:rPr>
                                <w:rFonts w:ascii="Times New Roman" w:hAnsi="Times New Roman" w:cs="Times New Roman"/>
                                <w:b/>
                                <w:sz w:val="24"/>
                                <w:szCs w:val="24"/>
                              </w:rPr>
                              <w:t>a</w:t>
                            </w:r>
                            <w:r w:rsidRPr="00BD5F4B">
                              <w:rPr>
                                <w:rFonts w:ascii="Times New Roman" w:hAnsi="Times New Roman" w:cs="Times New Roman"/>
                                <w:b/>
                                <w:sz w:val="24"/>
                                <w:szCs w:val="24"/>
                              </w:rPr>
                              <w:t xml:space="preserve"> </w:t>
                            </w:r>
                            <w:r>
                              <w:rPr>
                                <w:rFonts w:ascii="Times New Roman" w:hAnsi="Times New Roman" w:cs="Times New Roman"/>
                                <w:b/>
                                <w:sz w:val="24"/>
                                <w:szCs w:val="24"/>
                              </w:rPr>
                              <w:t>a Acuerdos internacionales de inversión (AII) compatibles con los derechos humanos</w:t>
                            </w:r>
                          </w:p>
                          <w:p w14:paraId="3CCA08CC" w14:textId="494BF244" w:rsidR="00AE6AAC" w:rsidRPr="00BD5F4B" w:rsidRDefault="00AE6AAC" w:rsidP="00BD5F4B">
                            <w:pPr>
                              <w:spacing w:after="0" w:line="240" w:lineRule="auto"/>
                              <w:jc w:val="center"/>
                              <w:rPr>
                                <w:rFonts w:ascii="Times New Roman" w:hAnsi="Times New Roman" w:cs="Times New Roman"/>
                                <w:bCs/>
                                <w:sz w:val="24"/>
                                <w:szCs w:val="24"/>
                                <w:lang w:val="es-ES_tradnl" w:eastAsia="es-ES"/>
                              </w:rPr>
                            </w:pPr>
                            <w:r w:rsidRPr="00BD5F4B">
                              <w:rPr>
                                <w:rFonts w:ascii="Times New Roman" w:hAnsi="Times New Roman" w:cs="Times New Roman"/>
                                <w:sz w:val="24"/>
                                <w:szCs w:val="24"/>
                              </w:rPr>
                              <w:t>Seguimiento a la</w:t>
                            </w:r>
                            <w:r>
                              <w:rPr>
                                <w:rFonts w:ascii="Times New Roman" w:hAnsi="Times New Roman" w:cs="Times New Roman"/>
                                <w:sz w:val="24"/>
                                <w:szCs w:val="24"/>
                              </w:rPr>
                              <w:t>s</w:t>
                            </w:r>
                            <w:r w:rsidRPr="00BD5F4B">
                              <w:rPr>
                                <w:rFonts w:ascii="Times New Roman" w:hAnsi="Times New Roman" w:cs="Times New Roman"/>
                                <w:sz w:val="24"/>
                                <w:szCs w:val="24"/>
                              </w:rPr>
                              <w:t xml:space="preserve"> </w:t>
                            </w:r>
                            <w:r>
                              <w:rPr>
                                <w:rFonts w:ascii="Times New Roman" w:hAnsi="Times New Roman" w:cs="Times New Roman"/>
                                <w:bCs/>
                                <w:sz w:val="24"/>
                                <w:szCs w:val="24"/>
                                <w:lang w:val="es-ES_tradnl" w:eastAsia="es-ES"/>
                              </w:rPr>
                              <w:t>resoluciones</w:t>
                            </w:r>
                            <w:r w:rsidRPr="00BD5F4B">
                              <w:rPr>
                                <w:rFonts w:ascii="Times New Roman" w:hAnsi="Times New Roman" w:cs="Times New Roman"/>
                                <w:bCs/>
                                <w:sz w:val="24"/>
                                <w:szCs w:val="24"/>
                                <w:lang w:val="es-ES_tradnl" w:eastAsia="es-ES"/>
                              </w:rPr>
                              <w:t xml:space="preserve"> </w:t>
                            </w:r>
                            <w:r>
                              <w:rPr>
                                <w:rFonts w:ascii="Times New Roman" w:hAnsi="Times New Roman" w:cs="Times New Roman"/>
                                <w:bCs/>
                                <w:sz w:val="24"/>
                                <w:szCs w:val="24"/>
                                <w:lang w:val="es-ES_tradnl" w:eastAsia="es-ES"/>
                              </w:rPr>
                              <w:t xml:space="preserve">17/4, 35/7 y 44/15 </w:t>
                            </w:r>
                            <w:r w:rsidRPr="00BD5F4B">
                              <w:rPr>
                                <w:rFonts w:ascii="Times New Roman" w:hAnsi="Times New Roman" w:cs="Times New Roman"/>
                                <w:bCs/>
                                <w:sz w:val="24"/>
                                <w:szCs w:val="24"/>
                                <w:lang w:val="es-ES_tradnl" w:eastAsia="es-ES"/>
                              </w:rPr>
                              <w:t>del Consejo de Derechos Humanos</w:t>
                            </w:r>
                          </w:p>
                          <w:p w14:paraId="2DC04AE2" w14:textId="77777777" w:rsidR="00AE6AAC" w:rsidRPr="00BD5F4B" w:rsidRDefault="00AE6AAC" w:rsidP="00BD5F4B">
                            <w:pPr>
                              <w:spacing w:after="0" w:line="240" w:lineRule="auto"/>
                              <w:jc w:val="center"/>
                              <w:rPr>
                                <w:rFonts w:ascii="Times New Roman" w:hAnsi="Times New Roman" w:cs="Times New Roman"/>
                                <w:bCs/>
                                <w:sz w:val="24"/>
                                <w:szCs w:val="24"/>
                                <w:lang w:val="es-ES_tradnl" w:eastAsia="es-ES"/>
                              </w:rPr>
                            </w:pPr>
                            <w:r w:rsidRPr="00BD5F4B">
                              <w:rPr>
                                <w:rFonts w:ascii="Times New Roman" w:hAnsi="Times New Roman" w:cs="Times New Roman"/>
                                <w:bCs/>
                                <w:sz w:val="24"/>
                                <w:szCs w:val="24"/>
                                <w:lang w:val="es-ES_tradnl" w:eastAsia="es-ES"/>
                              </w:rPr>
                              <w:t>Respuesta de México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C8003A" id="_x0000_t202" coordsize="21600,21600" o:spt="202" path="m,l,21600r21600,l21600,xe">
                <v:stroke joinstyle="miter"/>
                <v:path gradientshapeok="t" o:connecttype="rect"/>
              </v:shapetype>
              <v:shape id="Cuadro de texto 2" o:spid="_x0000_s1026" type="#_x0000_t202" style="position:absolute;margin-left:444.55pt;margin-top:0;width:495.75pt;height:76.9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">
                <v:textbox style="mso-fit-shape-to-text:t">
                  <w:txbxContent>
                    <w:p w14:paraId="29F52646" w14:textId="27DADED3" w:rsidR="00AE6AAC" w:rsidRPr="00BD5F4B" w:rsidRDefault="00AE6AAC" w:rsidP="00BD5F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Información solicitada por</w:t>
                      </w:r>
                      <w:r w:rsidRPr="00BD5F4B">
                        <w:rPr>
                          <w:rFonts w:ascii="Times New Roman" w:hAnsi="Times New Roman" w:cs="Times New Roman"/>
                          <w:b/>
                          <w:sz w:val="24"/>
                          <w:szCs w:val="24"/>
                        </w:rPr>
                        <w:t xml:space="preserve"> </w:t>
                      </w:r>
                      <w:r>
                        <w:rPr>
                          <w:rFonts w:ascii="Times New Roman" w:hAnsi="Times New Roman" w:cs="Times New Roman"/>
                          <w:b/>
                          <w:sz w:val="24"/>
                          <w:szCs w:val="24"/>
                        </w:rPr>
                        <w:t>el Grupo de Trabajo sobre la cuestión de los derechos humanos y las empresas transnacionales y otras empresas</w:t>
                      </w:r>
                      <w:r w:rsidRPr="00BD5F4B">
                        <w:rPr>
                          <w:rFonts w:ascii="Times New Roman" w:hAnsi="Times New Roman" w:cs="Times New Roman"/>
                          <w:b/>
                          <w:sz w:val="24"/>
                          <w:szCs w:val="24"/>
                        </w:rPr>
                        <w:t>, relativ</w:t>
                      </w:r>
                      <w:r>
                        <w:rPr>
                          <w:rFonts w:ascii="Times New Roman" w:hAnsi="Times New Roman" w:cs="Times New Roman"/>
                          <w:b/>
                          <w:sz w:val="24"/>
                          <w:szCs w:val="24"/>
                        </w:rPr>
                        <w:t>a</w:t>
                      </w:r>
                      <w:r w:rsidRPr="00BD5F4B">
                        <w:rPr>
                          <w:rFonts w:ascii="Times New Roman" w:hAnsi="Times New Roman" w:cs="Times New Roman"/>
                          <w:b/>
                          <w:sz w:val="24"/>
                          <w:szCs w:val="24"/>
                        </w:rPr>
                        <w:t xml:space="preserve"> </w:t>
                      </w:r>
                      <w:r>
                        <w:rPr>
                          <w:rFonts w:ascii="Times New Roman" w:hAnsi="Times New Roman" w:cs="Times New Roman"/>
                          <w:b/>
                          <w:sz w:val="24"/>
                          <w:szCs w:val="24"/>
                        </w:rPr>
                        <w:t>a Acuerdos internacionales de inversión (AII) compatibles con los derechos humanos</w:t>
                      </w:r>
                    </w:p>
                    <w:p w14:paraId="3CCA08CC" w14:textId="494BF244" w:rsidR="00AE6AAC" w:rsidRPr="00BD5F4B" w:rsidRDefault="00AE6AAC" w:rsidP="00BD5F4B">
                      <w:pPr>
                        <w:spacing w:after="0" w:line="240" w:lineRule="auto"/>
                        <w:jc w:val="center"/>
                        <w:rPr>
                          <w:rFonts w:ascii="Times New Roman" w:hAnsi="Times New Roman" w:cs="Times New Roman"/>
                          <w:bCs/>
                          <w:sz w:val="24"/>
                          <w:szCs w:val="24"/>
                          <w:lang w:val="es-ES_tradnl" w:eastAsia="es-ES"/>
                        </w:rPr>
                      </w:pPr>
                      <w:r w:rsidRPr="00BD5F4B">
                        <w:rPr>
                          <w:rFonts w:ascii="Times New Roman" w:hAnsi="Times New Roman" w:cs="Times New Roman"/>
                          <w:sz w:val="24"/>
                          <w:szCs w:val="24"/>
                        </w:rPr>
                        <w:t>Seguimiento a la</w:t>
                      </w:r>
                      <w:r>
                        <w:rPr>
                          <w:rFonts w:ascii="Times New Roman" w:hAnsi="Times New Roman" w:cs="Times New Roman"/>
                          <w:sz w:val="24"/>
                          <w:szCs w:val="24"/>
                        </w:rPr>
                        <w:t>s</w:t>
                      </w:r>
                      <w:r w:rsidRPr="00BD5F4B">
                        <w:rPr>
                          <w:rFonts w:ascii="Times New Roman" w:hAnsi="Times New Roman" w:cs="Times New Roman"/>
                          <w:sz w:val="24"/>
                          <w:szCs w:val="24"/>
                        </w:rPr>
                        <w:t xml:space="preserve"> </w:t>
                      </w:r>
                      <w:r>
                        <w:rPr>
                          <w:rFonts w:ascii="Times New Roman" w:hAnsi="Times New Roman" w:cs="Times New Roman"/>
                          <w:bCs/>
                          <w:sz w:val="24"/>
                          <w:szCs w:val="24"/>
                          <w:lang w:val="es-ES_tradnl" w:eastAsia="es-ES"/>
                        </w:rPr>
                        <w:t>resoluciones</w:t>
                      </w:r>
                      <w:r w:rsidRPr="00BD5F4B">
                        <w:rPr>
                          <w:rFonts w:ascii="Times New Roman" w:hAnsi="Times New Roman" w:cs="Times New Roman"/>
                          <w:bCs/>
                          <w:sz w:val="24"/>
                          <w:szCs w:val="24"/>
                          <w:lang w:val="es-ES_tradnl" w:eastAsia="es-ES"/>
                        </w:rPr>
                        <w:t xml:space="preserve"> </w:t>
                      </w:r>
                      <w:r>
                        <w:rPr>
                          <w:rFonts w:ascii="Times New Roman" w:hAnsi="Times New Roman" w:cs="Times New Roman"/>
                          <w:bCs/>
                          <w:sz w:val="24"/>
                          <w:szCs w:val="24"/>
                          <w:lang w:val="es-ES_tradnl" w:eastAsia="es-ES"/>
                        </w:rPr>
                        <w:t xml:space="preserve">17/4, 35/7 y 44/15 </w:t>
                      </w:r>
                      <w:r w:rsidRPr="00BD5F4B">
                        <w:rPr>
                          <w:rFonts w:ascii="Times New Roman" w:hAnsi="Times New Roman" w:cs="Times New Roman"/>
                          <w:bCs/>
                          <w:sz w:val="24"/>
                          <w:szCs w:val="24"/>
                          <w:lang w:val="es-ES_tradnl" w:eastAsia="es-ES"/>
                        </w:rPr>
                        <w:t>del Consejo de Derechos Humanos</w:t>
                      </w:r>
                    </w:p>
                    <w:p w14:paraId="2DC04AE2" w14:textId="77777777" w:rsidR="00AE6AAC" w:rsidRPr="00BD5F4B" w:rsidRDefault="00AE6AAC" w:rsidP="00BD5F4B">
                      <w:pPr>
                        <w:spacing w:after="0" w:line="240" w:lineRule="auto"/>
                        <w:jc w:val="center"/>
                        <w:rPr>
                          <w:rFonts w:ascii="Times New Roman" w:hAnsi="Times New Roman" w:cs="Times New Roman"/>
                          <w:bCs/>
                          <w:sz w:val="24"/>
                          <w:szCs w:val="24"/>
                          <w:lang w:val="es-ES_tradnl" w:eastAsia="es-ES"/>
                        </w:rPr>
                      </w:pPr>
                      <w:r w:rsidRPr="00BD5F4B">
                        <w:rPr>
                          <w:rFonts w:ascii="Times New Roman" w:hAnsi="Times New Roman" w:cs="Times New Roman"/>
                          <w:bCs/>
                          <w:sz w:val="24"/>
                          <w:szCs w:val="24"/>
                          <w:lang w:val="es-ES_tradnl" w:eastAsia="es-ES"/>
                        </w:rPr>
                        <w:t>Respuesta de México</w:t>
                      </w:r>
                    </w:p>
                  </w:txbxContent>
                </v:textbox>
                <w10:wrap type="square" anchorx="margin"/>
              </v:shape>
            </w:pict>
          </mc:Fallback>
        </mc:AlternateContent>
      </w:r>
    </w:p>
    <w:p w14:paraId="21C00325" w14:textId="1382ECBB" w:rsidR="00AC01A0" w:rsidRDefault="001C1CC5" w:rsidP="00F7079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Cuestionario</w:t>
      </w:r>
    </w:p>
    <w:p w14:paraId="278E2735" w14:textId="77777777" w:rsidR="001C1CC5" w:rsidRDefault="001C1CC5" w:rsidP="00F7079E">
      <w:pPr>
        <w:spacing w:after="0" w:line="240" w:lineRule="auto"/>
        <w:jc w:val="center"/>
        <w:rPr>
          <w:rFonts w:ascii="Times New Roman" w:eastAsia="Calibri" w:hAnsi="Times New Roman" w:cs="Times New Roman"/>
          <w:b/>
          <w:sz w:val="24"/>
          <w:szCs w:val="24"/>
        </w:rPr>
      </w:pPr>
    </w:p>
    <w:p w14:paraId="1139AE41" w14:textId="33EDF857" w:rsidR="001C1CC5" w:rsidRDefault="001C1CC5" w:rsidP="00F7079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El deber del Estado de proteger los derechos humanos</w:t>
      </w:r>
    </w:p>
    <w:p w14:paraId="20C0788F" w14:textId="77777777" w:rsidR="001C1CC5" w:rsidRPr="00402CB1" w:rsidRDefault="001C1CC5" w:rsidP="00AE6AAC">
      <w:pPr>
        <w:spacing w:after="0" w:line="240" w:lineRule="auto"/>
        <w:jc w:val="both"/>
        <w:rPr>
          <w:rFonts w:ascii="Times New Roman" w:eastAsia="Calibri" w:hAnsi="Times New Roman" w:cs="Times New Roman"/>
          <w:b/>
          <w:sz w:val="24"/>
          <w:szCs w:val="24"/>
        </w:rPr>
      </w:pPr>
    </w:p>
    <w:p w14:paraId="7A961702" w14:textId="23C7D3E6" w:rsidR="00AC01A0" w:rsidRPr="00AC01A0" w:rsidRDefault="001C1CC5" w:rsidP="00AE6AAC">
      <w:pPr>
        <w:pStyle w:val="Prrafodelista"/>
        <w:numPr>
          <w:ilvl w:val="0"/>
          <w:numId w:val="19"/>
        </w:numPr>
        <w:spacing w:after="0" w:line="240" w:lineRule="auto"/>
        <w:jc w:val="both"/>
        <w:rPr>
          <w:rFonts w:ascii="Times New Roman" w:eastAsia="Calibri" w:hAnsi="Times New Roman" w:cs="Times New Roman"/>
          <w:b/>
          <w:sz w:val="24"/>
          <w:szCs w:val="24"/>
        </w:rPr>
      </w:pPr>
      <w:r w:rsidRPr="001C1CC5">
        <w:rPr>
          <w:rFonts w:ascii="Times New Roman" w:eastAsia="Calibri" w:hAnsi="Times New Roman" w:cs="Times New Roman"/>
          <w:b/>
          <w:sz w:val="24"/>
          <w:szCs w:val="24"/>
        </w:rPr>
        <w:t>¿Exigen la Constitución, las leyes o el plan de acción nacional sobre las empresas y los derechos humanos de su Estado la integración de las disposiciones de los derechos humanos en los AII celebrados</w:t>
      </w:r>
      <w:r>
        <w:rPr>
          <w:rFonts w:ascii="Times New Roman" w:eastAsia="Calibri" w:hAnsi="Times New Roman" w:cs="Times New Roman"/>
          <w:b/>
          <w:sz w:val="24"/>
          <w:szCs w:val="24"/>
        </w:rPr>
        <w:t xml:space="preserve"> por su Gobierno</w:t>
      </w:r>
      <w:r w:rsidRPr="001C1CC5">
        <w:rPr>
          <w:rFonts w:ascii="Times New Roman" w:eastAsia="Calibri" w:hAnsi="Times New Roman" w:cs="Times New Roman"/>
          <w:b/>
          <w:sz w:val="24"/>
          <w:szCs w:val="24"/>
        </w:rPr>
        <w:t>?</w:t>
      </w:r>
    </w:p>
    <w:p w14:paraId="0F086F40" w14:textId="77777777" w:rsidR="00AC01A0" w:rsidRDefault="00AC01A0" w:rsidP="00AE6AAC">
      <w:pPr>
        <w:spacing w:after="0" w:line="240" w:lineRule="auto"/>
        <w:jc w:val="both"/>
        <w:rPr>
          <w:rFonts w:ascii="Times New Roman" w:eastAsia="Calibri" w:hAnsi="Times New Roman" w:cs="Times New Roman"/>
          <w:b/>
          <w:sz w:val="24"/>
          <w:szCs w:val="24"/>
        </w:rPr>
      </w:pPr>
    </w:p>
    <w:p w14:paraId="14B75D4C" w14:textId="6C66C7F4" w:rsidR="00EF15BB" w:rsidRDefault="000219F8" w:rsidP="00AE6AAC">
      <w:pPr>
        <w:pStyle w:val="Prrafodelista"/>
        <w:widowControl w:val="0"/>
        <w:autoSpaceDE w:val="0"/>
        <w:autoSpaceDN w:val="0"/>
        <w:adjustRightInd w:val="0"/>
        <w:spacing w:after="240" w:line="240" w:lineRule="auto"/>
        <w:jc w:val="both"/>
        <w:rPr>
          <w:rFonts w:ascii="Times New Roman" w:eastAsia="Calibri" w:hAnsi="Times New Roman" w:cs="Times New Roman"/>
          <w:bCs/>
          <w:sz w:val="24"/>
          <w:szCs w:val="24"/>
        </w:rPr>
      </w:pPr>
      <w:r w:rsidRPr="000219F8">
        <w:rPr>
          <w:rFonts w:ascii="Times New Roman" w:eastAsia="Calibri" w:hAnsi="Times New Roman" w:cs="Times New Roman"/>
          <w:bCs/>
          <w:sz w:val="24"/>
          <w:szCs w:val="24"/>
        </w:rPr>
        <w:t xml:space="preserve">No existe una disposición dentro de la legislación mexicana que requiera la integración de disposiciones de derechos humanos en los AII celebrados por México. </w:t>
      </w:r>
      <w:r w:rsidRPr="00EF15BB">
        <w:rPr>
          <w:rFonts w:ascii="Times New Roman" w:eastAsia="Calibri" w:hAnsi="Times New Roman" w:cs="Times New Roman"/>
          <w:bCs/>
          <w:sz w:val="24"/>
          <w:szCs w:val="24"/>
        </w:rPr>
        <w:t xml:space="preserve">Sin embargo, el artículo 133 de la Constitución Política de los Estados Unidos Mexicanos (CPEUM), señala que la misma Constitución, las leyes del Congreso de la Unión que emanen de ella y los tratados en sintonía, serán </w:t>
      </w:r>
      <w:r w:rsidR="00FF2350" w:rsidRPr="00EF15BB">
        <w:rPr>
          <w:rFonts w:ascii="Times New Roman" w:eastAsia="Calibri" w:hAnsi="Times New Roman" w:cs="Times New Roman"/>
          <w:bCs/>
          <w:sz w:val="24"/>
          <w:szCs w:val="24"/>
        </w:rPr>
        <w:t>Ley Suprema</w:t>
      </w:r>
      <w:r w:rsidRPr="00EF15BB">
        <w:rPr>
          <w:rFonts w:ascii="Times New Roman" w:eastAsia="Calibri" w:hAnsi="Times New Roman" w:cs="Times New Roman"/>
          <w:bCs/>
          <w:sz w:val="24"/>
          <w:szCs w:val="24"/>
        </w:rPr>
        <w:t>.</w:t>
      </w:r>
      <w:r>
        <w:rPr>
          <w:rStyle w:val="Refdenotaalpie"/>
          <w:rFonts w:ascii="Times New Roman" w:eastAsia="Calibri" w:hAnsi="Times New Roman" w:cs="Times New Roman"/>
          <w:bCs/>
          <w:sz w:val="24"/>
          <w:szCs w:val="24"/>
        </w:rPr>
        <w:footnoteReference w:id="1"/>
      </w:r>
    </w:p>
    <w:p w14:paraId="10AC0B7A" w14:textId="77777777" w:rsidR="00EF15BB" w:rsidRPr="00EF15BB" w:rsidRDefault="00EF15BB" w:rsidP="00AE6AAC">
      <w:pPr>
        <w:pStyle w:val="Prrafodelista"/>
        <w:widowControl w:val="0"/>
        <w:autoSpaceDE w:val="0"/>
        <w:autoSpaceDN w:val="0"/>
        <w:adjustRightInd w:val="0"/>
        <w:spacing w:after="240" w:line="240" w:lineRule="auto"/>
        <w:jc w:val="both"/>
        <w:rPr>
          <w:rFonts w:ascii="Times New Roman" w:eastAsia="Calibri" w:hAnsi="Times New Roman" w:cs="Times New Roman"/>
          <w:bCs/>
          <w:sz w:val="24"/>
          <w:szCs w:val="24"/>
        </w:rPr>
      </w:pPr>
    </w:p>
    <w:p w14:paraId="3C244099" w14:textId="73D67972" w:rsidR="001C1CC5" w:rsidRPr="00945A09" w:rsidRDefault="00EF15BB" w:rsidP="00AE6AAC">
      <w:pPr>
        <w:pStyle w:val="Prrafodelista"/>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El</w:t>
      </w:r>
      <w:r w:rsidR="001C1CC5" w:rsidRPr="001C1CC5">
        <w:rPr>
          <w:rFonts w:ascii="Times New Roman" w:eastAsia="Calibri" w:hAnsi="Times New Roman" w:cs="Times New Roman"/>
          <w:bCs/>
          <w:sz w:val="24"/>
          <w:szCs w:val="24"/>
        </w:rPr>
        <w:t xml:space="preserve"> artículo 1º </w:t>
      </w:r>
      <w:r w:rsidR="006C435C">
        <w:rPr>
          <w:rFonts w:ascii="Times New Roman" w:eastAsia="Calibri" w:hAnsi="Times New Roman" w:cs="Times New Roman"/>
          <w:bCs/>
          <w:sz w:val="24"/>
          <w:szCs w:val="24"/>
        </w:rPr>
        <w:t xml:space="preserve">de la </w:t>
      </w:r>
      <w:r w:rsidR="000219F8">
        <w:rPr>
          <w:rFonts w:ascii="Times New Roman" w:eastAsia="Calibri" w:hAnsi="Times New Roman" w:cs="Times New Roman"/>
          <w:bCs/>
          <w:sz w:val="24"/>
          <w:szCs w:val="24"/>
        </w:rPr>
        <w:t>CPEUM</w:t>
      </w:r>
      <w:r w:rsidR="00945A09">
        <w:rPr>
          <w:rFonts w:ascii="Times New Roman" w:eastAsia="Calibri" w:hAnsi="Times New Roman" w:cs="Times New Roman"/>
          <w:bCs/>
          <w:sz w:val="24"/>
          <w:szCs w:val="24"/>
        </w:rPr>
        <w:t xml:space="preserve"> establece que todas las personas en México gozarán de los derechos humanos reconocidos </w:t>
      </w:r>
      <w:r w:rsidR="00945A09" w:rsidRPr="00945A09">
        <w:rPr>
          <w:rFonts w:ascii="Times New Roman" w:eastAsia="Calibri" w:hAnsi="Times New Roman" w:cs="Times New Roman"/>
          <w:bCs/>
          <w:sz w:val="24"/>
          <w:szCs w:val="24"/>
        </w:rPr>
        <w:t>en los tratados internacionales de los que el Estado sea</w:t>
      </w:r>
      <w:r w:rsidR="00945A09">
        <w:rPr>
          <w:rFonts w:ascii="Times New Roman" w:eastAsia="Calibri" w:hAnsi="Times New Roman" w:cs="Times New Roman"/>
          <w:bCs/>
          <w:sz w:val="24"/>
          <w:szCs w:val="24"/>
        </w:rPr>
        <w:t xml:space="preserve"> </w:t>
      </w:r>
      <w:r w:rsidR="00945A09" w:rsidRPr="00945A09">
        <w:rPr>
          <w:rFonts w:ascii="Times New Roman" w:eastAsia="Calibri" w:hAnsi="Times New Roman" w:cs="Times New Roman"/>
          <w:bCs/>
          <w:sz w:val="24"/>
          <w:szCs w:val="24"/>
        </w:rPr>
        <w:t>parte, así como de l</w:t>
      </w:r>
      <w:r w:rsidR="00945A09">
        <w:rPr>
          <w:rFonts w:ascii="Times New Roman" w:eastAsia="Calibri" w:hAnsi="Times New Roman" w:cs="Times New Roman"/>
          <w:bCs/>
          <w:sz w:val="24"/>
          <w:szCs w:val="24"/>
        </w:rPr>
        <w:t>as garantías para su protección.</w:t>
      </w:r>
    </w:p>
    <w:p w14:paraId="334113AC" w14:textId="77777777" w:rsidR="00EF15BB" w:rsidRDefault="00EF15BB" w:rsidP="00AE6AAC">
      <w:pPr>
        <w:pStyle w:val="Prrafodelista"/>
        <w:spacing w:line="240" w:lineRule="auto"/>
        <w:jc w:val="both"/>
        <w:rPr>
          <w:rFonts w:ascii="Times New Roman" w:eastAsia="Calibri" w:hAnsi="Times New Roman" w:cs="Times New Roman"/>
          <w:bCs/>
          <w:sz w:val="24"/>
          <w:szCs w:val="24"/>
        </w:rPr>
      </w:pPr>
    </w:p>
    <w:p w14:paraId="55CF088B" w14:textId="709BA381" w:rsidR="001C1CC5" w:rsidRDefault="000219F8" w:rsidP="00AE6AAC">
      <w:pPr>
        <w:pStyle w:val="Prrafodelista"/>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En</w:t>
      </w:r>
      <w:r w:rsidR="006C435C">
        <w:rPr>
          <w:rFonts w:ascii="Times New Roman" w:eastAsia="Calibri" w:hAnsi="Times New Roman" w:cs="Times New Roman"/>
          <w:bCs/>
          <w:sz w:val="24"/>
          <w:szCs w:val="24"/>
        </w:rPr>
        <w:t xml:space="preserve"> el mismo artículo </w:t>
      </w:r>
      <w:r>
        <w:rPr>
          <w:rFonts w:ascii="Times New Roman" w:eastAsia="Calibri" w:hAnsi="Times New Roman" w:cs="Times New Roman"/>
          <w:bCs/>
          <w:sz w:val="24"/>
          <w:szCs w:val="24"/>
        </w:rPr>
        <w:t xml:space="preserve">se señala </w:t>
      </w:r>
      <w:r w:rsidR="000C6DB1">
        <w:rPr>
          <w:rFonts w:ascii="Times New Roman" w:eastAsia="Calibri" w:hAnsi="Times New Roman" w:cs="Times New Roman"/>
          <w:bCs/>
          <w:sz w:val="24"/>
          <w:szCs w:val="24"/>
        </w:rPr>
        <w:t>que la</w:t>
      </w:r>
      <w:r w:rsidR="00945A09">
        <w:rPr>
          <w:rFonts w:ascii="Times New Roman" w:eastAsia="Calibri" w:hAnsi="Times New Roman" w:cs="Times New Roman"/>
          <w:bCs/>
          <w:sz w:val="24"/>
          <w:szCs w:val="24"/>
        </w:rPr>
        <w:t xml:space="preserve"> interpretación de las normas </w:t>
      </w:r>
      <w:r w:rsidR="000C6DB1">
        <w:rPr>
          <w:rFonts w:ascii="Times New Roman" w:eastAsia="Calibri" w:hAnsi="Times New Roman" w:cs="Times New Roman"/>
          <w:bCs/>
          <w:sz w:val="24"/>
          <w:szCs w:val="24"/>
        </w:rPr>
        <w:t>debe hacerse</w:t>
      </w:r>
      <w:r w:rsidR="00945A09">
        <w:rPr>
          <w:rFonts w:ascii="Times New Roman" w:eastAsia="Calibri" w:hAnsi="Times New Roman" w:cs="Times New Roman"/>
          <w:bCs/>
          <w:sz w:val="24"/>
          <w:szCs w:val="24"/>
        </w:rPr>
        <w:t xml:space="preserve"> </w:t>
      </w:r>
      <w:r w:rsidR="00945A09" w:rsidRPr="00945A09">
        <w:rPr>
          <w:rFonts w:ascii="Times New Roman" w:eastAsia="Calibri" w:hAnsi="Times New Roman" w:cs="Times New Roman"/>
          <w:bCs/>
          <w:sz w:val="24"/>
          <w:szCs w:val="24"/>
        </w:rPr>
        <w:t xml:space="preserve">de conformidad con </w:t>
      </w:r>
      <w:r w:rsidR="00945A09">
        <w:rPr>
          <w:rFonts w:ascii="Times New Roman" w:eastAsia="Calibri" w:hAnsi="Times New Roman" w:cs="Times New Roman"/>
          <w:bCs/>
          <w:sz w:val="24"/>
          <w:szCs w:val="24"/>
        </w:rPr>
        <w:t xml:space="preserve">la </w:t>
      </w:r>
      <w:r w:rsidR="00945A09" w:rsidRPr="00945A09">
        <w:rPr>
          <w:rFonts w:ascii="Times New Roman" w:eastAsia="Calibri" w:hAnsi="Times New Roman" w:cs="Times New Roman"/>
          <w:bCs/>
          <w:sz w:val="24"/>
          <w:szCs w:val="24"/>
        </w:rPr>
        <w:t xml:space="preserve">Constitución y con los tratados internacionales </w:t>
      </w:r>
      <w:r w:rsidR="00945A09">
        <w:rPr>
          <w:rFonts w:ascii="Times New Roman" w:eastAsia="Calibri" w:hAnsi="Times New Roman" w:cs="Times New Roman"/>
          <w:bCs/>
          <w:sz w:val="24"/>
          <w:szCs w:val="24"/>
        </w:rPr>
        <w:t>en</w:t>
      </w:r>
      <w:r w:rsidR="00945A09" w:rsidRPr="00945A09">
        <w:rPr>
          <w:rFonts w:ascii="Times New Roman" w:eastAsia="Calibri" w:hAnsi="Times New Roman" w:cs="Times New Roman"/>
          <w:bCs/>
          <w:sz w:val="24"/>
          <w:szCs w:val="24"/>
        </w:rPr>
        <w:t xml:space="preserve"> materi</w:t>
      </w:r>
      <w:r w:rsidR="000C6DB1">
        <w:rPr>
          <w:rFonts w:ascii="Times New Roman" w:eastAsia="Calibri" w:hAnsi="Times New Roman" w:cs="Times New Roman"/>
          <w:bCs/>
          <w:sz w:val="24"/>
          <w:szCs w:val="24"/>
        </w:rPr>
        <w:t>a de derechos humanos</w:t>
      </w:r>
      <w:r w:rsidR="00945A09">
        <w:rPr>
          <w:rFonts w:ascii="Times New Roman" w:eastAsia="Calibri" w:hAnsi="Times New Roman" w:cs="Times New Roman"/>
          <w:bCs/>
          <w:sz w:val="24"/>
          <w:szCs w:val="24"/>
        </w:rPr>
        <w:t>,</w:t>
      </w:r>
      <w:r w:rsidR="00945A09" w:rsidRPr="00945A09">
        <w:rPr>
          <w:rFonts w:ascii="Times New Roman" w:eastAsia="Calibri" w:hAnsi="Times New Roman" w:cs="Times New Roman"/>
          <w:bCs/>
          <w:sz w:val="24"/>
          <w:szCs w:val="24"/>
        </w:rPr>
        <w:t xml:space="preserve"> favoreciendo la protección más amplia</w:t>
      </w:r>
      <w:r w:rsidR="000C6DB1">
        <w:rPr>
          <w:rFonts w:ascii="Times New Roman" w:eastAsia="Calibri" w:hAnsi="Times New Roman" w:cs="Times New Roman"/>
          <w:bCs/>
          <w:sz w:val="24"/>
          <w:szCs w:val="24"/>
        </w:rPr>
        <w:t xml:space="preserve"> a las personas</w:t>
      </w:r>
      <w:r w:rsidR="00945A09">
        <w:rPr>
          <w:rFonts w:ascii="Times New Roman" w:eastAsia="Calibri" w:hAnsi="Times New Roman" w:cs="Times New Roman"/>
          <w:bCs/>
          <w:sz w:val="24"/>
          <w:szCs w:val="24"/>
        </w:rPr>
        <w:t>. As</w:t>
      </w:r>
      <w:r w:rsidR="00D4209D">
        <w:rPr>
          <w:rFonts w:ascii="Times New Roman" w:eastAsia="Calibri" w:hAnsi="Times New Roman" w:cs="Times New Roman"/>
          <w:bCs/>
          <w:sz w:val="24"/>
          <w:szCs w:val="24"/>
        </w:rPr>
        <w:t>i</w:t>
      </w:r>
      <w:r w:rsidR="00945A09">
        <w:rPr>
          <w:rFonts w:ascii="Times New Roman" w:eastAsia="Calibri" w:hAnsi="Times New Roman" w:cs="Times New Roman"/>
          <w:bCs/>
          <w:sz w:val="24"/>
          <w:szCs w:val="24"/>
        </w:rPr>
        <w:t>mismo, apunta</w:t>
      </w:r>
      <w:r w:rsidR="006C435C">
        <w:rPr>
          <w:rFonts w:ascii="Times New Roman" w:eastAsia="Calibri" w:hAnsi="Times New Roman" w:cs="Times New Roman"/>
          <w:bCs/>
          <w:sz w:val="24"/>
          <w:szCs w:val="24"/>
        </w:rPr>
        <w:t xml:space="preserve"> la obligación de las autoridades respecto a la promoción, respeto, protección y garantía de los derechos humanos conforme a </w:t>
      </w:r>
      <w:r w:rsidR="001C1CC5" w:rsidRPr="001C1CC5">
        <w:rPr>
          <w:rFonts w:ascii="Times New Roman" w:eastAsia="Calibri" w:hAnsi="Times New Roman" w:cs="Times New Roman"/>
          <w:bCs/>
          <w:sz w:val="24"/>
          <w:szCs w:val="24"/>
        </w:rPr>
        <w:t xml:space="preserve">los principios de universalidad, interdependencia, </w:t>
      </w:r>
      <w:r w:rsidR="006C435C">
        <w:rPr>
          <w:rFonts w:ascii="Times New Roman" w:eastAsia="Calibri" w:hAnsi="Times New Roman" w:cs="Times New Roman"/>
          <w:bCs/>
          <w:sz w:val="24"/>
          <w:szCs w:val="24"/>
        </w:rPr>
        <w:t>indivisibilidad y progresividad</w:t>
      </w:r>
      <w:r w:rsidR="001C1CC5" w:rsidRPr="001C1CC5">
        <w:rPr>
          <w:rFonts w:ascii="Times New Roman" w:eastAsia="Calibri" w:hAnsi="Times New Roman" w:cs="Times New Roman"/>
          <w:bCs/>
          <w:sz w:val="24"/>
          <w:szCs w:val="24"/>
        </w:rPr>
        <w:t>,</w:t>
      </w:r>
      <w:r w:rsidR="006C435C">
        <w:rPr>
          <w:rFonts w:ascii="Times New Roman" w:eastAsia="Calibri" w:hAnsi="Times New Roman" w:cs="Times New Roman"/>
          <w:bCs/>
          <w:sz w:val="24"/>
          <w:szCs w:val="24"/>
        </w:rPr>
        <w:t xml:space="preserve"> y el deber</w:t>
      </w:r>
      <w:r w:rsidR="001C1CC5" w:rsidRPr="001C1CC5">
        <w:rPr>
          <w:rFonts w:ascii="Times New Roman" w:eastAsia="Calibri" w:hAnsi="Times New Roman" w:cs="Times New Roman"/>
          <w:bCs/>
          <w:sz w:val="24"/>
          <w:szCs w:val="24"/>
        </w:rPr>
        <w:t xml:space="preserve"> </w:t>
      </w:r>
      <w:r w:rsidR="006C435C">
        <w:rPr>
          <w:rFonts w:ascii="Times New Roman" w:eastAsia="Calibri" w:hAnsi="Times New Roman" w:cs="Times New Roman"/>
          <w:bCs/>
          <w:sz w:val="24"/>
          <w:szCs w:val="24"/>
        </w:rPr>
        <w:t>d</w:t>
      </w:r>
      <w:r w:rsidR="001C1CC5" w:rsidRPr="001C1CC5">
        <w:rPr>
          <w:rFonts w:ascii="Times New Roman" w:eastAsia="Calibri" w:hAnsi="Times New Roman" w:cs="Times New Roman"/>
          <w:bCs/>
          <w:sz w:val="24"/>
          <w:szCs w:val="24"/>
        </w:rPr>
        <w:t xml:space="preserve">el Estado </w:t>
      </w:r>
      <w:r w:rsidR="006C435C">
        <w:rPr>
          <w:rFonts w:ascii="Times New Roman" w:eastAsia="Calibri" w:hAnsi="Times New Roman" w:cs="Times New Roman"/>
          <w:bCs/>
          <w:sz w:val="24"/>
          <w:szCs w:val="24"/>
        </w:rPr>
        <w:t>de</w:t>
      </w:r>
      <w:r w:rsidR="001C1CC5" w:rsidRPr="001C1CC5">
        <w:rPr>
          <w:rFonts w:ascii="Times New Roman" w:eastAsia="Calibri" w:hAnsi="Times New Roman" w:cs="Times New Roman"/>
          <w:bCs/>
          <w:sz w:val="24"/>
          <w:szCs w:val="24"/>
        </w:rPr>
        <w:t xml:space="preserve"> prevenir, investigar, sancionar y reparar las violaciones a los derechos humanos, en los </w:t>
      </w:r>
      <w:r w:rsidR="006C435C">
        <w:rPr>
          <w:rFonts w:ascii="Times New Roman" w:eastAsia="Calibri" w:hAnsi="Times New Roman" w:cs="Times New Roman"/>
          <w:bCs/>
          <w:sz w:val="24"/>
          <w:szCs w:val="24"/>
        </w:rPr>
        <w:t>términos que establezca la ley.</w:t>
      </w:r>
    </w:p>
    <w:p w14:paraId="629C8AD8" w14:textId="77777777" w:rsidR="00EF15BB" w:rsidRDefault="00EF15BB" w:rsidP="00AE6AAC">
      <w:pPr>
        <w:pStyle w:val="Prrafodelista"/>
        <w:spacing w:line="240" w:lineRule="auto"/>
        <w:jc w:val="both"/>
        <w:rPr>
          <w:rFonts w:ascii="Times New Roman" w:eastAsia="Calibri" w:hAnsi="Times New Roman" w:cs="Times New Roman"/>
          <w:bCs/>
          <w:sz w:val="24"/>
          <w:szCs w:val="24"/>
        </w:rPr>
      </w:pPr>
    </w:p>
    <w:p w14:paraId="05FDF69D" w14:textId="3D1AEDCA" w:rsidR="00EF15BB" w:rsidRDefault="00EF15BB" w:rsidP="00AE6AAC">
      <w:pPr>
        <w:pStyle w:val="Prrafodelista"/>
        <w:spacing w:line="24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rPr>
        <w:t>Por su parte, l</w:t>
      </w:r>
      <w:r w:rsidR="000219F8">
        <w:rPr>
          <w:rFonts w:ascii="Times New Roman" w:eastAsia="Calibri" w:hAnsi="Times New Roman" w:cs="Times New Roman"/>
          <w:bCs/>
          <w:sz w:val="24"/>
          <w:szCs w:val="24"/>
        </w:rPr>
        <w:t xml:space="preserve">a </w:t>
      </w:r>
      <w:r w:rsidR="000219F8" w:rsidRPr="000219F8">
        <w:rPr>
          <w:rFonts w:ascii="Times New Roman" w:eastAsia="Calibri" w:hAnsi="Times New Roman" w:cs="Times New Roman"/>
          <w:bCs/>
          <w:sz w:val="24"/>
          <w:szCs w:val="24"/>
          <w:lang w:val="es-ES"/>
        </w:rPr>
        <w:t xml:space="preserve">Ley sobre la Aprobación de Tratados Internacionales en Materia Económica establece en su artículo 2 que los tratados deberán estar de acuerdo con la CPEUM, respetando </w:t>
      </w:r>
      <w:r w:rsidR="000C6DB1">
        <w:rPr>
          <w:rFonts w:ascii="Times New Roman" w:eastAsia="Calibri" w:hAnsi="Times New Roman" w:cs="Times New Roman"/>
          <w:bCs/>
          <w:sz w:val="24"/>
          <w:szCs w:val="24"/>
          <w:lang w:val="es-ES"/>
        </w:rPr>
        <w:t>los derechos humanos</w:t>
      </w:r>
      <w:r w:rsidR="000219F8" w:rsidRPr="000219F8">
        <w:rPr>
          <w:rFonts w:ascii="Times New Roman" w:eastAsia="Calibri" w:hAnsi="Times New Roman" w:cs="Times New Roman"/>
          <w:bCs/>
          <w:sz w:val="24"/>
          <w:szCs w:val="24"/>
          <w:lang w:val="es-ES"/>
        </w:rPr>
        <w:t>.</w:t>
      </w:r>
      <w:r w:rsidR="00EF7A3B">
        <w:rPr>
          <w:rStyle w:val="Refdenotaalpie"/>
          <w:rFonts w:ascii="Times New Roman" w:eastAsia="Calibri" w:hAnsi="Times New Roman" w:cs="Times New Roman"/>
          <w:bCs/>
          <w:sz w:val="24"/>
          <w:szCs w:val="24"/>
          <w:lang w:val="es-ES"/>
        </w:rPr>
        <w:footnoteReference w:id="2"/>
      </w:r>
      <w:r w:rsidR="000219F8" w:rsidRPr="000219F8">
        <w:rPr>
          <w:rFonts w:ascii="Times New Roman" w:eastAsia="Calibri" w:hAnsi="Times New Roman" w:cs="Times New Roman"/>
          <w:bCs/>
          <w:sz w:val="24"/>
          <w:szCs w:val="24"/>
          <w:lang w:val="es-ES"/>
        </w:rPr>
        <w:t xml:space="preserve"> </w:t>
      </w:r>
    </w:p>
    <w:p w14:paraId="1DF622A3" w14:textId="77777777" w:rsidR="00EF15BB" w:rsidRPr="00EF15BB" w:rsidRDefault="00EF15BB" w:rsidP="00AE6AAC">
      <w:pPr>
        <w:pStyle w:val="Prrafodelista"/>
        <w:spacing w:line="240" w:lineRule="auto"/>
        <w:jc w:val="both"/>
        <w:rPr>
          <w:rFonts w:ascii="Times New Roman" w:eastAsia="Calibri" w:hAnsi="Times New Roman" w:cs="Times New Roman"/>
          <w:bCs/>
          <w:sz w:val="24"/>
          <w:szCs w:val="24"/>
          <w:lang w:val="es-ES"/>
        </w:rPr>
      </w:pPr>
    </w:p>
    <w:p w14:paraId="603F5E6D" w14:textId="42432643" w:rsidR="00AD2C81" w:rsidRDefault="00AD2C81" w:rsidP="00AE6AAC">
      <w:pPr>
        <w:pStyle w:val="Prrafodelista"/>
        <w:spacing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Aunque en los AII no se integran di</w:t>
      </w:r>
      <w:r w:rsidR="00AC4DDF">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posiciones de derechos humanos, </w:t>
      </w:r>
      <w:r w:rsidR="00EF15BB">
        <w:rPr>
          <w:rFonts w:ascii="Times New Roman" w:eastAsia="Calibri" w:hAnsi="Times New Roman" w:cs="Times New Roman"/>
          <w:bCs/>
          <w:sz w:val="24"/>
          <w:szCs w:val="24"/>
        </w:rPr>
        <w:t>dichos</w:t>
      </w:r>
      <w:r>
        <w:rPr>
          <w:rFonts w:ascii="Times New Roman" w:eastAsia="Calibri" w:hAnsi="Times New Roman" w:cs="Times New Roman"/>
          <w:bCs/>
          <w:sz w:val="24"/>
          <w:szCs w:val="24"/>
        </w:rPr>
        <w:t xml:space="preserve"> acuerdos </w:t>
      </w:r>
      <w:r w:rsidRPr="00AD2C81">
        <w:rPr>
          <w:rFonts w:ascii="Times New Roman" w:eastAsia="Calibri" w:hAnsi="Times New Roman" w:cs="Times New Roman"/>
          <w:bCs/>
          <w:sz w:val="24"/>
          <w:szCs w:val="24"/>
        </w:rPr>
        <w:t>celebrados por México</w:t>
      </w:r>
      <w:r>
        <w:rPr>
          <w:rFonts w:ascii="Times New Roman" w:eastAsia="Calibri" w:hAnsi="Times New Roman" w:cs="Times New Roman"/>
          <w:bCs/>
          <w:sz w:val="24"/>
          <w:szCs w:val="24"/>
        </w:rPr>
        <w:t>,</w:t>
      </w:r>
      <w:r w:rsidRPr="00AD2C81">
        <w:rPr>
          <w:rFonts w:ascii="Times New Roman" w:eastAsia="Calibri" w:hAnsi="Times New Roman" w:cs="Times New Roman"/>
          <w:bCs/>
          <w:sz w:val="24"/>
          <w:szCs w:val="24"/>
        </w:rPr>
        <w:t xml:space="preserve"> para ser considerados ley suprema</w:t>
      </w:r>
      <w:r>
        <w:rPr>
          <w:rFonts w:ascii="Times New Roman" w:eastAsia="Calibri" w:hAnsi="Times New Roman" w:cs="Times New Roman"/>
          <w:bCs/>
          <w:sz w:val="24"/>
          <w:szCs w:val="24"/>
        </w:rPr>
        <w:t>,</w:t>
      </w:r>
      <w:r w:rsidRPr="00AD2C81">
        <w:rPr>
          <w:rFonts w:ascii="Times New Roman" w:eastAsia="Calibri" w:hAnsi="Times New Roman" w:cs="Times New Roman"/>
          <w:bCs/>
          <w:sz w:val="24"/>
          <w:szCs w:val="24"/>
        </w:rPr>
        <w:t xml:space="preserve"> deberán estar de acuerdo con la CPEUM, incluyendo el respeto </w:t>
      </w:r>
      <w:r>
        <w:rPr>
          <w:rFonts w:ascii="Times New Roman" w:eastAsia="Calibri" w:hAnsi="Times New Roman" w:cs="Times New Roman"/>
          <w:bCs/>
          <w:sz w:val="24"/>
          <w:szCs w:val="24"/>
        </w:rPr>
        <w:t>a</w:t>
      </w:r>
      <w:r w:rsidRPr="00AD2C81">
        <w:rPr>
          <w:rFonts w:ascii="Times New Roman" w:eastAsia="Calibri" w:hAnsi="Times New Roman" w:cs="Times New Roman"/>
          <w:bCs/>
          <w:sz w:val="24"/>
          <w:szCs w:val="24"/>
        </w:rPr>
        <w:t xml:space="preserve"> los derechos humanos en ella consignados y en los tratados internac</w:t>
      </w:r>
      <w:r>
        <w:rPr>
          <w:rFonts w:ascii="Times New Roman" w:eastAsia="Calibri" w:hAnsi="Times New Roman" w:cs="Times New Roman"/>
          <w:bCs/>
          <w:sz w:val="24"/>
          <w:szCs w:val="24"/>
        </w:rPr>
        <w:t>ionales de los que México es p</w:t>
      </w:r>
      <w:r w:rsidRPr="00AD2C81">
        <w:rPr>
          <w:rFonts w:ascii="Times New Roman" w:eastAsia="Calibri" w:hAnsi="Times New Roman" w:cs="Times New Roman"/>
          <w:bCs/>
          <w:sz w:val="24"/>
          <w:szCs w:val="24"/>
        </w:rPr>
        <w:t>arte.</w:t>
      </w:r>
    </w:p>
    <w:p w14:paraId="694B24D8" w14:textId="77777777" w:rsidR="00EF15BB" w:rsidRPr="00AD2C81" w:rsidRDefault="00EF15BB" w:rsidP="00AE6AAC">
      <w:pPr>
        <w:pStyle w:val="Prrafodelista"/>
        <w:spacing w:line="240" w:lineRule="auto"/>
        <w:jc w:val="both"/>
        <w:rPr>
          <w:rFonts w:ascii="Times New Roman" w:eastAsia="Calibri" w:hAnsi="Times New Roman" w:cs="Times New Roman"/>
          <w:bCs/>
          <w:sz w:val="24"/>
          <w:szCs w:val="24"/>
        </w:rPr>
      </w:pPr>
    </w:p>
    <w:p w14:paraId="0D49A83E" w14:textId="2D232D04" w:rsidR="00083261" w:rsidRDefault="00AD2C81" w:rsidP="00AE6AAC">
      <w:pPr>
        <w:pStyle w:val="Prrafodelista"/>
        <w:spacing w:line="240" w:lineRule="auto"/>
        <w:jc w:val="both"/>
        <w:rPr>
          <w:rFonts w:ascii="Times New Roman" w:eastAsia="Calibri" w:hAnsi="Times New Roman" w:cs="Times New Roman"/>
          <w:bCs/>
          <w:sz w:val="24"/>
          <w:szCs w:val="24"/>
        </w:rPr>
      </w:pPr>
      <w:r w:rsidRPr="00AD2C81">
        <w:rPr>
          <w:rFonts w:ascii="Times New Roman" w:eastAsia="Calibri" w:hAnsi="Times New Roman" w:cs="Times New Roman"/>
          <w:bCs/>
          <w:sz w:val="24"/>
          <w:szCs w:val="24"/>
        </w:rPr>
        <w:t xml:space="preserve">Aunado a lo anterior, </w:t>
      </w:r>
      <w:r w:rsidR="00EF15BB">
        <w:rPr>
          <w:rFonts w:ascii="Times New Roman" w:eastAsia="Calibri" w:hAnsi="Times New Roman" w:cs="Times New Roman"/>
          <w:bCs/>
          <w:sz w:val="24"/>
          <w:szCs w:val="24"/>
        </w:rPr>
        <w:t>se informa que el Gobierno de México ha</w:t>
      </w:r>
      <w:r w:rsidRPr="00AD2C81">
        <w:rPr>
          <w:rFonts w:ascii="Times New Roman" w:eastAsia="Calibri" w:hAnsi="Times New Roman" w:cs="Times New Roman"/>
          <w:bCs/>
          <w:sz w:val="24"/>
          <w:szCs w:val="24"/>
        </w:rPr>
        <w:t xml:space="preserve"> coordinado esfuerzos para que, tal y como </w:t>
      </w:r>
      <w:r>
        <w:rPr>
          <w:rFonts w:ascii="Times New Roman" w:eastAsia="Calibri" w:hAnsi="Times New Roman" w:cs="Times New Roman"/>
          <w:bCs/>
          <w:sz w:val="24"/>
          <w:szCs w:val="24"/>
        </w:rPr>
        <w:t>se establece en</w:t>
      </w:r>
      <w:r w:rsidRPr="00AD2C81">
        <w:rPr>
          <w:rFonts w:ascii="Times New Roman" w:eastAsia="Calibri" w:hAnsi="Times New Roman" w:cs="Times New Roman"/>
          <w:bCs/>
          <w:sz w:val="24"/>
          <w:szCs w:val="24"/>
        </w:rPr>
        <w:t xml:space="preserve"> los Principios Rectores, el Estado mexicano consolide un Pla</w:t>
      </w:r>
      <w:r>
        <w:rPr>
          <w:rFonts w:ascii="Times New Roman" w:eastAsia="Calibri" w:hAnsi="Times New Roman" w:cs="Times New Roman"/>
          <w:bCs/>
          <w:sz w:val="24"/>
          <w:szCs w:val="24"/>
        </w:rPr>
        <w:t>n</w:t>
      </w:r>
      <w:r w:rsidRPr="00AD2C81">
        <w:rPr>
          <w:rFonts w:ascii="Times New Roman" w:eastAsia="Calibri" w:hAnsi="Times New Roman" w:cs="Times New Roman"/>
          <w:bCs/>
          <w:sz w:val="24"/>
          <w:szCs w:val="24"/>
        </w:rPr>
        <w:t xml:space="preserve"> de Acción de</w:t>
      </w:r>
      <w:r>
        <w:rPr>
          <w:rFonts w:ascii="Times New Roman" w:eastAsia="Calibri" w:hAnsi="Times New Roman" w:cs="Times New Roman"/>
          <w:bCs/>
          <w:sz w:val="24"/>
          <w:szCs w:val="24"/>
        </w:rPr>
        <w:t xml:space="preserve"> Empresas y Derechos Humanos. </w:t>
      </w:r>
      <w:r w:rsidR="00EF15BB">
        <w:rPr>
          <w:rFonts w:ascii="Times New Roman" w:eastAsia="Calibri" w:hAnsi="Times New Roman" w:cs="Times New Roman"/>
          <w:bCs/>
          <w:sz w:val="24"/>
          <w:szCs w:val="24"/>
        </w:rPr>
        <w:t>A partir de</w:t>
      </w:r>
      <w:r>
        <w:rPr>
          <w:rFonts w:ascii="Times New Roman" w:eastAsia="Calibri" w:hAnsi="Times New Roman" w:cs="Times New Roman"/>
          <w:bCs/>
          <w:sz w:val="24"/>
          <w:szCs w:val="24"/>
        </w:rPr>
        <w:t xml:space="preserve"> </w:t>
      </w:r>
      <w:r w:rsidRPr="00AD2C81">
        <w:rPr>
          <w:rFonts w:ascii="Times New Roman" w:eastAsia="Calibri" w:hAnsi="Times New Roman" w:cs="Times New Roman"/>
          <w:bCs/>
          <w:sz w:val="24"/>
          <w:szCs w:val="24"/>
        </w:rPr>
        <w:t xml:space="preserve">la publicación del Programa Nacional de </w:t>
      </w:r>
      <w:r w:rsidRPr="00AD2C81">
        <w:rPr>
          <w:rFonts w:ascii="Times New Roman" w:eastAsia="Calibri" w:hAnsi="Times New Roman" w:cs="Times New Roman"/>
          <w:bCs/>
          <w:sz w:val="24"/>
          <w:szCs w:val="24"/>
        </w:rPr>
        <w:lastRenderedPageBreak/>
        <w:t xml:space="preserve">Derechos Humanos 2020- 2024 (PNDH), </w:t>
      </w:r>
      <w:r>
        <w:rPr>
          <w:rFonts w:ascii="Times New Roman" w:eastAsia="Calibri" w:hAnsi="Times New Roman" w:cs="Times New Roman"/>
          <w:bCs/>
          <w:sz w:val="24"/>
          <w:szCs w:val="24"/>
        </w:rPr>
        <w:t xml:space="preserve">en diciembre pasado, </w:t>
      </w:r>
      <w:r w:rsidRPr="00AD2C81">
        <w:rPr>
          <w:rFonts w:ascii="Times New Roman" w:eastAsia="Calibri" w:hAnsi="Times New Roman" w:cs="Times New Roman"/>
          <w:bCs/>
          <w:sz w:val="24"/>
          <w:szCs w:val="24"/>
        </w:rPr>
        <w:t xml:space="preserve">se han iniciado los trabajos para </w:t>
      </w:r>
      <w:r>
        <w:rPr>
          <w:rFonts w:ascii="Times New Roman" w:eastAsia="Calibri" w:hAnsi="Times New Roman" w:cs="Times New Roman"/>
          <w:bCs/>
          <w:sz w:val="24"/>
          <w:szCs w:val="24"/>
        </w:rPr>
        <w:t>su</w:t>
      </w:r>
      <w:r w:rsidRPr="00AD2C81">
        <w:rPr>
          <w:rFonts w:ascii="Times New Roman" w:eastAsia="Calibri" w:hAnsi="Times New Roman" w:cs="Times New Roman"/>
          <w:bCs/>
          <w:sz w:val="24"/>
          <w:szCs w:val="24"/>
        </w:rPr>
        <w:t xml:space="preserve"> elaboración</w:t>
      </w:r>
      <w:r>
        <w:rPr>
          <w:rFonts w:ascii="Times New Roman" w:eastAsia="Calibri" w:hAnsi="Times New Roman" w:cs="Times New Roman"/>
          <w:bCs/>
          <w:sz w:val="24"/>
          <w:szCs w:val="24"/>
        </w:rPr>
        <w:t>.</w:t>
      </w:r>
    </w:p>
    <w:p w14:paraId="21B0A20D" w14:textId="77777777" w:rsidR="00AD2C81" w:rsidRDefault="00AD2C81" w:rsidP="00AE6AAC">
      <w:pPr>
        <w:pStyle w:val="Prrafodelista"/>
        <w:spacing w:line="240" w:lineRule="auto"/>
        <w:jc w:val="both"/>
        <w:rPr>
          <w:rFonts w:ascii="Times New Roman" w:eastAsia="Calibri" w:hAnsi="Times New Roman" w:cs="Times New Roman"/>
          <w:bCs/>
          <w:sz w:val="24"/>
          <w:szCs w:val="24"/>
        </w:rPr>
      </w:pPr>
    </w:p>
    <w:p w14:paraId="4418D554" w14:textId="78F32A16" w:rsidR="00AD2C81"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¿Existe algún mecanismo o proceso (por ejemplo, un comité interministerial, una evaluación previa del impacto sobre los derechos humanos) para evaluar y garantizar que los AII son compatibles con las obligaciones internacionales de su país en materia de derechos humanos?</w:t>
      </w:r>
    </w:p>
    <w:p w14:paraId="68EAD03E" w14:textId="77777777" w:rsidR="00D4209D" w:rsidRDefault="00D4209D" w:rsidP="00AE6AAC">
      <w:pPr>
        <w:pStyle w:val="Prrafodelista"/>
        <w:spacing w:line="240" w:lineRule="auto"/>
        <w:jc w:val="both"/>
        <w:rPr>
          <w:rFonts w:ascii="Times New Roman" w:eastAsia="Calibri" w:hAnsi="Times New Roman" w:cs="Times New Roman"/>
          <w:b/>
          <w:sz w:val="24"/>
          <w:szCs w:val="24"/>
        </w:rPr>
      </w:pPr>
    </w:p>
    <w:p w14:paraId="020A2645" w14:textId="4F9876C6" w:rsidR="00D4209D" w:rsidRPr="00D4209D" w:rsidRDefault="00EF15BB" w:rsidP="00AE6AAC">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Como ya se mencion</w:t>
      </w:r>
      <w:r w:rsidR="00D4209D">
        <w:rPr>
          <w:rFonts w:ascii="Times New Roman" w:eastAsia="Calibri" w:hAnsi="Times New Roman" w:cs="Times New Roman"/>
          <w:sz w:val="24"/>
          <w:szCs w:val="24"/>
        </w:rPr>
        <w:t xml:space="preserve">ó, de conformidad con el artículo </w:t>
      </w:r>
      <w:r>
        <w:rPr>
          <w:rFonts w:ascii="Times New Roman" w:eastAsia="Calibri" w:hAnsi="Times New Roman" w:cs="Times New Roman"/>
          <w:sz w:val="24"/>
          <w:szCs w:val="24"/>
        </w:rPr>
        <w:t xml:space="preserve">1º de la CPEUM -respecto a la obligación de las autoridades- se garantiza </w:t>
      </w:r>
      <w:r w:rsidRPr="00EF15BB">
        <w:rPr>
          <w:rFonts w:ascii="Times New Roman" w:eastAsia="Calibri" w:hAnsi="Times New Roman" w:cs="Times New Roman"/>
          <w:sz w:val="24"/>
          <w:szCs w:val="24"/>
        </w:rPr>
        <w:t xml:space="preserve">la compatibilidad de los AII respecto de los derechos humanos reconocidos en la CPEUM y en los tratados internacionales </w:t>
      </w:r>
      <w:r w:rsidR="000C6DB1">
        <w:rPr>
          <w:rFonts w:ascii="Times New Roman" w:eastAsia="Calibri" w:hAnsi="Times New Roman" w:cs="Times New Roman"/>
          <w:sz w:val="24"/>
          <w:szCs w:val="24"/>
        </w:rPr>
        <w:t>ratificados</w:t>
      </w:r>
      <w:r w:rsidRPr="00EF15BB">
        <w:rPr>
          <w:rFonts w:ascii="Times New Roman" w:eastAsia="Calibri" w:hAnsi="Times New Roman" w:cs="Times New Roman"/>
          <w:sz w:val="24"/>
          <w:szCs w:val="24"/>
        </w:rPr>
        <w:t xml:space="preserve"> por México.</w:t>
      </w:r>
    </w:p>
    <w:p w14:paraId="2BAC9472" w14:textId="77777777" w:rsidR="00D4209D" w:rsidRDefault="00D4209D" w:rsidP="00AE6AAC">
      <w:pPr>
        <w:pStyle w:val="Prrafodelista"/>
        <w:spacing w:line="240" w:lineRule="auto"/>
        <w:jc w:val="both"/>
        <w:rPr>
          <w:rFonts w:ascii="Times New Roman" w:eastAsia="Calibri" w:hAnsi="Times New Roman" w:cs="Times New Roman"/>
          <w:b/>
          <w:sz w:val="24"/>
          <w:szCs w:val="24"/>
        </w:rPr>
      </w:pPr>
    </w:p>
    <w:p w14:paraId="6107DEFC" w14:textId="0382E4EF" w:rsidR="00EF15BB" w:rsidRDefault="000C6DB1" w:rsidP="00AE6AAC">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Para ello</w:t>
      </w:r>
      <w:r w:rsidR="00EF15BB" w:rsidRPr="00EF15BB">
        <w:rPr>
          <w:rFonts w:ascii="Times New Roman" w:eastAsia="Calibri" w:hAnsi="Times New Roman" w:cs="Times New Roman"/>
          <w:sz w:val="24"/>
          <w:szCs w:val="24"/>
        </w:rPr>
        <w:t>, el Poder Legislativo, a través del Senado de la República</w:t>
      </w:r>
      <w:r w:rsidR="00EF15BB">
        <w:rPr>
          <w:rFonts w:ascii="Times New Roman" w:eastAsia="Calibri" w:hAnsi="Times New Roman" w:cs="Times New Roman"/>
          <w:sz w:val="24"/>
          <w:szCs w:val="24"/>
        </w:rPr>
        <w:t>,</w:t>
      </w:r>
      <w:r w:rsidR="00EF15BB" w:rsidRPr="00EF15BB">
        <w:rPr>
          <w:rFonts w:ascii="Times New Roman" w:eastAsia="Calibri" w:hAnsi="Times New Roman" w:cs="Times New Roman"/>
          <w:sz w:val="24"/>
          <w:szCs w:val="24"/>
        </w:rPr>
        <w:t xml:space="preserve"> tiene la facultad de aprobar los tratados internacionales que el Ejecutivo suscriba, previo análisis.</w:t>
      </w:r>
    </w:p>
    <w:p w14:paraId="2338981A" w14:textId="77777777" w:rsidR="00EF15BB" w:rsidRPr="00EF15BB" w:rsidRDefault="00EF15BB" w:rsidP="00AE6AAC">
      <w:pPr>
        <w:pStyle w:val="Prrafodelista"/>
        <w:spacing w:line="240" w:lineRule="auto"/>
        <w:jc w:val="both"/>
        <w:rPr>
          <w:rFonts w:ascii="Times New Roman" w:eastAsia="Calibri" w:hAnsi="Times New Roman" w:cs="Times New Roman"/>
          <w:sz w:val="24"/>
          <w:szCs w:val="24"/>
        </w:rPr>
      </w:pPr>
    </w:p>
    <w:p w14:paraId="360494F5" w14:textId="1840F8D4" w:rsidR="00EF15BB" w:rsidRPr="00EF15BB" w:rsidRDefault="00EF15BB" w:rsidP="00AE6AAC">
      <w:pPr>
        <w:pStyle w:val="Prrafodelista"/>
        <w:spacing w:line="240" w:lineRule="auto"/>
        <w:jc w:val="both"/>
        <w:rPr>
          <w:rFonts w:ascii="Times New Roman" w:eastAsia="Calibri" w:hAnsi="Times New Roman" w:cs="Times New Roman"/>
          <w:sz w:val="24"/>
          <w:szCs w:val="24"/>
        </w:rPr>
      </w:pPr>
      <w:r w:rsidRPr="00EF15BB">
        <w:rPr>
          <w:rFonts w:ascii="Times New Roman" w:eastAsia="Calibri" w:hAnsi="Times New Roman" w:cs="Times New Roman"/>
          <w:sz w:val="24"/>
          <w:szCs w:val="24"/>
        </w:rPr>
        <w:t>Asimismo, la Comisión Nacional de Dere</w:t>
      </w:r>
      <w:r>
        <w:rPr>
          <w:rFonts w:ascii="Times New Roman" w:eastAsia="Calibri" w:hAnsi="Times New Roman" w:cs="Times New Roman"/>
          <w:sz w:val="24"/>
          <w:szCs w:val="24"/>
        </w:rPr>
        <w:t>chos Humanos (CNDH) tiene la facultad de c</w:t>
      </w:r>
      <w:r w:rsidRPr="00EF15BB">
        <w:rPr>
          <w:rFonts w:ascii="Times New Roman" w:eastAsia="Calibri" w:hAnsi="Times New Roman" w:cs="Times New Roman"/>
          <w:sz w:val="24"/>
          <w:szCs w:val="24"/>
        </w:rPr>
        <w:t xml:space="preserve">onocer e investigar a petición de parte, o de oficio, presuntas </w:t>
      </w:r>
      <w:r w:rsidR="0048530F">
        <w:rPr>
          <w:rFonts w:ascii="Times New Roman" w:eastAsia="Calibri" w:hAnsi="Times New Roman" w:cs="Times New Roman"/>
          <w:sz w:val="24"/>
          <w:szCs w:val="24"/>
        </w:rPr>
        <w:t>violaciones de derechos humanos</w:t>
      </w:r>
      <w:r w:rsidRPr="00EF15BB">
        <w:rPr>
          <w:rFonts w:ascii="Times New Roman" w:eastAsia="Calibri" w:hAnsi="Times New Roman" w:cs="Times New Roman"/>
          <w:sz w:val="24"/>
          <w:szCs w:val="24"/>
        </w:rPr>
        <w:t xml:space="preserve"> por actos u omisiones de autoridades admin</w:t>
      </w:r>
      <w:r>
        <w:rPr>
          <w:rFonts w:ascii="Times New Roman" w:eastAsia="Calibri" w:hAnsi="Times New Roman" w:cs="Times New Roman"/>
          <w:sz w:val="24"/>
          <w:szCs w:val="24"/>
        </w:rPr>
        <w:t xml:space="preserve">istrativas de carácter federal, </w:t>
      </w:r>
      <w:r w:rsidRPr="00EF15BB">
        <w:rPr>
          <w:rFonts w:ascii="Times New Roman" w:eastAsia="Calibri" w:hAnsi="Times New Roman" w:cs="Times New Roman"/>
          <w:sz w:val="24"/>
          <w:szCs w:val="24"/>
        </w:rPr>
        <w:t xml:space="preserve">de conformidad con la fracción II del artículo 6 de la Ley de </w:t>
      </w:r>
      <w:r>
        <w:rPr>
          <w:rFonts w:ascii="Times New Roman" w:eastAsia="Calibri" w:hAnsi="Times New Roman" w:cs="Times New Roman"/>
          <w:sz w:val="24"/>
          <w:szCs w:val="24"/>
        </w:rPr>
        <w:t>esa</w:t>
      </w:r>
      <w:r w:rsidRPr="00EF15BB">
        <w:rPr>
          <w:rFonts w:ascii="Times New Roman" w:eastAsia="Calibri" w:hAnsi="Times New Roman" w:cs="Times New Roman"/>
          <w:sz w:val="24"/>
          <w:szCs w:val="24"/>
        </w:rPr>
        <w:t xml:space="preserve"> Comisión</w:t>
      </w:r>
      <w:r>
        <w:rPr>
          <w:rFonts w:ascii="Times New Roman" w:eastAsia="Calibri" w:hAnsi="Times New Roman" w:cs="Times New Roman"/>
          <w:sz w:val="24"/>
          <w:szCs w:val="24"/>
        </w:rPr>
        <w:t>.</w:t>
      </w:r>
      <w:r>
        <w:rPr>
          <w:rStyle w:val="Refdenotaalpie"/>
          <w:rFonts w:ascii="Times New Roman" w:eastAsia="Calibri" w:hAnsi="Times New Roman" w:cs="Times New Roman"/>
          <w:sz w:val="24"/>
          <w:szCs w:val="24"/>
        </w:rPr>
        <w:footnoteReference w:id="3"/>
      </w:r>
    </w:p>
    <w:p w14:paraId="1343D0C3" w14:textId="77777777" w:rsidR="00D4209D" w:rsidRDefault="00D4209D" w:rsidP="00AE6AAC">
      <w:pPr>
        <w:pStyle w:val="Prrafodelista"/>
        <w:spacing w:line="240" w:lineRule="auto"/>
        <w:jc w:val="both"/>
        <w:rPr>
          <w:rFonts w:ascii="Times New Roman" w:eastAsia="Calibri" w:hAnsi="Times New Roman" w:cs="Times New Roman"/>
          <w:b/>
          <w:sz w:val="24"/>
          <w:szCs w:val="24"/>
        </w:rPr>
      </w:pPr>
    </w:p>
    <w:p w14:paraId="10458DD7" w14:textId="53220272" w:rsidR="00AD2C81"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¿Cómo se asegura su Gobierno de que los AII no repercutan negativamente en la consecución de otros objetivos políticos importantes, como el logro de la igualdad de género, la protección del medio ambiente, la mitigación del cambio climático y la aplicación de los Objetivos de Desarrollo Sostenible?</w:t>
      </w:r>
    </w:p>
    <w:p w14:paraId="3057C544" w14:textId="77777777" w:rsidR="00F02F60" w:rsidRDefault="00F02F60" w:rsidP="00AE6AAC">
      <w:pPr>
        <w:pStyle w:val="Prrafodelista"/>
        <w:spacing w:line="240" w:lineRule="auto"/>
        <w:jc w:val="both"/>
        <w:rPr>
          <w:rFonts w:ascii="Times New Roman" w:eastAsia="Calibri" w:hAnsi="Times New Roman" w:cs="Times New Roman"/>
          <w:b/>
          <w:sz w:val="24"/>
          <w:szCs w:val="24"/>
        </w:rPr>
      </w:pPr>
    </w:p>
    <w:p w14:paraId="58153B19" w14:textId="01733CA4" w:rsidR="00F02F60" w:rsidRDefault="00F02F60" w:rsidP="00AE6AAC">
      <w:pPr>
        <w:pStyle w:val="Prrafodelista"/>
        <w:spacing w:line="240" w:lineRule="auto"/>
        <w:jc w:val="both"/>
        <w:rPr>
          <w:rFonts w:ascii="Times New Roman" w:eastAsia="Calibri" w:hAnsi="Times New Roman" w:cs="Times New Roman"/>
          <w:sz w:val="24"/>
          <w:szCs w:val="24"/>
        </w:rPr>
      </w:pPr>
      <w:r w:rsidRPr="00F02F60">
        <w:rPr>
          <w:rFonts w:ascii="Times New Roman" w:eastAsia="Calibri" w:hAnsi="Times New Roman" w:cs="Times New Roman"/>
          <w:sz w:val="24"/>
          <w:szCs w:val="24"/>
        </w:rPr>
        <w:t xml:space="preserve">Los AII son negociados </w:t>
      </w:r>
      <w:r>
        <w:rPr>
          <w:rFonts w:ascii="Times New Roman" w:eastAsia="Calibri" w:hAnsi="Times New Roman" w:cs="Times New Roman"/>
          <w:sz w:val="24"/>
          <w:szCs w:val="24"/>
        </w:rPr>
        <w:t>en seguimiento a</w:t>
      </w:r>
      <w:r w:rsidRPr="00F02F60">
        <w:rPr>
          <w:rFonts w:ascii="Times New Roman" w:eastAsia="Calibri" w:hAnsi="Times New Roman" w:cs="Times New Roman"/>
          <w:sz w:val="24"/>
          <w:szCs w:val="24"/>
        </w:rPr>
        <w:t xml:space="preserve"> los objetivos de política contenidos en el Plan Nacional de Desarrollo.</w:t>
      </w:r>
      <w:r w:rsidR="00E72746">
        <w:rPr>
          <w:rStyle w:val="Refdenotaalpie"/>
          <w:rFonts w:ascii="Times New Roman" w:eastAsia="Calibri" w:hAnsi="Times New Roman" w:cs="Times New Roman"/>
          <w:sz w:val="24"/>
          <w:szCs w:val="24"/>
        </w:rPr>
        <w:footnoteReference w:id="4"/>
      </w:r>
    </w:p>
    <w:p w14:paraId="211F5DA3" w14:textId="77777777" w:rsidR="00F02F60" w:rsidRPr="00F02F60" w:rsidRDefault="00F02F60" w:rsidP="00AE6AAC">
      <w:pPr>
        <w:pStyle w:val="Prrafodelista"/>
        <w:spacing w:line="240" w:lineRule="auto"/>
        <w:jc w:val="both"/>
        <w:rPr>
          <w:rFonts w:ascii="Times New Roman" w:eastAsia="Calibri" w:hAnsi="Times New Roman" w:cs="Times New Roman"/>
          <w:sz w:val="24"/>
          <w:szCs w:val="24"/>
        </w:rPr>
      </w:pPr>
    </w:p>
    <w:p w14:paraId="7EFD27FD" w14:textId="3CFF6C73" w:rsidR="00F02F60" w:rsidRDefault="001E249A" w:rsidP="00AE6AAC">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Por su parte</w:t>
      </w:r>
      <w:r w:rsidR="009F267B">
        <w:rPr>
          <w:rFonts w:ascii="Times New Roman" w:eastAsia="Calibri" w:hAnsi="Times New Roman" w:cs="Times New Roman"/>
          <w:sz w:val="24"/>
          <w:szCs w:val="24"/>
        </w:rPr>
        <w:t>, en el artículo 3 de la</w:t>
      </w:r>
      <w:r w:rsidR="00F02F60" w:rsidRPr="00F02F60">
        <w:rPr>
          <w:rFonts w:ascii="Times New Roman" w:eastAsia="Calibri" w:hAnsi="Times New Roman" w:cs="Times New Roman"/>
          <w:sz w:val="24"/>
          <w:szCs w:val="24"/>
        </w:rPr>
        <w:t xml:space="preserve"> Ley sobre la Aprobación de Tratados Internacionales en Materia</w:t>
      </w:r>
      <w:r w:rsidR="00F02F60">
        <w:rPr>
          <w:rFonts w:ascii="Times New Roman" w:eastAsia="Calibri" w:hAnsi="Times New Roman" w:cs="Times New Roman"/>
          <w:sz w:val="24"/>
          <w:szCs w:val="24"/>
        </w:rPr>
        <w:t xml:space="preserve"> </w:t>
      </w:r>
      <w:r w:rsidR="009F267B">
        <w:rPr>
          <w:rFonts w:ascii="Times New Roman" w:eastAsia="Calibri" w:hAnsi="Times New Roman" w:cs="Times New Roman"/>
          <w:sz w:val="24"/>
          <w:szCs w:val="24"/>
        </w:rPr>
        <w:t xml:space="preserve">Económica, se establecen </w:t>
      </w:r>
      <w:r w:rsidR="00F02F60" w:rsidRPr="00F02F60">
        <w:rPr>
          <w:rFonts w:ascii="Times New Roman" w:eastAsia="Calibri" w:hAnsi="Times New Roman" w:cs="Times New Roman"/>
          <w:sz w:val="24"/>
          <w:szCs w:val="24"/>
        </w:rPr>
        <w:t>los objetivos generales</w:t>
      </w:r>
      <w:r w:rsidR="009F267B">
        <w:rPr>
          <w:rStyle w:val="Refdenotaalpie"/>
          <w:rFonts w:ascii="Times New Roman" w:eastAsia="Calibri" w:hAnsi="Times New Roman" w:cs="Times New Roman"/>
          <w:sz w:val="24"/>
          <w:szCs w:val="24"/>
        </w:rPr>
        <w:footnoteReference w:id="5"/>
      </w:r>
      <w:r w:rsidR="00F02F60" w:rsidRPr="00F02F60">
        <w:rPr>
          <w:rFonts w:ascii="Times New Roman" w:eastAsia="Calibri" w:hAnsi="Times New Roman" w:cs="Times New Roman"/>
          <w:sz w:val="24"/>
          <w:szCs w:val="24"/>
        </w:rPr>
        <w:t xml:space="preserve"> par</w:t>
      </w:r>
      <w:r w:rsidR="009F267B">
        <w:rPr>
          <w:rFonts w:ascii="Times New Roman" w:eastAsia="Calibri" w:hAnsi="Times New Roman" w:cs="Times New Roman"/>
          <w:sz w:val="24"/>
          <w:szCs w:val="24"/>
        </w:rPr>
        <w:t xml:space="preserve">a la aprobación de un tratado, mismos que deben ser </w:t>
      </w:r>
      <w:r w:rsidR="009F267B" w:rsidRPr="00F02F60">
        <w:rPr>
          <w:rFonts w:ascii="Times New Roman" w:eastAsia="Calibri" w:hAnsi="Times New Roman" w:cs="Times New Roman"/>
          <w:sz w:val="24"/>
          <w:szCs w:val="24"/>
        </w:rPr>
        <w:t>demostrados por el Poder Ejecut</w:t>
      </w:r>
      <w:r w:rsidR="009F267B">
        <w:rPr>
          <w:rFonts w:ascii="Times New Roman" w:eastAsia="Calibri" w:hAnsi="Times New Roman" w:cs="Times New Roman"/>
          <w:sz w:val="24"/>
          <w:szCs w:val="24"/>
        </w:rPr>
        <w:t xml:space="preserve">ivo, y analizados por el Senado. Para </w:t>
      </w:r>
      <w:r w:rsidR="009F267B" w:rsidRPr="00F02F60">
        <w:rPr>
          <w:rFonts w:ascii="Times New Roman" w:eastAsia="Calibri" w:hAnsi="Times New Roman" w:cs="Times New Roman"/>
          <w:sz w:val="24"/>
          <w:szCs w:val="24"/>
        </w:rPr>
        <w:t>la</w:t>
      </w:r>
      <w:r w:rsidR="009F267B">
        <w:rPr>
          <w:rFonts w:ascii="Times New Roman" w:eastAsia="Calibri" w:hAnsi="Times New Roman" w:cs="Times New Roman"/>
          <w:sz w:val="24"/>
          <w:szCs w:val="24"/>
        </w:rPr>
        <w:t xml:space="preserve"> aprobación de algún tratado firmado, también se debe someter al Senado un documento sobre la</w:t>
      </w:r>
      <w:r w:rsidR="009F267B" w:rsidRPr="00F02F60">
        <w:rPr>
          <w:rFonts w:ascii="Times New Roman" w:eastAsia="Calibri" w:hAnsi="Times New Roman" w:cs="Times New Roman"/>
          <w:sz w:val="24"/>
          <w:szCs w:val="24"/>
        </w:rPr>
        <w:t xml:space="preserve"> manera en </w:t>
      </w:r>
      <w:r w:rsidR="009F267B">
        <w:rPr>
          <w:rFonts w:ascii="Times New Roman" w:eastAsia="Calibri" w:hAnsi="Times New Roman" w:cs="Times New Roman"/>
          <w:sz w:val="24"/>
          <w:szCs w:val="24"/>
        </w:rPr>
        <w:t xml:space="preserve">la </w:t>
      </w:r>
      <w:r w:rsidR="009F267B" w:rsidRPr="00F02F60">
        <w:rPr>
          <w:rFonts w:ascii="Times New Roman" w:eastAsia="Calibri" w:hAnsi="Times New Roman" w:cs="Times New Roman"/>
          <w:sz w:val="24"/>
          <w:szCs w:val="24"/>
        </w:rPr>
        <w:t>que el tratado cumple con los intereses de México, de conformidad con el artículo 9 de la misma Ley.</w:t>
      </w:r>
    </w:p>
    <w:p w14:paraId="2DF04960" w14:textId="77777777" w:rsidR="00FF2350" w:rsidRPr="00FF2350" w:rsidRDefault="00FF2350" w:rsidP="00AE6AAC">
      <w:pPr>
        <w:pStyle w:val="Prrafodelista"/>
        <w:spacing w:line="240" w:lineRule="auto"/>
        <w:jc w:val="both"/>
        <w:rPr>
          <w:rFonts w:ascii="Times New Roman" w:eastAsia="Calibri" w:hAnsi="Times New Roman" w:cs="Times New Roman"/>
          <w:sz w:val="24"/>
          <w:szCs w:val="24"/>
        </w:rPr>
      </w:pPr>
    </w:p>
    <w:p w14:paraId="3A03CFAC" w14:textId="7015C54E" w:rsidR="00F02F60" w:rsidRDefault="00F02F60" w:rsidP="00AE6AAC">
      <w:pPr>
        <w:pStyle w:val="Prrafodelista"/>
        <w:spacing w:line="240" w:lineRule="auto"/>
        <w:jc w:val="both"/>
        <w:rPr>
          <w:rFonts w:ascii="Times New Roman" w:eastAsia="Calibri" w:hAnsi="Times New Roman" w:cs="Times New Roman"/>
          <w:sz w:val="24"/>
          <w:szCs w:val="24"/>
        </w:rPr>
      </w:pPr>
      <w:r w:rsidRPr="00F02F60">
        <w:rPr>
          <w:rFonts w:ascii="Times New Roman" w:eastAsia="Calibri" w:hAnsi="Times New Roman" w:cs="Times New Roman"/>
          <w:sz w:val="24"/>
          <w:szCs w:val="24"/>
        </w:rPr>
        <w:t>Adicionalmente, los inversionistas extranjeros deberán cumplir con la legislación nacional debido a que, como fue señalado anteriormente, el artículo 133 de la CPEUM establece que la propia Constitución, las leyes del Congreso de la Unión y los tratados i</w:t>
      </w:r>
      <w:r w:rsidR="00FF2350">
        <w:rPr>
          <w:rFonts w:ascii="Times New Roman" w:eastAsia="Calibri" w:hAnsi="Times New Roman" w:cs="Times New Roman"/>
          <w:sz w:val="24"/>
          <w:szCs w:val="24"/>
        </w:rPr>
        <w:t>nternacionales, son Ley Suprema</w:t>
      </w:r>
      <w:r w:rsidRPr="00F02F60">
        <w:rPr>
          <w:rFonts w:ascii="Times New Roman" w:eastAsia="Calibri" w:hAnsi="Times New Roman" w:cs="Times New Roman"/>
          <w:sz w:val="24"/>
          <w:szCs w:val="24"/>
        </w:rPr>
        <w:t xml:space="preserve">, por lo que las leyes que emanen de ella son de observancia obligatoria dentro del territorio nacional, sin haber una distinción </w:t>
      </w:r>
      <w:r w:rsidR="00FF2350">
        <w:rPr>
          <w:rFonts w:ascii="Times New Roman" w:eastAsia="Calibri" w:hAnsi="Times New Roman" w:cs="Times New Roman"/>
          <w:sz w:val="24"/>
          <w:szCs w:val="24"/>
        </w:rPr>
        <w:t>entre</w:t>
      </w:r>
      <w:r w:rsidRPr="00F02F60">
        <w:rPr>
          <w:rFonts w:ascii="Times New Roman" w:eastAsia="Calibri" w:hAnsi="Times New Roman" w:cs="Times New Roman"/>
          <w:sz w:val="24"/>
          <w:szCs w:val="24"/>
        </w:rPr>
        <w:t xml:space="preserve"> personas físicas o morales, nacionales o extranjeras.</w:t>
      </w:r>
    </w:p>
    <w:p w14:paraId="50F41064" w14:textId="77777777" w:rsidR="00F02F60" w:rsidRPr="00F02F60" w:rsidRDefault="00F02F60" w:rsidP="00AE6AAC">
      <w:pPr>
        <w:pStyle w:val="Prrafodelista"/>
        <w:spacing w:line="240" w:lineRule="auto"/>
        <w:jc w:val="both"/>
        <w:rPr>
          <w:rFonts w:ascii="Times New Roman" w:eastAsia="Calibri" w:hAnsi="Times New Roman" w:cs="Times New Roman"/>
          <w:sz w:val="24"/>
          <w:szCs w:val="24"/>
        </w:rPr>
      </w:pPr>
    </w:p>
    <w:p w14:paraId="193A61F9" w14:textId="3F42C144" w:rsidR="00F02F60" w:rsidRPr="00F02F60" w:rsidRDefault="00F02F60" w:rsidP="00AE6AAC">
      <w:pPr>
        <w:pStyle w:val="Prrafodelista"/>
        <w:spacing w:line="240" w:lineRule="auto"/>
        <w:jc w:val="both"/>
        <w:rPr>
          <w:rFonts w:ascii="Times New Roman" w:eastAsia="Calibri" w:hAnsi="Times New Roman" w:cs="Times New Roman"/>
          <w:sz w:val="24"/>
          <w:szCs w:val="24"/>
        </w:rPr>
      </w:pPr>
      <w:r w:rsidRPr="00F02F60">
        <w:rPr>
          <w:rFonts w:ascii="Times New Roman" w:eastAsia="Calibri" w:hAnsi="Times New Roman" w:cs="Times New Roman"/>
          <w:sz w:val="24"/>
          <w:szCs w:val="24"/>
        </w:rPr>
        <w:lastRenderedPageBreak/>
        <w:t>Lo anterior permite la consecución de los objetivos perseguidos por el Estado mexicano.</w:t>
      </w:r>
    </w:p>
    <w:p w14:paraId="32379420" w14:textId="77777777" w:rsidR="00F02F60" w:rsidRDefault="00F02F60" w:rsidP="00AE6AAC">
      <w:pPr>
        <w:pStyle w:val="Prrafodelista"/>
        <w:spacing w:line="240" w:lineRule="auto"/>
        <w:jc w:val="both"/>
        <w:rPr>
          <w:rFonts w:ascii="Times New Roman" w:eastAsia="Calibri" w:hAnsi="Times New Roman" w:cs="Times New Roman"/>
          <w:b/>
          <w:sz w:val="24"/>
          <w:szCs w:val="24"/>
        </w:rPr>
      </w:pPr>
    </w:p>
    <w:p w14:paraId="5AC4A8CD" w14:textId="76DC2518" w:rsidR="00AD2C81"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¿Cómo se asegura su Gobierno de que los AII proporcionen salvaguardas adecuadas de los derechos humanos en los casos en los que las inversiones puedan tener lugar en zonas económicas especiales o en entornos de conflicto y post-conflicto?</w:t>
      </w:r>
    </w:p>
    <w:p w14:paraId="47245D5C" w14:textId="77777777" w:rsidR="008201AF" w:rsidRDefault="008201AF" w:rsidP="00AE6AAC">
      <w:pPr>
        <w:pStyle w:val="Prrafodelista"/>
        <w:spacing w:line="240" w:lineRule="auto"/>
        <w:jc w:val="both"/>
        <w:rPr>
          <w:rFonts w:ascii="Times New Roman" w:eastAsia="Calibri" w:hAnsi="Times New Roman" w:cs="Times New Roman"/>
          <w:b/>
          <w:sz w:val="24"/>
          <w:szCs w:val="24"/>
        </w:rPr>
      </w:pPr>
    </w:p>
    <w:p w14:paraId="68F47790" w14:textId="786DF59B" w:rsidR="008201AF" w:rsidRPr="008201AF" w:rsidRDefault="008201AF" w:rsidP="00AE6AAC">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w:t>
      </w:r>
      <w:r w:rsidRPr="008201AF">
        <w:rPr>
          <w:rFonts w:ascii="Times New Roman" w:eastAsia="Calibri" w:hAnsi="Times New Roman" w:cs="Times New Roman"/>
          <w:sz w:val="24"/>
          <w:szCs w:val="24"/>
        </w:rPr>
        <w:t xml:space="preserve">AII suscritos por México no proporcionan salvaguardas de los derechos humanos por sí mismos. </w:t>
      </w:r>
      <w:r w:rsidR="002B02DC">
        <w:rPr>
          <w:rFonts w:ascii="Times New Roman" w:eastAsia="Calibri" w:hAnsi="Times New Roman" w:cs="Times New Roman"/>
          <w:sz w:val="24"/>
          <w:szCs w:val="24"/>
        </w:rPr>
        <w:t>L</w:t>
      </w:r>
      <w:r w:rsidRPr="008201AF">
        <w:rPr>
          <w:rFonts w:ascii="Times New Roman" w:eastAsia="Calibri" w:hAnsi="Times New Roman" w:cs="Times New Roman"/>
          <w:sz w:val="24"/>
          <w:szCs w:val="24"/>
        </w:rPr>
        <w:t>a protección de los derechos humanos</w:t>
      </w:r>
      <w:r w:rsidR="002B02DC">
        <w:rPr>
          <w:rFonts w:ascii="Times New Roman" w:eastAsia="Calibri" w:hAnsi="Times New Roman" w:cs="Times New Roman"/>
          <w:sz w:val="24"/>
          <w:szCs w:val="24"/>
        </w:rPr>
        <w:t xml:space="preserve"> en México</w:t>
      </w:r>
      <w:r w:rsidRPr="008201AF">
        <w:rPr>
          <w:rFonts w:ascii="Times New Roman" w:eastAsia="Calibri" w:hAnsi="Times New Roman" w:cs="Times New Roman"/>
          <w:sz w:val="24"/>
          <w:szCs w:val="24"/>
        </w:rPr>
        <w:t xml:space="preserve"> se realiza a nivel nacional</w:t>
      </w:r>
      <w:r w:rsidR="002B02DC">
        <w:rPr>
          <w:rFonts w:ascii="Times New Roman" w:eastAsia="Calibri" w:hAnsi="Times New Roman" w:cs="Times New Roman"/>
          <w:sz w:val="24"/>
          <w:szCs w:val="24"/>
        </w:rPr>
        <w:t xml:space="preserve">, como se refirió en la respuesta a la pregunta 1. </w:t>
      </w:r>
    </w:p>
    <w:p w14:paraId="591E7388" w14:textId="77777777" w:rsidR="008201AF" w:rsidRDefault="008201AF" w:rsidP="00AE6AAC">
      <w:pPr>
        <w:pStyle w:val="Prrafodelista"/>
        <w:spacing w:line="240" w:lineRule="auto"/>
        <w:jc w:val="both"/>
        <w:rPr>
          <w:rFonts w:ascii="Times New Roman" w:eastAsia="Calibri" w:hAnsi="Times New Roman" w:cs="Times New Roman"/>
          <w:b/>
          <w:sz w:val="24"/>
          <w:szCs w:val="24"/>
        </w:rPr>
      </w:pPr>
    </w:p>
    <w:p w14:paraId="7687F58A" w14:textId="1DF1BB40" w:rsidR="00AD2C81"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¿Está considerando su Gobierno reformar o sustituir el mecanismo de solución de controversias entre inversores y Estados en sus AII antiguos o nuevos? En caso de afirmativo, por favor facilite detalles sobre las alternativas propuestas.</w:t>
      </w:r>
    </w:p>
    <w:p w14:paraId="28ACA3CC" w14:textId="77777777" w:rsidR="00AE7D38" w:rsidRDefault="00AE7D38" w:rsidP="00AE6AAC">
      <w:pPr>
        <w:pStyle w:val="Prrafodelista"/>
        <w:spacing w:line="240" w:lineRule="auto"/>
        <w:jc w:val="both"/>
        <w:rPr>
          <w:rFonts w:ascii="Times New Roman" w:eastAsia="Calibri" w:hAnsi="Times New Roman" w:cs="Times New Roman"/>
          <w:b/>
          <w:sz w:val="24"/>
          <w:szCs w:val="24"/>
        </w:rPr>
      </w:pPr>
    </w:p>
    <w:p w14:paraId="67BA0FA0" w14:textId="29CF07F8" w:rsidR="00AE7D38" w:rsidRPr="00AE7D38" w:rsidRDefault="00AE7D38" w:rsidP="00AE6AAC">
      <w:pPr>
        <w:pStyle w:val="Prrafodelista"/>
        <w:spacing w:line="240" w:lineRule="auto"/>
        <w:jc w:val="both"/>
        <w:rPr>
          <w:rFonts w:ascii="Times New Roman" w:eastAsia="Calibri" w:hAnsi="Times New Roman" w:cs="Times New Roman"/>
          <w:sz w:val="24"/>
          <w:szCs w:val="24"/>
        </w:rPr>
      </w:pPr>
      <w:r w:rsidRPr="00AE7D38">
        <w:rPr>
          <w:rFonts w:ascii="Times New Roman" w:eastAsia="Calibri" w:hAnsi="Times New Roman" w:cs="Times New Roman"/>
          <w:sz w:val="24"/>
          <w:szCs w:val="24"/>
        </w:rPr>
        <w:t xml:space="preserve">Por el momento no, dado </w:t>
      </w:r>
      <w:r>
        <w:rPr>
          <w:rFonts w:ascii="Times New Roman" w:eastAsia="Calibri" w:hAnsi="Times New Roman" w:cs="Times New Roman"/>
          <w:sz w:val="24"/>
          <w:szCs w:val="24"/>
        </w:rPr>
        <w:t>el marco sólido respecto a la</w:t>
      </w:r>
      <w:r w:rsidRPr="00AE7D38">
        <w:rPr>
          <w:rFonts w:ascii="Times New Roman" w:eastAsia="Calibri" w:hAnsi="Times New Roman" w:cs="Times New Roman"/>
          <w:sz w:val="24"/>
          <w:szCs w:val="24"/>
        </w:rPr>
        <w:t xml:space="preserve"> protección efectiva a los derechos humanos</w:t>
      </w:r>
      <w:r>
        <w:rPr>
          <w:rFonts w:ascii="Times New Roman" w:eastAsia="Calibri" w:hAnsi="Times New Roman" w:cs="Times New Roman"/>
          <w:sz w:val="24"/>
          <w:szCs w:val="24"/>
        </w:rPr>
        <w:t xml:space="preserve"> en México</w:t>
      </w:r>
      <w:r w:rsidRPr="00AE7D38">
        <w:rPr>
          <w:rFonts w:ascii="Times New Roman" w:eastAsia="Calibri" w:hAnsi="Times New Roman" w:cs="Times New Roman"/>
          <w:sz w:val="24"/>
          <w:szCs w:val="24"/>
        </w:rPr>
        <w:t>, a través de la CPEUM.</w:t>
      </w:r>
    </w:p>
    <w:p w14:paraId="02148189" w14:textId="77777777" w:rsidR="00AE7D38" w:rsidRDefault="00AE7D38" w:rsidP="00AE6AAC">
      <w:pPr>
        <w:pStyle w:val="Prrafodelista"/>
        <w:spacing w:line="240" w:lineRule="auto"/>
        <w:jc w:val="both"/>
        <w:rPr>
          <w:rFonts w:ascii="Times New Roman" w:eastAsia="Calibri" w:hAnsi="Times New Roman" w:cs="Times New Roman"/>
          <w:b/>
          <w:sz w:val="24"/>
          <w:szCs w:val="24"/>
        </w:rPr>
      </w:pPr>
    </w:p>
    <w:p w14:paraId="06719036" w14:textId="0CC23F7E" w:rsidR="00AE7D38"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¿Ha afectado la pandemia de COVID-19 al enfoque de su gobierno respecto a los AII y/o al mecanismo de solución de controversias entre inversores y Estados?</w:t>
      </w:r>
    </w:p>
    <w:p w14:paraId="1CA40ADB" w14:textId="77777777" w:rsidR="00AE7D38" w:rsidRDefault="00AE7D38" w:rsidP="00AE6AAC">
      <w:pPr>
        <w:pStyle w:val="Prrafodelista"/>
        <w:spacing w:line="240" w:lineRule="auto"/>
        <w:jc w:val="both"/>
        <w:rPr>
          <w:rFonts w:ascii="Times New Roman" w:eastAsia="Calibri" w:hAnsi="Times New Roman" w:cs="Times New Roman"/>
          <w:b/>
          <w:sz w:val="24"/>
          <w:szCs w:val="24"/>
        </w:rPr>
      </w:pPr>
    </w:p>
    <w:p w14:paraId="095FE17C" w14:textId="5C4121DD" w:rsidR="00AD2C81" w:rsidRDefault="00AE7D38" w:rsidP="00AE6AAC">
      <w:pPr>
        <w:pStyle w:val="Prrafodelista"/>
        <w:spacing w:line="240" w:lineRule="auto"/>
        <w:jc w:val="both"/>
        <w:rPr>
          <w:rFonts w:ascii="Times New Roman" w:eastAsia="Calibri" w:hAnsi="Times New Roman" w:cs="Times New Roman"/>
          <w:sz w:val="24"/>
          <w:szCs w:val="24"/>
        </w:rPr>
      </w:pPr>
      <w:r w:rsidRPr="00AE7D38">
        <w:rPr>
          <w:rFonts w:ascii="Times New Roman" w:eastAsia="Calibri" w:hAnsi="Times New Roman" w:cs="Times New Roman"/>
          <w:sz w:val="24"/>
          <w:szCs w:val="24"/>
        </w:rPr>
        <w:t>Hasta el momento no.</w:t>
      </w:r>
    </w:p>
    <w:p w14:paraId="49BCFEDD" w14:textId="77777777" w:rsidR="00AE7D38" w:rsidRPr="00AE7D38" w:rsidRDefault="00AE7D38" w:rsidP="00AE6AAC">
      <w:pPr>
        <w:pStyle w:val="Prrafodelista"/>
        <w:spacing w:line="240" w:lineRule="auto"/>
        <w:jc w:val="both"/>
        <w:rPr>
          <w:rFonts w:ascii="Times New Roman" w:eastAsia="Calibri" w:hAnsi="Times New Roman" w:cs="Times New Roman"/>
          <w:sz w:val="24"/>
          <w:szCs w:val="24"/>
        </w:rPr>
      </w:pPr>
    </w:p>
    <w:p w14:paraId="6A92FC53" w14:textId="3E5A1269" w:rsidR="00AD2C81" w:rsidRPr="00AD2C81" w:rsidRDefault="00AD2C81" w:rsidP="00AE6AAC">
      <w:p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La responsabilidad de los inversores de respetar los derechos humanos</w:t>
      </w:r>
    </w:p>
    <w:p w14:paraId="6EA7C4BC" w14:textId="46D30768" w:rsidR="00AD2C81" w:rsidRDefault="00AD2C81" w:rsidP="00AE6AAC">
      <w:pPr>
        <w:pStyle w:val="Prrafodelista"/>
        <w:numPr>
          <w:ilvl w:val="0"/>
          <w:numId w:val="19"/>
        </w:numPr>
        <w:spacing w:line="240" w:lineRule="auto"/>
        <w:jc w:val="both"/>
        <w:rPr>
          <w:rFonts w:ascii="Times New Roman" w:eastAsia="Calibri" w:hAnsi="Times New Roman" w:cs="Times New Roman"/>
          <w:b/>
          <w:sz w:val="24"/>
          <w:szCs w:val="24"/>
        </w:rPr>
      </w:pPr>
      <w:r w:rsidRPr="00AD2C81">
        <w:rPr>
          <w:rFonts w:ascii="Times New Roman" w:eastAsia="Calibri" w:hAnsi="Times New Roman" w:cs="Times New Roman"/>
          <w:b/>
          <w:sz w:val="24"/>
          <w:szCs w:val="24"/>
        </w:rPr>
        <w:t>¿Incluyen los AII celebrados por su Gobierno (incluido su Modelo de Tratado Bilateral de Inversión) disposiciones sobre derechos humanos dirigidas directamente a los inversores y a sus inversiones? ¿Tratan estas disposiciones de recomendaciones blandas o son jurídicamente vinculantes?</w:t>
      </w:r>
    </w:p>
    <w:p w14:paraId="2AD7C171" w14:textId="77777777" w:rsidR="00AE6AAC" w:rsidRDefault="00AE6AAC" w:rsidP="00AE6AAC">
      <w:pPr>
        <w:pStyle w:val="Prrafodelista"/>
        <w:spacing w:line="240" w:lineRule="auto"/>
        <w:jc w:val="both"/>
        <w:rPr>
          <w:rFonts w:ascii="Times New Roman" w:eastAsia="Calibri" w:hAnsi="Times New Roman" w:cs="Times New Roman"/>
          <w:b/>
          <w:sz w:val="24"/>
          <w:szCs w:val="24"/>
        </w:rPr>
      </w:pPr>
    </w:p>
    <w:p w14:paraId="480DC19E" w14:textId="508A3E03" w:rsidR="00AE6AAC" w:rsidRPr="00AE6AAC" w:rsidRDefault="00AE6AAC" w:rsidP="00AE6AAC">
      <w:pPr>
        <w:pStyle w:val="Prrafodelista"/>
        <w:spacing w:line="240" w:lineRule="auto"/>
        <w:jc w:val="both"/>
        <w:rPr>
          <w:rFonts w:ascii="Times New Roman" w:eastAsia="Calibri" w:hAnsi="Times New Roman" w:cs="Times New Roman"/>
          <w:sz w:val="24"/>
          <w:szCs w:val="24"/>
        </w:rPr>
      </w:pPr>
      <w:r w:rsidRPr="00AE6AAC">
        <w:rPr>
          <w:rFonts w:ascii="Times New Roman" w:eastAsia="Calibri" w:hAnsi="Times New Roman" w:cs="Times New Roman"/>
          <w:sz w:val="24"/>
          <w:szCs w:val="24"/>
        </w:rPr>
        <w:t>Únicamente los Capítulos de Inversión del Tratado entre México, Estados Unidos y Canadá y el Tratado Integral y Progresista de Asociación Transpacífico, en sus artículos 14.17 y 9.17 respectivamente, establecen la importancia de que cada Parte fomente a las empresas que operan dentro de su territorio</w:t>
      </w:r>
      <w:r>
        <w:rPr>
          <w:rFonts w:ascii="Times New Roman" w:eastAsia="Calibri" w:hAnsi="Times New Roman" w:cs="Times New Roman"/>
          <w:sz w:val="24"/>
          <w:szCs w:val="24"/>
        </w:rPr>
        <w:t>,</w:t>
      </w:r>
      <w:r w:rsidRPr="00AE6AAC">
        <w:rPr>
          <w:rFonts w:ascii="Times New Roman" w:eastAsia="Calibri" w:hAnsi="Times New Roman" w:cs="Times New Roman"/>
          <w:sz w:val="24"/>
          <w:szCs w:val="24"/>
        </w:rPr>
        <w:t xml:space="preserve"> o sujetas a su jurisdicción</w:t>
      </w:r>
      <w:r>
        <w:rPr>
          <w:rFonts w:ascii="Times New Roman" w:eastAsia="Calibri" w:hAnsi="Times New Roman" w:cs="Times New Roman"/>
          <w:sz w:val="24"/>
          <w:szCs w:val="24"/>
        </w:rPr>
        <w:t>,</w:t>
      </w:r>
      <w:r w:rsidRPr="00AE6AAC">
        <w:rPr>
          <w:rFonts w:ascii="Times New Roman" w:eastAsia="Calibri" w:hAnsi="Times New Roman" w:cs="Times New Roman"/>
          <w:sz w:val="24"/>
          <w:szCs w:val="24"/>
        </w:rPr>
        <w:t xml:space="preserve"> a incorporar voluntariamente en sus políticas internas los estándares, directrices y principios de responsabilidad social corporativa reconocidos internacionalmente</w:t>
      </w:r>
      <w:r>
        <w:rPr>
          <w:rFonts w:ascii="Times New Roman" w:eastAsia="Calibri" w:hAnsi="Times New Roman" w:cs="Times New Roman"/>
          <w:sz w:val="24"/>
          <w:szCs w:val="24"/>
        </w:rPr>
        <w:t>,</w:t>
      </w:r>
      <w:r w:rsidRPr="00AE6AAC">
        <w:rPr>
          <w:rFonts w:ascii="Times New Roman" w:eastAsia="Calibri" w:hAnsi="Times New Roman" w:cs="Times New Roman"/>
          <w:sz w:val="24"/>
          <w:szCs w:val="24"/>
        </w:rPr>
        <w:t xml:space="preserve"> que hayan sido aprobados o estén siendo apoyados por esa Parte. No obstante, </w:t>
      </w:r>
      <w:r>
        <w:rPr>
          <w:rFonts w:ascii="Times New Roman" w:eastAsia="Calibri" w:hAnsi="Times New Roman" w:cs="Times New Roman"/>
          <w:sz w:val="24"/>
          <w:szCs w:val="24"/>
        </w:rPr>
        <w:t xml:space="preserve">se informa que </w:t>
      </w:r>
      <w:r w:rsidRPr="00AE6AAC">
        <w:rPr>
          <w:rFonts w:ascii="Times New Roman" w:eastAsia="Calibri" w:hAnsi="Times New Roman" w:cs="Times New Roman"/>
          <w:sz w:val="24"/>
          <w:szCs w:val="24"/>
        </w:rPr>
        <w:t>dicha disposición es voluntaria.</w:t>
      </w:r>
    </w:p>
    <w:p w14:paraId="3224C7B2" w14:textId="77777777" w:rsidR="00AE6AAC" w:rsidRDefault="00AE6AAC" w:rsidP="00AE6AAC">
      <w:pPr>
        <w:pStyle w:val="Prrafodelista"/>
        <w:spacing w:line="240" w:lineRule="auto"/>
        <w:jc w:val="both"/>
        <w:rPr>
          <w:rFonts w:ascii="Times New Roman" w:eastAsia="Calibri" w:hAnsi="Times New Roman" w:cs="Times New Roman"/>
          <w:b/>
          <w:sz w:val="24"/>
          <w:szCs w:val="24"/>
        </w:rPr>
      </w:pPr>
    </w:p>
    <w:p w14:paraId="154BEB77" w14:textId="0E713FD1"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¿Los AII celebrados por su Gobierno exigen expresamente a los inversores extranjeros que cumplan la legislación nacional en materia de derechos humanos, derechos laborales y medio ambiente?</w:t>
      </w:r>
    </w:p>
    <w:p w14:paraId="6279E4C3" w14:textId="77777777" w:rsidR="00AE6AAC" w:rsidRDefault="00AE6AAC" w:rsidP="00AE6AAC">
      <w:pPr>
        <w:pStyle w:val="Prrafodelista"/>
        <w:spacing w:line="240" w:lineRule="auto"/>
        <w:jc w:val="both"/>
        <w:rPr>
          <w:rFonts w:ascii="Times New Roman" w:eastAsia="Calibri" w:hAnsi="Times New Roman" w:cs="Times New Roman"/>
          <w:b/>
          <w:sz w:val="24"/>
          <w:szCs w:val="24"/>
        </w:rPr>
      </w:pPr>
    </w:p>
    <w:p w14:paraId="233D51B9" w14:textId="25CDFFD6" w:rsidR="00AE6AAC" w:rsidRDefault="00AE6AAC" w:rsidP="00AE6AAC">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Los AII </w:t>
      </w:r>
      <w:r w:rsidRPr="00AE6AAC">
        <w:rPr>
          <w:rFonts w:ascii="Times New Roman" w:eastAsia="Calibri" w:hAnsi="Times New Roman" w:cs="Times New Roman"/>
          <w:sz w:val="24"/>
          <w:szCs w:val="24"/>
        </w:rPr>
        <w:t xml:space="preserve">celebrados por México, tales como el Acuerdo para la Promoción y Protección Recíproca de Inversiones (APPRI) entre México y los Emiratos Árabes Unidos, el APPRI entre México y Corea y </w:t>
      </w:r>
      <w:r>
        <w:rPr>
          <w:rFonts w:ascii="Times New Roman" w:eastAsia="Calibri" w:hAnsi="Times New Roman" w:cs="Times New Roman"/>
          <w:sz w:val="24"/>
          <w:szCs w:val="24"/>
        </w:rPr>
        <w:t>el APPRI entre México y Kuwait,</w:t>
      </w:r>
      <w:r w:rsidRPr="00AE6AAC">
        <w:rPr>
          <w:rFonts w:ascii="Times New Roman" w:eastAsia="Calibri" w:hAnsi="Times New Roman" w:cs="Times New Roman"/>
          <w:sz w:val="24"/>
          <w:szCs w:val="24"/>
        </w:rPr>
        <w:t xml:space="preserve"> establecen que se considerarán inversiones a las establecidas o adquiridas de conformidad con las leyes y reglamentos de la otra Parte.</w:t>
      </w:r>
    </w:p>
    <w:p w14:paraId="6ADC7F5E" w14:textId="77777777" w:rsidR="00AE6AAC" w:rsidRDefault="00AE6AAC" w:rsidP="00AE6AAC">
      <w:pPr>
        <w:pStyle w:val="Prrafodelista"/>
        <w:spacing w:line="240" w:lineRule="auto"/>
        <w:jc w:val="both"/>
        <w:rPr>
          <w:rFonts w:ascii="Times New Roman" w:eastAsia="Calibri" w:hAnsi="Times New Roman" w:cs="Times New Roman"/>
          <w:sz w:val="24"/>
          <w:szCs w:val="24"/>
        </w:rPr>
      </w:pPr>
    </w:p>
    <w:p w14:paraId="280F360E" w14:textId="6724A95A" w:rsidR="00AE6AAC" w:rsidRPr="00AE6AAC" w:rsidRDefault="00AE6AAC" w:rsidP="00AE6AAC">
      <w:pPr>
        <w:pStyle w:val="Prrafodelista"/>
        <w:spacing w:line="240" w:lineRule="auto"/>
        <w:jc w:val="both"/>
        <w:rPr>
          <w:rFonts w:ascii="Times New Roman" w:eastAsia="Calibri" w:hAnsi="Times New Roman" w:cs="Times New Roman"/>
          <w:sz w:val="24"/>
          <w:szCs w:val="24"/>
        </w:rPr>
      </w:pPr>
      <w:r w:rsidRPr="00AE6AAC">
        <w:rPr>
          <w:rFonts w:ascii="Times New Roman" w:eastAsia="Calibri" w:hAnsi="Times New Roman" w:cs="Times New Roman"/>
          <w:sz w:val="24"/>
          <w:szCs w:val="24"/>
        </w:rPr>
        <w:t xml:space="preserve">Asimismo, como se señaló </w:t>
      </w:r>
      <w:r w:rsidR="00C44A6C">
        <w:rPr>
          <w:rFonts w:ascii="Times New Roman" w:eastAsia="Calibri" w:hAnsi="Times New Roman" w:cs="Times New Roman"/>
          <w:sz w:val="24"/>
          <w:szCs w:val="24"/>
        </w:rPr>
        <w:t>con anterioridad</w:t>
      </w:r>
      <w:r w:rsidRPr="00AE6AAC">
        <w:rPr>
          <w:rFonts w:ascii="Times New Roman" w:eastAsia="Calibri" w:hAnsi="Times New Roman" w:cs="Times New Roman"/>
          <w:sz w:val="24"/>
          <w:szCs w:val="24"/>
        </w:rPr>
        <w:t>, los inversionistas extranjeros deberán cumplir con la legislación nacional, incluida la legislación laboral, ambiental y en materia de derechos humanos.</w:t>
      </w:r>
    </w:p>
    <w:p w14:paraId="7949E75A" w14:textId="77777777" w:rsidR="00AE6AAC" w:rsidRDefault="00AE6AAC" w:rsidP="00AE6AAC">
      <w:pPr>
        <w:pStyle w:val="Prrafodelista"/>
        <w:spacing w:line="240" w:lineRule="auto"/>
        <w:jc w:val="both"/>
        <w:rPr>
          <w:rFonts w:ascii="Times New Roman" w:eastAsia="Calibri" w:hAnsi="Times New Roman" w:cs="Times New Roman"/>
          <w:b/>
          <w:sz w:val="24"/>
          <w:szCs w:val="24"/>
        </w:rPr>
      </w:pPr>
    </w:p>
    <w:p w14:paraId="29A9E8C7" w14:textId="5E5D904A"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¿Exige su Gobierno -en virtud de los AII o de otro modo- que los inversores lleven a cabo una diligencia debida en materia de derechos humanos o evaluaciones de impacto sobre el medio ambiente y los derechos humanos antes de su inversión? En caso afirmativo ¿qué mecanismos existen para garantizar que los inversores cumplen con esa obligación?</w:t>
      </w:r>
    </w:p>
    <w:p w14:paraId="4B05D463" w14:textId="77777777" w:rsidR="00E84B4B" w:rsidRDefault="00E84B4B" w:rsidP="00E84B4B">
      <w:pPr>
        <w:pStyle w:val="Prrafodelista"/>
        <w:spacing w:line="240" w:lineRule="auto"/>
        <w:jc w:val="both"/>
        <w:rPr>
          <w:rFonts w:ascii="Times New Roman" w:eastAsia="Calibri" w:hAnsi="Times New Roman" w:cs="Times New Roman"/>
          <w:b/>
          <w:sz w:val="24"/>
          <w:szCs w:val="24"/>
        </w:rPr>
      </w:pPr>
    </w:p>
    <w:p w14:paraId="39B1A6EB" w14:textId="32E71194" w:rsidR="00E84B4B" w:rsidRDefault="00E84B4B" w:rsidP="00E84B4B">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los AII </w:t>
      </w:r>
      <w:r w:rsidRPr="00E84B4B">
        <w:rPr>
          <w:rFonts w:ascii="Times New Roman" w:eastAsia="Calibri" w:hAnsi="Times New Roman" w:cs="Times New Roman"/>
          <w:sz w:val="24"/>
          <w:szCs w:val="24"/>
        </w:rPr>
        <w:t xml:space="preserve">celebrados por México no </w:t>
      </w:r>
      <w:r>
        <w:rPr>
          <w:rFonts w:ascii="Times New Roman" w:eastAsia="Calibri" w:hAnsi="Times New Roman" w:cs="Times New Roman"/>
          <w:sz w:val="24"/>
          <w:szCs w:val="24"/>
        </w:rPr>
        <w:t xml:space="preserve">se </w:t>
      </w:r>
      <w:r w:rsidRPr="00E84B4B">
        <w:rPr>
          <w:rFonts w:ascii="Times New Roman" w:eastAsia="Calibri" w:hAnsi="Times New Roman" w:cs="Times New Roman"/>
          <w:sz w:val="24"/>
          <w:szCs w:val="24"/>
        </w:rPr>
        <w:t xml:space="preserve">establecen </w:t>
      </w:r>
      <w:r>
        <w:rPr>
          <w:rFonts w:ascii="Times New Roman" w:eastAsia="Calibri" w:hAnsi="Times New Roman" w:cs="Times New Roman"/>
          <w:sz w:val="24"/>
          <w:szCs w:val="24"/>
        </w:rPr>
        <w:t>esas</w:t>
      </w:r>
      <w:r w:rsidRPr="00E84B4B">
        <w:rPr>
          <w:rFonts w:ascii="Times New Roman" w:eastAsia="Calibri" w:hAnsi="Times New Roman" w:cs="Times New Roman"/>
          <w:sz w:val="24"/>
          <w:szCs w:val="24"/>
        </w:rPr>
        <w:t xml:space="preserve"> obligaciones </w:t>
      </w:r>
      <w:r>
        <w:rPr>
          <w:rFonts w:ascii="Times New Roman" w:eastAsia="Calibri" w:hAnsi="Times New Roman" w:cs="Times New Roman"/>
          <w:sz w:val="24"/>
          <w:szCs w:val="24"/>
        </w:rPr>
        <w:t>a</w:t>
      </w:r>
      <w:r w:rsidRPr="00E84B4B">
        <w:rPr>
          <w:rFonts w:ascii="Times New Roman" w:eastAsia="Calibri" w:hAnsi="Times New Roman" w:cs="Times New Roman"/>
          <w:sz w:val="24"/>
          <w:szCs w:val="24"/>
        </w:rPr>
        <w:t xml:space="preserve"> los inversionistas,  solamente señalan</w:t>
      </w:r>
      <w:r>
        <w:rPr>
          <w:rFonts w:ascii="Times New Roman" w:eastAsia="Calibri" w:hAnsi="Times New Roman" w:cs="Times New Roman"/>
          <w:sz w:val="24"/>
          <w:szCs w:val="24"/>
        </w:rPr>
        <w:t xml:space="preserve"> las</w:t>
      </w:r>
      <w:r w:rsidRPr="00E84B4B">
        <w:rPr>
          <w:rFonts w:ascii="Times New Roman" w:eastAsia="Calibri" w:hAnsi="Times New Roman" w:cs="Times New Roman"/>
          <w:sz w:val="24"/>
          <w:szCs w:val="24"/>
        </w:rPr>
        <w:t xml:space="preserve"> obligaciones para los Estados, los procedimientos de solución de controversias entre los inversionistas y los Estados y los procedimientos de solución de controversias entre Estados.</w:t>
      </w:r>
    </w:p>
    <w:p w14:paraId="659A19B4" w14:textId="77777777" w:rsidR="00E84B4B" w:rsidRDefault="00E84B4B" w:rsidP="00E84B4B">
      <w:pPr>
        <w:pStyle w:val="Prrafodelista"/>
        <w:spacing w:line="240" w:lineRule="auto"/>
        <w:jc w:val="both"/>
        <w:rPr>
          <w:rFonts w:ascii="Times New Roman" w:eastAsia="Calibri" w:hAnsi="Times New Roman" w:cs="Times New Roman"/>
          <w:sz w:val="24"/>
          <w:szCs w:val="24"/>
        </w:rPr>
      </w:pPr>
    </w:p>
    <w:p w14:paraId="6F5D4DC0" w14:textId="5E175884" w:rsidR="00E84B4B" w:rsidRPr="00741C34" w:rsidRDefault="00E84B4B" w:rsidP="00741C34">
      <w:pPr>
        <w:pStyle w:val="Prrafodelista"/>
        <w:spacing w:line="240" w:lineRule="auto"/>
        <w:jc w:val="both"/>
        <w:rPr>
          <w:rFonts w:ascii="Times New Roman" w:eastAsia="Calibri" w:hAnsi="Times New Roman" w:cs="Times New Roman"/>
          <w:sz w:val="24"/>
          <w:szCs w:val="24"/>
        </w:rPr>
      </w:pPr>
      <w:r w:rsidRPr="00E84B4B">
        <w:rPr>
          <w:rFonts w:ascii="Times New Roman" w:eastAsia="Calibri" w:hAnsi="Times New Roman" w:cs="Times New Roman"/>
          <w:sz w:val="24"/>
          <w:szCs w:val="24"/>
        </w:rPr>
        <w:t>No obstante</w:t>
      </w:r>
      <w:r>
        <w:rPr>
          <w:rFonts w:ascii="Times New Roman" w:eastAsia="Calibri" w:hAnsi="Times New Roman" w:cs="Times New Roman"/>
          <w:sz w:val="24"/>
          <w:szCs w:val="24"/>
        </w:rPr>
        <w:t xml:space="preserve"> lo anterior, como se ha señalado, </w:t>
      </w:r>
      <w:r w:rsidRPr="00E84B4B">
        <w:rPr>
          <w:rFonts w:ascii="Times New Roman" w:eastAsia="Calibri" w:hAnsi="Times New Roman" w:cs="Times New Roman"/>
          <w:sz w:val="24"/>
          <w:szCs w:val="24"/>
        </w:rPr>
        <w:t xml:space="preserve">los inversionistas extranjeros deben cumplir con la legislación nacional aplicable. </w:t>
      </w:r>
      <w:r>
        <w:rPr>
          <w:rFonts w:ascii="Times New Roman" w:eastAsia="Calibri" w:hAnsi="Times New Roman" w:cs="Times New Roman"/>
          <w:sz w:val="24"/>
          <w:szCs w:val="24"/>
        </w:rPr>
        <w:t xml:space="preserve">Por </w:t>
      </w:r>
      <w:r w:rsidRPr="00E84B4B">
        <w:rPr>
          <w:rFonts w:ascii="Times New Roman" w:eastAsia="Calibri" w:hAnsi="Times New Roman" w:cs="Times New Roman"/>
          <w:sz w:val="24"/>
          <w:szCs w:val="24"/>
        </w:rPr>
        <w:t>ejemplo, la Ley General del Equilibrio Ecolo</w:t>
      </w:r>
      <w:r>
        <w:rPr>
          <w:rFonts w:ascii="Times New Roman" w:eastAsia="Calibri" w:hAnsi="Times New Roman" w:cs="Times New Roman"/>
          <w:sz w:val="24"/>
          <w:szCs w:val="24"/>
        </w:rPr>
        <w:t xml:space="preserve">́gico y </w:t>
      </w:r>
      <w:r w:rsidR="00741C34">
        <w:rPr>
          <w:rFonts w:ascii="Times New Roman" w:eastAsia="Calibri" w:hAnsi="Times New Roman" w:cs="Times New Roman"/>
          <w:sz w:val="24"/>
          <w:szCs w:val="24"/>
        </w:rPr>
        <w:t xml:space="preserve">la </w:t>
      </w:r>
      <w:r>
        <w:rPr>
          <w:rFonts w:ascii="Times New Roman" w:eastAsia="Calibri" w:hAnsi="Times New Roman" w:cs="Times New Roman"/>
          <w:sz w:val="24"/>
          <w:szCs w:val="24"/>
        </w:rPr>
        <w:t>Protección al Ambiente, en su artículo 28 establece el procedimiento de ev</w:t>
      </w:r>
      <w:r w:rsidRPr="00E84B4B">
        <w:rPr>
          <w:rFonts w:ascii="Times New Roman" w:eastAsia="Calibri" w:hAnsi="Times New Roman" w:cs="Times New Roman"/>
          <w:sz w:val="24"/>
          <w:szCs w:val="24"/>
        </w:rPr>
        <w:t>aluación de impacto ambienta</w:t>
      </w:r>
      <w:r>
        <w:rPr>
          <w:rFonts w:ascii="Times New Roman" w:eastAsia="Calibri" w:hAnsi="Times New Roman" w:cs="Times New Roman"/>
          <w:sz w:val="24"/>
          <w:szCs w:val="24"/>
        </w:rPr>
        <w:t xml:space="preserve">l, </w:t>
      </w:r>
      <w:r w:rsidR="00741C34">
        <w:rPr>
          <w:rFonts w:ascii="Times New Roman" w:eastAsia="Calibri" w:hAnsi="Times New Roman" w:cs="Times New Roman"/>
          <w:sz w:val="24"/>
          <w:szCs w:val="24"/>
        </w:rPr>
        <w:t xml:space="preserve">a través de la </w:t>
      </w:r>
      <w:r>
        <w:rPr>
          <w:rFonts w:ascii="Times New Roman" w:eastAsia="Calibri" w:hAnsi="Times New Roman" w:cs="Times New Roman"/>
          <w:sz w:val="24"/>
          <w:szCs w:val="24"/>
        </w:rPr>
        <w:t>Secretaría de Medio Ambiente y Recursos Naturales</w:t>
      </w:r>
      <w:r w:rsidR="00741C34">
        <w:rPr>
          <w:rFonts w:ascii="Times New Roman" w:eastAsia="Calibri" w:hAnsi="Times New Roman" w:cs="Times New Roman"/>
          <w:sz w:val="24"/>
          <w:szCs w:val="24"/>
        </w:rPr>
        <w:t xml:space="preserve">, misma que </w:t>
      </w:r>
      <w:r w:rsidR="00741C34" w:rsidRPr="00741C34">
        <w:rPr>
          <w:rFonts w:ascii="Times New Roman" w:eastAsia="Calibri" w:hAnsi="Times New Roman" w:cs="Times New Roman"/>
          <w:sz w:val="24"/>
          <w:szCs w:val="24"/>
        </w:rPr>
        <w:t>establece las condiciones a que se sujetará la realización de obras y actividades que puedan</w:t>
      </w:r>
      <w:r w:rsidR="00741C34">
        <w:rPr>
          <w:rFonts w:ascii="Times New Roman" w:eastAsia="Calibri" w:hAnsi="Times New Roman" w:cs="Times New Roman"/>
          <w:sz w:val="24"/>
          <w:szCs w:val="24"/>
        </w:rPr>
        <w:t xml:space="preserve"> </w:t>
      </w:r>
      <w:r w:rsidR="00741C34" w:rsidRPr="00741C34">
        <w:rPr>
          <w:rFonts w:ascii="Times New Roman" w:eastAsia="Calibri" w:hAnsi="Times New Roman" w:cs="Times New Roman"/>
          <w:sz w:val="24"/>
          <w:szCs w:val="24"/>
        </w:rPr>
        <w:t>causar desequilibrio ecológico o rebasar los límites y condiciones establecidos en las disposiciones</w:t>
      </w:r>
      <w:r w:rsidR="00741C34">
        <w:rPr>
          <w:rFonts w:ascii="Times New Roman" w:eastAsia="Calibri" w:hAnsi="Times New Roman" w:cs="Times New Roman"/>
          <w:sz w:val="24"/>
          <w:szCs w:val="24"/>
        </w:rPr>
        <w:t xml:space="preserve"> </w:t>
      </w:r>
      <w:r w:rsidR="00741C34" w:rsidRPr="00741C34">
        <w:rPr>
          <w:rFonts w:ascii="Times New Roman" w:eastAsia="Calibri" w:hAnsi="Times New Roman" w:cs="Times New Roman"/>
          <w:sz w:val="24"/>
          <w:szCs w:val="24"/>
        </w:rPr>
        <w:t>aplicables para proteger el ambiente y preservar y restaurar los ecosistemas, a fin de evitar o reducir al</w:t>
      </w:r>
      <w:r w:rsidR="00741C34">
        <w:rPr>
          <w:rFonts w:ascii="Times New Roman" w:eastAsia="Calibri" w:hAnsi="Times New Roman" w:cs="Times New Roman"/>
          <w:sz w:val="24"/>
          <w:szCs w:val="24"/>
        </w:rPr>
        <w:t xml:space="preserve"> </w:t>
      </w:r>
      <w:r w:rsidR="00741C34" w:rsidRPr="00741C34">
        <w:rPr>
          <w:rFonts w:ascii="Times New Roman" w:eastAsia="Calibri" w:hAnsi="Times New Roman" w:cs="Times New Roman"/>
          <w:sz w:val="24"/>
          <w:szCs w:val="24"/>
        </w:rPr>
        <w:t>mínimo sus efectos negativos sobre el medio ambiente</w:t>
      </w:r>
      <w:r w:rsidR="00741C34">
        <w:rPr>
          <w:rFonts w:ascii="Times New Roman" w:eastAsia="Calibri" w:hAnsi="Times New Roman" w:cs="Times New Roman"/>
          <w:sz w:val="24"/>
          <w:szCs w:val="24"/>
        </w:rPr>
        <w:t>, entre otras disposiciones.</w:t>
      </w:r>
      <w:r w:rsidR="00741C34">
        <w:rPr>
          <w:rStyle w:val="Refdenotaalpie"/>
          <w:rFonts w:ascii="Times New Roman" w:eastAsia="Calibri" w:hAnsi="Times New Roman" w:cs="Times New Roman"/>
          <w:sz w:val="24"/>
          <w:szCs w:val="24"/>
        </w:rPr>
        <w:footnoteReference w:id="6"/>
      </w:r>
    </w:p>
    <w:p w14:paraId="2D763D77" w14:textId="77777777" w:rsidR="00E84B4B" w:rsidRDefault="00E84B4B" w:rsidP="00E84B4B">
      <w:pPr>
        <w:pStyle w:val="Prrafodelista"/>
        <w:spacing w:line="240" w:lineRule="auto"/>
        <w:jc w:val="both"/>
        <w:rPr>
          <w:rFonts w:ascii="Times New Roman" w:eastAsia="Calibri" w:hAnsi="Times New Roman" w:cs="Times New Roman"/>
          <w:b/>
          <w:sz w:val="24"/>
          <w:szCs w:val="24"/>
        </w:rPr>
      </w:pPr>
    </w:p>
    <w:p w14:paraId="467552C8" w14:textId="247AFEF2"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¿Qué medidas existen para garantizar que las evaluaciones de diligencia debida en materia de derechos humanos o de impacto llevadas a cabo por los inversores tengan en cuenta la perspectiva de género y cuenten con una participación significativa de las comunidades afectadas, especialmente de los grupos e individuos marginados?</w:t>
      </w:r>
    </w:p>
    <w:p w14:paraId="07F27670" w14:textId="77777777" w:rsidR="00AF0786" w:rsidRDefault="00AF0786" w:rsidP="00AF0786">
      <w:pPr>
        <w:pStyle w:val="Prrafodelista"/>
        <w:spacing w:line="240" w:lineRule="auto"/>
        <w:jc w:val="both"/>
        <w:rPr>
          <w:rFonts w:ascii="Times New Roman" w:eastAsia="Calibri" w:hAnsi="Times New Roman" w:cs="Times New Roman"/>
          <w:b/>
          <w:sz w:val="24"/>
          <w:szCs w:val="24"/>
        </w:rPr>
      </w:pPr>
    </w:p>
    <w:p w14:paraId="18B39130" w14:textId="46B0D844" w:rsidR="00AE6AAC" w:rsidRPr="00AF0786" w:rsidRDefault="00F7079E" w:rsidP="00AF0786">
      <w:pPr>
        <w:pStyle w:val="Prrafodelista"/>
        <w:spacing w:line="24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El desarrollo de actividades de inversores en territorio nacional deberá hacerse en apego al</w:t>
      </w:r>
      <w:r w:rsidR="00AF0786" w:rsidRPr="00F7079E">
        <w:rPr>
          <w:rFonts w:ascii="Times New Roman" w:eastAsia="Calibri" w:hAnsi="Times New Roman" w:cs="Times New Roman"/>
          <w:sz w:val="24"/>
          <w:szCs w:val="24"/>
          <w:lang w:val="es-ES"/>
        </w:rPr>
        <w:t xml:space="preserve"> artículo 1º de la CPEUM, párrafo quinto, </w:t>
      </w:r>
      <w:r>
        <w:rPr>
          <w:rFonts w:ascii="Times New Roman" w:eastAsia="Calibri" w:hAnsi="Times New Roman" w:cs="Times New Roman"/>
          <w:sz w:val="24"/>
          <w:szCs w:val="24"/>
          <w:lang w:val="es-ES"/>
        </w:rPr>
        <w:t xml:space="preserve">que </w:t>
      </w:r>
      <w:r w:rsidR="00AF0786" w:rsidRPr="00F7079E">
        <w:rPr>
          <w:rFonts w:ascii="Times New Roman" w:eastAsia="Calibri" w:hAnsi="Times New Roman" w:cs="Times New Roman"/>
          <w:sz w:val="24"/>
          <w:szCs w:val="24"/>
          <w:lang w:val="es-ES"/>
        </w:rPr>
        <w:t xml:space="preserve">establece una prohibición de discriminar por motivos de género, preferencias sexuales, </w:t>
      </w:r>
      <w:r w:rsidRPr="00F7079E">
        <w:rPr>
          <w:rFonts w:ascii="Times New Roman" w:eastAsia="Calibri" w:hAnsi="Times New Roman" w:cs="Times New Roman"/>
          <w:sz w:val="24"/>
          <w:szCs w:val="24"/>
          <w:lang w:val="es-ES"/>
        </w:rPr>
        <w:t>o cualquier otra que atente contra la dignidad humana y tenga por objeto anular o menoscabar los derechos y libertades de las personas.</w:t>
      </w:r>
    </w:p>
    <w:p w14:paraId="4644904C" w14:textId="77777777" w:rsidR="00AF0786" w:rsidRPr="00AF0786" w:rsidRDefault="00AF0786" w:rsidP="00AF0786">
      <w:pPr>
        <w:pStyle w:val="Prrafodelista"/>
        <w:spacing w:line="240" w:lineRule="auto"/>
        <w:jc w:val="both"/>
        <w:rPr>
          <w:rFonts w:ascii="Times New Roman" w:eastAsia="Calibri" w:hAnsi="Times New Roman" w:cs="Times New Roman"/>
          <w:b/>
          <w:sz w:val="24"/>
          <w:szCs w:val="24"/>
          <w:lang w:val="es-ES"/>
        </w:rPr>
      </w:pPr>
    </w:p>
    <w:p w14:paraId="0D343529" w14:textId="26E82BF4" w:rsidR="00AF0786" w:rsidRPr="00AE6AAC" w:rsidRDefault="00AE6AAC" w:rsidP="00AE6AAC">
      <w:p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Acceso a mecanismos de reparación</w:t>
      </w:r>
    </w:p>
    <w:p w14:paraId="1D9340FD" w14:textId="76E3E888"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¿Incluyen los AII celebrados por su Gobierno procesos o mecanismos que permitan a las</w:t>
      </w:r>
      <w:r>
        <w:rPr>
          <w:rFonts w:ascii="Times New Roman" w:eastAsia="Calibri" w:hAnsi="Times New Roman" w:cs="Times New Roman"/>
          <w:b/>
          <w:sz w:val="24"/>
          <w:szCs w:val="24"/>
        </w:rPr>
        <w:t xml:space="preserve"> </w:t>
      </w:r>
      <w:r w:rsidRPr="00AE6AAC">
        <w:rPr>
          <w:rFonts w:ascii="Times New Roman" w:eastAsia="Calibri" w:hAnsi="Times New Roman" w:cs="Times New Roman"/>
          <w:b/>
          <w:sz w:val="24"/>
          <w:szCs w:val="24"/>
        </w:rPr>
        <w:t>personas o comunidades afectadas solicitar reparación, en los países de acogida o de origen, contra los inversores por abusos de los derechos humanos relacionados con los proyectos de inversión?</w:t>
      </w:r>
    </w:p>
    <w:p w14:paraId="33EB031D" w14:textId="77777777" w:rsidR="00AF0786" w:rsidRDefault="00AF0786" w:rsidP="00AF0786">
      <w:pPr>
        <w:pStyle w:val="Prrafodelista"/>
        <w:spacing w:line="240" w:lineRule="auto"/>
        <w:jc w:val="both"/>
        <w:rPr>
          <w:rFonts w:ascii="Times New Roman" w:eastAsia="Calibri" w:hAnsi="Times New Roman" w:cs="Times New Roman"/>
          <w:b/>
          <w:sz w:val="24"/>
          <w:szCs w:val="24"/>
        </w:rPr>
      </w:pPr>
    </w:p>
    <w:p w14:paraId="59E33059" w14:textId="53053823" w:rsidR="00AF0786" w:rsidRPr="00AF0786" w:rsidRDefault="00AF0786" w:rsidP="00AF0786">
      <w:pPr>
        <w:pStyle w:val="Prrafodelista"/>
        <w:spacing w:line="240" w:lineRule="auto"/>
        <w:jc w:val="both"/>
        <w:rPr>
          <w:rFonts w:ascii="Times New Roman" w:eastAsia="Calibri" w:hAnsi="Times New Roman" w:cs="Times New Roman"/>
          <w:sz w:val="24"/>
          <w:szCs w:val="24"/>
        </w:rPr>
      </w:pPr>
      <w:r w:rsidRPr="00AF0786">
        <w:rPr>
          <w:rFonts w:ascii="Times New Roman" w:eastAsia="Calibri" w:hAnsi="Times New Roman" w:cs="Times New Roman"/>
          <w:sz w:val="24"/>
          <w:szCs w:val="24"/>
        </w:rPr>
        <w:t>Los AII no contienen dichos mecanismos o procesos.</w:t>
      </w:r>
    </w:p>
    <w:p w14:paraId="7BC2A4BD" w14:textId="77777777" w:rsidR="00AF0786" w:rsidRDefault="00AF0786" w:rsidP="00AF0786">
      <w:pPr>
        <w:pStyle w:val="Prrafodelista"/>
        <w:spacing w:line="240" w:lineRule="auto"/>
        <w:jc w:val="both"/>
        <w:rPr>
          <w:rFonts w:ascii="Times New Roman" w:eastAsia="Calibri" w:hAnsi="Times New Roman" w:cs="Times New Roman"/>
          <w:b/>
          <w:sz w:val="24"/>
          <w:szCs w:val="24"/>
        </w:rPr>
      </w:pPr>
    </w:p>
    <w:p w14:paraId="205C95D4" w14:textId="2C7A74BA"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¿Ha presentado su gobierno contrademandas contra los inversores por abusos de los derechos humanos relacionados con sus inversiones? En caso afirmativo, por favor proporcione detalles.</w:t>
      </w:r>
    </w:p>
    <w:p w14:paraId="7464CA59" w14:textId="4DD8ABC0" w:rsidR="00AF0786" w:rsidRPr="00AF0786" w:rsidRDefault="00AF0786" w:rsidP="00AF0786">
      <w:pPr>
        <w:widowControl w:val="0"/>
        <w:tabs>
          <w:tab w:val="left" w:pos="220"/>
          <w:tab w:val="left" w:pos="720"/>
        </w:tabs>
        <w:autoSpaceDE w:val="0"/>
        <w:autoSpaceDN w:val="0"/>
        <w:adjustRightInd w:val="0"/>
        <w:spacing w:after="240" w:line="380" w:lineRule="atLeast"/>
        <w:ind w:left="720"/>
        <w:rPr>
          <w:rFonts w:ascii="Times New Roman" w:eastAsia="Calibri" w:hAnsi="Times New Roman" w:cs="Times New Roman"/>
          <w:sz w:val="24"/>
          <w:szCs w:val="24"/>
        </w:rPr>
      </w:pPr>
      <w:r w:rsidRPr="00AF0786">
        <w:rPr>
          <w:rFonts w:ascii="Times New Roman" w:eastAsia="Calibri" w:hAnsi="Times New Roman" w:cs="Times New Roman"/>
          <w:sz w:val="24"/>
          <w:szCs w:val="24"/>
        </w:rPr>
        <w:t>No se ha presentado dicho supuesto  </w:t>
      </w:r>
    </w:p>
    <w:p w14:paraId="70DCD889" w14:textId="667E38D0"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lastRenderedPageBreak/>
        <w:t xml:space="preserve">¿Permiten los AII celebrados por su Gobierno que los individuos o las comunidades afectadas presenten </w:t>
      </w:r>
      <w:r w:rsidRPr="002008A3">
        <w:rPr>
          <w:rFonts w:ascii="Times New Roman" w:eastAsia="Calibri" w:hAnsi="Times New Roman" w:cs="Times New Roman"/>
          <w:b/>
          <w:i/>
          <w:sz w:val="24"/>
          <w:szCs w:val="24"/>
        </w:rPr>
        <w:t>amicus curiae</w:t>
      </w:r>
      <w:r w:rsidRPr="00AE6AAC">
        <w:rPr>
          <w:rFonts w:ascii="Times New Roman" w:eastAsia="Calibri" w:hAnsi="Times New Roman" w:cs="Times New Roman"/>
          <w:b/>
          <w:sz w:val="24"/>
          <w:szCs w:val="24"/>
        </w:rPr>
        <w:t xml:space="preserve"> ante el mecanismo de solución de controversias entre inversores y Estados u otro proceso de resolución de controversias?</w:t>
      </w:r>
    </w:p>
    <w:p w14:paraId="0C41D6A5" w14:textId="77777777" w:rsidR="00AF0786" w:rsidRDefault="00AF0786" w:rsidP="00AF0786">
      <w:pPr>
        <w:pStyle w:val="Prrafodelista"/>
        <w:spacing w:line="240" w:lineRule="auto"/>
        <w:jc w:val="both"/>
        <w:rPr>
          <w:rFonts w:ascii="Times New Roman" w:eastAsia="Calibri" w:hAnsi="Times New Roman" w:cs="Times New Roman"/>
          <w:b/>
          <w:sz w:val="24"/>
          <w:szCs w:val="24"/>
        </w:rPr>
      </w:pPr>
    </w:p>
    <w:p w14:paraId="143E63E0" w14:textId="06DCF62A" w:rsidR="002008A3" w:rsidRDefault="002008A3" w:rsidP="002008A3">
      <w:pPr>
        <w:pStyle w:val="Prrafodelista"/>
        <w:spacing w:line="240" w:lineRule="auto"/>
        <w:jc w:val="both"/>
        <w:rPr>
          <w:rFonts w:ascii="Times New Roman" w:eastAsia="Calibri" w:hAnsi="Times New Roman" w:cs="Times New Roman"/>
          <w:sz w:val="24"/>
          <w:szCs w:val="24"/>
        </w:rPr>
      </w:pPr>
      <w:r w:rsidRPr="002008A3">
        <w:rPr>
          <w:rFonts w:ascii="Times New Roman" w:eastAsia="Calibri" w:hAnsi="Times New Roman" w:cs="Times New Roman"/>
          <w:sz w:val="24"/>
          <w:szCs w:val="24"/>
        </w:rPr>
        <w:t xml:space="preserve">Los AII celebrados por México establecen que un inversionista podrá someter una reclamación de conformidad con: i) el Convenio </w:t>
      </w:r>
      <w:r>
        <w:rPr>
          <w:rFonts w:ascii="Times New Roman" w:eastAsia="Calibri" w:hAnsi="Times New Roman" w:cs="Times New Roman"/>
          <w:sz w:val="24"/>
          <w:szCs w:val="24"/>
        </w:rPr>
        <w:t xml:space="preserve">del </w:t>
      </w:r>
      <w:r w:rsidRPr="002008A3">
        <w:rPr>
          <w:rFonts w:ascii="Times New Roman" w:eastAsia="Calibri" w:hAnsi="Times New Roman" w:cs="Times New Roman"/>
          <w:sz w:val="24"/>
          <w:szCs w:val="24"/>
        </w:rPr>
        <w:t xml:space="preserve">Centro Internacional de Arreglo de Diferencias </w:t>
      </w:r>
      <w:r>
        <w:rPr>
          <w:rFonts w:ascii="Times New Roman" w:eastAsia="Calibri" w:hAnsi="Times New Roman" w:cs="Times New Roman"/>
          <w:sz w:val="24"/>
          <w:szCs w:val="24"/>
        </w:rPr>
        <w:t>(</w:t>
      </w:r>
      <w:r w:rsidRPr="002008A3">
        <w:rPr>
          <w:rFonts w:ascii="Times New Roman" w:eastAsia="Calibri" w:hAnsi="Times New Roman" w:cs="Times New Roman"/>
          <w:sz w:val="24"/>
          <w:szCs w:val="24"/>
        </w:rPr>
        <w:t>CIADI</w:t>
      </w:r>
      <w:r>
        <w:rPr>
          <w:rFonts w:ascii="Times New Roman" w:eastAsia="Calibri" w:hAnsi="Times New Roman" w:cs="Times New Roman"/>
          <w:sz w:val="24"/>
          <w:szCs w:val="24"/>
        </w:rPr>
        <w:t>)</w:t>
      </w:r>
      <w:r w:rsidRPr="002008A3">
        <w:rPr>
          <w:rFonts w:ascii="Times New Roman" w:eastAsia="Calibri" w:hAnsi="Times New Roman" w:cs="Times New Roman"/>
          <w:sz w:val="24"/>
          <w:szCs w:val="24"/>
        </w:rPr>
        <w:t xml:space="preserve">, ii) </w:t>
      </w:r>
      <w:r>
        <w:rPr>
          <w:rFonts w:ascii="Times New Roman" w:eastAsia="Calibri" w:hAnsi="Times New Roman" w:cs="Times New Roman"/>
          <w:sz w:val="24"/>
          <w:szCs w:val="24"/>
        </w:rPr>
        <w:t xml:space="preserve">el </w:t>
      </w:r>
      <w:r w:rsidRPr="002008A3">
        <w:rPr>
          <w:rFonts w:ascii="Times New Roman" w:eastAsia="Calibri" w:hAnsi="Times New Roman" w:cs="Times New Roman"/>
          <w:sz w:val="24"/>
          <w:szCs w:val="24"/>
        </w:rPr>
        <w:t xml:space="preserve">Reglamento del Mecanismo Complementario del CIADI; iii) el Reglamento de Arbitraje de la Comisión de las Naciones Unidas para el Derecho Mercantil Internacional </w:t>
      </w:r>
      <w:r>
        <w:rPr>
          <w:rFonts w:ascii="Times New Roman" w:eastAsia="Calibri" w:hAnsi="Times New Roman" w:cs="Times New Roman"/>
          <w:sz w:val="24"/>
          <w:szCs w:val="24"/>
        </w:rPr>
        <w:t>(</w:t>
      </w:r>
      <w:r w:rsidRPr="002008A3">
        <w:rPr>
          <w:rFonts w:ascii="Times New Roman" w:eastAsia="Calibri" w:hAnsi="Times New Roman" w:cs="Times New Roman"/>
          <w:sz w:val="24"/>
          <w:szCs w:val="24"/>
        </w:rPr>
        <w:t>CNUDMI</w:t>
      </w:r>
      <w:r>
        <w:rPr>
          <w:rFonts w:ascii="Times New Roman" w:eastAsia="Calibri" w:hAnsi="Times New Roman" w:cs="Times New Roman"/>
          <w:sz w:val="24"/>
          <w:szCs w:val="24"/>
        </w:rPr>
        <w:t>)</w:t>
      </w:r>
      <w:r w:rsidRPr="002008A3">
        <w:rPr>
          <w:rFonts w:ascii="Times New Roman" w:eastAsia="Calibri" w:hAnsi="Times New Roman" w:cs="Times New Roman"/>
          <w:sz w:val="24"/>
          <w:szCs w:val="24"/>
        </w:rPr>
        <w:t>, o iv) cualesquiera otras reglas de arbitraje, si las partes contendientes así lo acuerdan.</w:t>
      </w:r>
    </w:p>
    <w:p w14:paraId="70855C5D" w14:textId="77777777" w:rsidR="002008A3" w:rsidRPr="002008A3" w:rsidRDefault="002008A3" w:rsidP="002008A3">
      <w:pPr>
        <w:pStyle w:val="Prrafodelista"/>
        <w:spacing w:line="240" w:lineRule="auto"/>
        <w:jc w:val="both"/>
        <w:rPr>
          <w:rFonts w:ascii="Times New Roman" w:eastAsia="Calibri" w:hAnsi="Times New Roman" w:cs="Times New Roman"/>
          <w:sz w:val="24"/>
          <w:szCs w:val="24"/>
        </w:rPr>
      </w:pPr>
    </w:p>
    <w:p w14:paraId="388A57BA" w14:textId="2C5D39FF" w:rsidR="002008A3" w:rsidRDefault="002008A3" w:rsidP="002008A3">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regla 37 (2) del Convenio CIADI establece que “d</w:t>
      </w:r>
      <w:r w:rsidRPr="002008A3">
        <w:rPr>
          <w:rFonts w:ascii="Times New Roman" w:eastAsia="Calibri" w:hAnsi="Times New Roman" w:cs="Times New Roman"/>
          <w:sz w:val="24"/>
          <w:szCs w:val="24"/>
        </w:rPr>
        <w:t>espués de consultar a ambas partes, el Tribunal puede permitir a una persona o entidad que no sea parte en la diferencia (en esta regla “parte no contendiente”) que efectúe una presentación escrita ante el Tribunal, relativa a cuestiones dentro del ámbito de la diferencia.” Lo anterior se señala de igual forma en el artículo 41 (3) del Reglamento del Mecanismo Complementario del CIADI.</w:t>
      </w:r>
    </w:p>
    <w:p w14:paraId="0F86A3C3" w14:textId="77777777" w:rsidR="002008A3" w:rsidRPr="002008A3" w:rsidRDefault="002008A3" w:rsidP="002008A3">
      <w:pPr>
        <w:pStyle w:val="Prrafodelista"/>
        <w:spacing w:line="240" w:lineRule="auto"/>
        <w:jc w:val="both"/>
        <w:rPr>
          <w:rFonts w:ascii="Times New Roman" w:eastAsia="Calibri" w:hAnsi="Times New Roman" w:cs="Times New Roman"/>
          <w:sz w:val="24"/>
          <w:szCs w:val="24"/>
        </w:rPr>
      </w:pPr>
    </w:p>
    <w:p w14:paraId="6B1C7355" w14:textId="1D7F6BBE" w:rsidR="00AF0786" w:rsidRPr="002008A3" w:rsidRDefault="002008A3" w:rsidP="002008A3">
      <w:pPr>
        <w:pStyle w:val="Prrafodelista"/>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Asimismo, se</w:t>
      </w:r>
      <w:r w:rsidRPr="002008A3">
        <w:rPr>
          <w:rFonts w:ascii="Times New Roman" w:eastAsia="Calibri" w:hAnsi="Times New Roman" w:cs="Times New Roman"/>
          <w:sz w:val="24"/>
          <w:szCs w:val="24"/>
        </w:rPr>
        <w:t xml:space="preserve"> considera que no existen motivos para limitar la posibilidad de que las partes no contendientes (incluidos amicus curiae) soliciten autorización para realizar una presentación.</w:t>
      </w:r>
    </w:p>
    <w:p w14:paraId="54D42F03" w14:textId="77777777" w:rsidR="00AF0786" w:rsidRDefault="00AF0786" w:rsidP="00AF0786">
      <w:pPr>
        <w:pStyle w:val="Prrafodelista"/>
        <w:spacing w:line="240" w:lineRule="auto"/>
        <w:jc w:val="both"/>
        <w:rPr>
          <w:rFonts w:ascii="Times New Roman" w:eastAsia="Calibri" w:hAnsi="Times New Roman" w:cs="Times New Roman"/>
          <w:b/>
          <w:sz w:val="24"/>
          <w:szCs w:val="24"/>
        </w:rPr>
      </w:pPr>
    </w:p>
    <w:p w14:paraId="135675FB" w14:textId="038B3090" w:rsidR="00AE6AAC" w:rsidRDefault="00AE6AAC" w:rsidP="00AE6AAC">
      <w:pPr>
        <w:pStyle w:val="Prrafodelista"/>
        <w:numPr>
          <w:ilvl w:val="0"/>
          <w:numId w:val="19"/>
        </w:numPr>
        <w:spacing w:line="240" w:lineRule="auto"/>
        <w:jc w:val="both"/>
        <w:rPr>
          <w:rFonts w:ascii="Times New Roman" w:eastAsia="Calibri" w:hAnsi="Times New Roman" w:cs="Times New Roman"/>
          <w:b/>
          <w:sz w:val="24"/>
          <w:szCs w:val="24"/>
        </w:rPr>
      </w:pPr>
      <w:r w:rsidRPr="00AE6AAC">
        <w:rPr>
          <w:rFonts w:ascii="Times New Roman" w:eastAsia="Calibri" w:hAnsi="Times New Roman" w:cs="Times New Roman"/>
          <w:b/>
          <w:sz w:val="24"/>
          <w:szCs w:val="24"/>
        </w:rPr>
        <w:t>¿Exige su Gobierno -en el marco de los AII o de otro modo- que los inversores establezcan, en consulta significativa con las comunidades afectadas, mecanismos de reclamación a nivel operacional que sean eficaces en términos de proceso y resultados de reparación? En caso afirmativo, por favor facilite detalles.</w:t>
      </w:r>
    </w:p>
    <w:p w14:paraId="6FE3C273" w14:textId="77777777" w:rsidR="007115A1" w:rsidRDefault="007115A1" w:rsidP="007115A1">
      <w:pPr>
        <w:pStyle w:val="Prrafodelista"/>
        <w:spacing w:line="240" w:lineRule="auto"/>
        <w:jc w:val="both"/>
        <w:rPr>
          <w:rFonts w:ascii="Times New Roman" w:eastAsia="Calibri" w:hAnsi="Times New Roman" w:cs="Times New Roman"/>
          <w:b/>
          <w:sz w:val="24"/>
          <w:szCs w:val="24"/>
        </w:rPr>
      </w:pPr>
    </w:p>
    <w:p w14:paraId="2159B002" w14:textId="08C20FD3" w:rsidR="007115A1" w:rsidRPr="007115A1" w:rsidRDefault="007115A1" w:rsidP="007115A1">
      <w:pPr>
        <w:pStyle w:val="Prrafodelista"/>
        <w:spacing w:line="360" w:lineRule="auto"/>
        <w:jc w:val="both"/>
        <w:rPr>
          <w:rFonts w:ascii="Times New Roman" w:eastAsia="Calibri" w:hAnsi="Times New Roman" w:cs="Times New Roman"/>
          <w:sz w:val="24"/>
          <w:szCs w:val="24"/>
        </w:rPr>
      </w:pPr>
      <w:r w:rsidRPr="007115A1">
        <w:rPr>
          <w:rFonts w:ascii="Times New Roman" w:eastAsia="Calibri" w:hAnsi="Times New Roman" w:cs="Times New Roman"/>
          <w:sz w:val="24"/>
          <w:szCs w:val="24"/>
        </w:rPr>
        <w:t>No se requiere</w:t>
      </w:r>
    </w:p>
    <w:p w14:paraId="2A28C38B" w14:textId="77777777" w:rsidR="00AE6AAC" w:rsidRPr="00AE6AAC" w:rsidRDefault="00AE6AAC" w:rsidP="00AE6AAC">
      <w:pPr>
        <w:widowControl w:val="0"/>
        <w:autoSpaceDE w:val="0"/>
        <w:autoSpaceDN w:val="0"/>
        <w:adjustRightInd w:val="0"/>
        <w:spacing w:after="240" w:line="240" w:lineRule="auto"/>
        <w:rPr>
          <w:rFonts w:ascii="Times New Roman" w:eastAsia="Calibri" w:hAnsi="Times New Roman" w:cs="Times New Roman"/>
          <w:b/>
          <w:sz w:val="24"/>
          <w:szCs w:val="24"/>
        </w:rPr>
      </w:pPr>
      <w:r w:rsidRPr="00AE6AAC">
        <w:rPr>
          <w:rFonts w:ascii="Times New Roman" w:eastAsia="Calibri" w:hAnsi="Times New Roman" w:cs="Times New Roman"/>
          <w:b/>
          <w:sz w:val="24"/>
          <w:szCs w:val="24"/>
        </w:rPr>
        <w:t xml:space="preserve">Buenas prácticas </w:t>
      </w:r>
    </w:p>
    <w:p w14:paraId="78E2760C" w14:textId="77777777" w:rsidR="00AE6AAC" w:rsidRPr="00AE6AAC" w:rsidRDefault="00AE6AAC" w:rsidP="00AE6AAC">
      <w:pPr>
        <w:widowControl w:val="0"/>
        <w:autoSpaceDE w:val="0"/>
        <w:autoSpaceDN w:val="0"/>
        <w:adjustRightInd w:val="0"/>
        <w:spacing w:after="240" w:line="240" w:lineRule="auto"/>
        <w:rPr>
          <w:rFonts w:ascii="Times New Roman" w:eastAsia="Calibri" w:hAnsi="Times New Roman" w:cs="Times New Roman"/>
          <w:b/>
          <w:sz w:val="24"/>
          <w:szCs w:val="24"/>
        </w:rPr>
      </w:pPr>
      <w:r w:rsidRPr="00AE6AAC">
        <w:rPr>
          <w:rFonts w:ascii="Times New Roman" w:eastAsia="Calibri" w:hAnsi="Times New Roman" w:cs="Times New Roman"/>
          <w:b/>
          <w:sz w:val="24"/>
          <w:szCs w:val="24"/>
        </w:rPr>
        <w:t xml:space="preserve">¿Existe alguna buena práctica relativa a la integración de cuestiones de derechos humanos en los AII que le gustaría compartir con el Grupo de Trabajo? Cualquier otro comentario o sugerencia también es bienvenido. </w:t>
      </w:r>
    </w:p>
    <w:p w14:paraId="6F09F86A" w14:textId="4D289331" w:rsidR="00AE6AAC" w:rsidRPr="00AE6AAC" w:rsidRDefault="007115A1" w:rsidP="00AE6AAC">
      <w:pPr>
        <w:widowControl w:val="0"/>
        <w:autoSpaceDE w:val="0"/>
        <w:autoSpaceDN w:val="0"/>
        <w:adjustRightInd w:val="0"/>
        <w:spacing w:after="24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Se informa que el</w:t>
      </w:r>
      <w:r w:rsidR="00AE6AAC" w:rsidRPr="00AE6AAC">
        <w:rPr>
          <w:rFonts w:ascii="Times New Roman" w:eastAsia="Calibri" w:hAnsi="Times New Roman" w:cs="Times New Roman"/>
          <w:sz w:val="24"/>
          <w:szCs w:val="24"/>
        </w:rPr>
        <w:t xml:space="preserve"> 15 de octubre de 2018, el Consej</w:t>
      </w:r>
      <w:r w:rsidR="00AC4DDF">
        <w:rPr>
          <w:rFonts w:ascii="Times New Roman" w:eastAsia="Calibri" w:hAnsi="Times New Roman" w:cs="Times New Roman"/>
          <w:sz w:val="24"/>
          <w:szCs w:val="24"/>
        </w:rPr>
        <w:t>o Coordinador Empresarial (CCE)</w:t>
      </w:r>
      <w:r w:rsidR="00AE6AAC" w:rsidRPr="00AE6AAC">
        <w:rPr>
          <w:rFonts w:ascii="Times New Roman" w:eastAsia="Calibri" w:hAnsi="Times New Roman" w:cs="Times New Roman"/>
          <w:sz w:val="24"/>
          <w:szCs w:val="24"/>
        </w:rPr>
        <w:t xml:space="preserve"> firmó con la</w:t>
      </w:r>
      <w:r>
        <w:rPr>
          <w:rFonts w:ascii="Times New Roman" w:eastAsia="Calibri" w:hAnsi="Times New Roman" w:cs="Times New Roman"/>
          <w:sz w:val="24"/>
          <w:szCs w:val="24"/>
        </w:rPr>
        <w:t xml:space="preserve"> Secretaría de Gobernación,</w:t>
      </w:r>
      <w:r w:rsidR="00AE6AAC" w:rsidRPr="00AE6AAC">
        <w:rPr>
          <w:rFonts w:ascii="Times New Roman" w:eastAsia="Calibri" w:hAnsi="Times New Roman" w:cs="Times New Roman"/>
          <w:sz w:val="24"/>
          <w:szCs w:val="24"/>
        </w:rPr>
        <w:t xml:space="preserve"> el “Documento Orientador Objetivos, Estrategias</w:t>
      </w:r>
      <w:r>
        <w:rPr>
          <w:rFonts w:ascii="Times New Roman" w:eastAsia="Calibri" w:hAnsi="Times New Roman" w:cs="Times New Roman"/>
          <w:sz w:val="24"/>
          <w:szCs w:val="24"/>
        </w:rPr>
        <w:t>, Líneas de A</w:t>
      </w:r>
      <w:r w:rsidR="00AE6AAC" w:rsidRPr="00AE6AAC">
        <w:rPr>
          <w:rFonts w:ascii="Times New Roman" w:eastAsia="Calibri" w:hAnsi="Times New Roman" w:cs="Times New Roman"/>
          <w:sz w:val="24"/>
          <w:szCs w:val="24"/>
        </w:rPr>
        <w:t xml:space="preserve">cción en materia </w:t>
      </w:r>
      <w:r>
        <w:rPr>
          <w:rFonts w:ascii="Times New Roman" w:eastAsia="Calibri" w:hAnsi="Times New Roman" w:cs="Times New Roman"/>
          <w:sz w:val="24"/>
          <w:szCs w:val="24"/>
        </w:rPr>
        <w:t xml:space="preserve">de Derechos Humanos y Empresas”, con </w:t>
      </w:r>
      <w:r w:rsidR="00AE6AAC" w:rsidRPr="00AE6AAC">
        <w:rPr>
          <w:rFonts w:ascii="Times New Roman" w:eastAsia="Calibri" w:hAnsi="Times New Roman" w:cs="Times New Roman"/>
          <w:sz w:val="24"/>
          <w:szCs w:val="24"/>
        </w:rPr>
        <w:t>la finalidad de instalar el “Comit</w:t>
      </w:r>
      <w:r>
        <w:rPr>
          <w:rFonts w:ascii="Times New Roman" w:eastAsia="Calibri" w:hAnsi="Times New Roman" w:cs="Times New Roman"/>
          <w:sz w:val="24"/>
          <w:szCs w:val="24"/>
        </w:rPr>
        <w:t>é</w:t>
      </w:r>
      <w:r w:rsidR="00AE6AAC" w:rsidRPr="00AE6AAC">
        <w:rPr>
          <w:rFonts w:ascii="Times New Roman" w:eastAsia="Calibri" w:hAnsi="Times New Roman" w:cs="Times New Roman"/>
          <w:sz w:val="24"/>
          <w:szCs w:val="24"/>
        </w:rPr>
        <w:t xml:space="preserve"> Mixto de Implementación de los Objetivos, Estrategias y Acciones Coordinadas en materia de Derechos Humanos Empresas</w:t>
      </w:r>
      <w:r>
        <w:rPr>
          <w:rFonts w:ascii="Times New Roman" w:eastAsia="Calibri" w:hAnsi="Times New Roman" w:cs="Times New Roman"/>
          <w:sz w:val="24"/>
          <w:szCs w:val="24"/>
        </w:rPr>
        <w:t xml:space="preserve">. Con lo anterior, se manifestó la </w:t>
      </w:r>
      <w:r w:rsidR="00AE6AAC" w:rsidRPr="00AE6AAC">
        <w:rPr>
          <w:rFonts w:ascii="Times New Roman" w:eastAsia="Calibri" w:hAnsi="Times New Roman" w:cs="Times New Roman"/>
          <w:sz w:val="24"/>
          <w:szCs w:val="24"/>
        </w:rPr>
        <w:t>disposición que tiene el CCE de sumar esfuerzos para promover temas de derechos humanos en el marco de la actividad empresarial</w:t>
      </w:r>
      <w:r>
        <w:rPr>
          <w:rFonts w:ascii="Times New Roman" w:eastAsia="Calibri" w:hAnsi="Times New Roman" w:cs="Times New Roman"/>
          <w:sz w:val="24"/>
          <w:szCs w:val="24"/>
        </w:rPr>
        <w:t xml:space="preserve"> en México</w:t>
      </w:r>
      <w:r w:rsidR="00AE6AAC" w:rsidRPr="00AE6AAC">
        <w:rPr>
          <w:rFonts w:ascii="Times New Roman" w:eastAsia="Calibri" w:hAnsi="Times New Roman" w:cs="Times New Roman"/>
          <w:sz w:val="24"/>
          <w:szCs w:val="24"/>
        </w:rPr>
        <w:t xml:space="preserve">. </w:t>
      </w:r>
    </w:p>
    <w:p w14:paraId="0DD2AFED" w14:textId="77777777" w:rsidR="00AE6AAC" w:rsidRPr="00AE6AAC" w:rsidRDefault="00AE6AAC" w:rsidP="00AE6AAC">
      <w:pPr>
        <w:jc w:val="both"/>
        <w:rPr>
          <w:rFonts w:ascii="Times New Roman" w:eastAsia="Calibri" w:hAnsi="Times New Roman" w:cs="Times New Roman"/>
          <w:b/>
          <w:sz w:val="24"/>
          <w:szCs w:val="24"/>
        </w:rPr>
      </w:pPr>
    </w:p>
    <w:p w14:paraId="22E2FC3B" w14:textId="77777777" w:rsidR="00AD2C81" w:rsidRPr="00AD2C81" w:rsidRDefault="00AD2C81" w:rsidP="00AD2C81">
      <w:pPr>
        <w:jc w:val="both"/>
        <w:rPr>
          <w:rFonts w:ascii="Times New Roman" w:eastAsia="Calibri" w:hAnsi="Times New Roman" w:cs="Times New Roman"/>
          <w:b/>
          <w:sz w:val="24"/>
          <w:szCs w:val="24"/>
        </w:rPr>
      </w:pPr>
    </w:p>
    <w:sectPr w:rsidR="00AD2C81" w:rsidRPr="00AD2C81" w:rsidSect="00711B4A">
      <w:footerReference w:type="default" r:id="rId8"/>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2956A0" w14:textId="77777777" w:rsidR="0095134B" w:rsidRDefault="0095134B" w:rsidP="00832684">
      <w:pPr>
        <w:spacing w:after="0" w:line="240" w:lineRule="auto"/>
      </w:pPr>
      <w:r>
        <w:separator/>
      </w:r>
    </w:p>
  </w:endnote>
  <w:endnote w:type="continuationSeparator" w:id="0">
    <w:p w14:paraId="7B1E5CA3" w14:textId="77777777" w:rsidR="0095134B" w:rsidRDefault="0095134B" w:rsidP="00832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2018120212"/>
      <w:docPartObj>
        <w:docPartGallery w:val="Page Numbers (Bottom of Page)"/>
        <w:docPartUnique/>
      </w:docPartObj>
    </w:sdtPr>
    <w:sdtEndPr/>
    <w:sdtContent>
      <w:p w14:paraId="7F446A41" w14:textId="77777777" w:rsidR="00AE6AAC" w:rsidRPr="00A64985" w:rsidRDefault="00AE6AAC" w:rsidP="00A64985">
        <w:pPr>
          <w:pStyle w:val="Piedepgina"/>
          <w:jc w:val="right"/>
          <w:rPr>
            <w:rFonts w:ascii="Times New Roman" w:hAnsi="Times New Roman" w:cs="Times New Roman"/>
            <w:sz w:val="20"/>
            <w:szCs w:val="20"/>
          </w:rPr>
        </w:pPr>
        <w:r w:rsidRPr="00A64985">
          <w:rPr>
            <w:rFonts w:ascii="Times New Roman" w:hAnsi="Times New Roman" w:cs="Times New Roman"/>
            <w:sz w:val="20"/>
            <w:szCs w:val="20"/>
          </w:rPr>
          <w:fldChar w:fldCharType="begin"/>
        </w:r>
        <w:r w:rsidRPr="00A64985">
          <w:rPr>
            <w:rFonts w:ascii="Times New Roman" w:hAnsi="Times New Roman" w:cs="Times New Roman"/>
            <w:sz w:val="20"/>
            <w:szCs w:val="20"/>
          </w:rPr>
          <w:instrText>PAGE   \* MERGEFORMAT</w:instrText>
        </w:r>
        <w:r w:rsidRPr="00A64985">
          <w:rPr>
            <w:rFonts w:ascii="Times New Roman" w:hAnsi="Times New Roman" w:cs="Times New Roman"/>
            <w:sz w:val="20"/>
            <w:szCs w:val="20"/>
          </w:rPr>
          <w:fldChar w:fldCharType="separate"/>
        </w:r>
        <w:r w:rsidR="00AC4DDF" w:rsidRPr="00AC4DDF">
          <w:rPr>
            <w:rFonts w:ascii="Times New Roman" w:hAnsi="Times New Roman" w:cs="Times New Roman"/>
            <w:noProof/>
            <w:sz w:val="20"/>
            <w:szCs w:val="20"/>
            <w:lang w:val="es-ES"/>
          </w:rPr>
          <w:t>5</w:t>
        </w:r>
        <w:r w:rsidRPr="00A64985">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0152F" w14:textId="77777777" w:rsidR="0095134B" w:rsidRDefault="0095134B" w:rsidP="00832684">
      <w:pPr>
        <w:spacing w:after="0" w:line="240" w:lineRule="auto"/>
      </w:pPr>
      <w:r>
        <w:separator/>
      </w:r>
    </w:p>
  </w:footnote>
  <w:footnote w:type="continuationSeparator" w:id="0">
    <w:p w14:paraId="689D4246" w14:textId="77777777" w:rsidR="0095134B" w:rsidRDefault="0095134B" w:rsidP="00832684">
      <w:pPr>
        <w:spacing w:after="0" w:line="240" w:lineRule="auto"/>
      </w:pPr>
      <w:r>
        <w:continuationSeparator/>
      </w:r>
    </w:p>
  </w:footnote>
  <w:footnote w:id="1">
    <w:p w14:paraId="309CFBBA" w14:textId="636D23A6" w:rsidR="00AE6AAC" w:rsidRPr="00C36820" w:rsidRDefault="00AE6AAC" w:rsidP="000219F8">
      <w:pPr>
        <w:pStyle w:val="Textonotapie"/>
        <w:rPr>
          <w:sz w:val="18"/>
          <w:szCs w:val="18"/>
        </w:rPr>
      </w:pPr>
      <w:r w:rsidRPr="00C36820">
        <w:rPr>
          <w:rStyle w:val="Refdenotaalpie"/>
          <w:sz w:val="18"/>
          <w:szCs w:val="18"/>
        </w:rPr>
        <w:footnoteRef/>
      </w:r>
      <w:r w:rsidRPr="00C36820">
        <w:rPr>
          <w:sz w:val="18"/>
          <w:szCs w:val="18"/>
        </w:rPr>
        <w:t xml:space="preserve"> </w:t>
      </w:r>
      <w:r w:rsidRPr="00C36820">
        <w:rPr>
          <w:sz w:val="18"/>
          <w:szCs w:val="18"/>
          <w:lang w:val="es-ES_tradnl"/>
        </w:rPr>
        <w:t xml:space="preserve">Constitución </w:t>
      </w:r>
      <w:r w:rsidRPr="00C36820">
        <w:rPr>
          <w:bCs/>
          <w:sz w:val="18"/>
          <w:szCs w:val="18"/>
        </w:rPr>
        <w:t>Política de los Estados Unidos Mexicanos</w:t>
      </w:r>
      <w:r w:rsidRPr="00C36820">
        <w:rPr>
          <w:sz w:val="18"/>
          <w:szCs w:val="18"/>
        </w:rPr>
        <w:t>, disponible en: http://www.diputados.gob.mx/LeyesBiblio/pdf/1_241220.pdf</w:t>
      </w:r>
    </w:p>
  </w:footnote>
  <w:footnote w:id="2">
    <w:p w14:paraId="4FDE76C6" w14:textId="5B385C53" w:rsidR="00AE6AAC" w:rsidRPr="00EF7A3B" w:rsidRDefault="00AE6AAC">
      <w:pPr>
        <w:pStyle w:val="Textonotapie"/>
        <w:rPr>
          <w:lang w:val="es-ES_tradnl"/>
        </w:rPr>
      </w:pPr>
      <w:r w:rsidRPr="00C36820">
        <w:rPr>
          <w:rStyle w:val="Refdenotaalpie"/>
          <w:sz w:val="18"/>
          <w:szCs w:val="18"/>
        </w:rPr>
        <w:footnoteRef/>
      </w:r>
      <w:r w:rsidRPr="00C36820">
        <w:rPr>
          <w:sz w:val="18"/>
          <w:szCs w:val="18"/>
        </w:rPr>
        <w:t xml:space="preserve"> </w:t>
      </w:r>
      <w:r w:rsidRPr="00C36820">
        <w:rPr>
          <w:bCs/>
          <w:sz w:val="18"/>
          <w:szCs w:val="18"/>
        </w:rPr>
        <w:t>Ley sobre la Aprobación de Tratados Internacionales en Materia Económica disponible en:  http://www.diputados.gob.mx/LeyesBiblio/pdf/271.pdf</w:t>
      </w:r>
    </w:p>
  </w:footnote>
  <w:footnote w:id="3">
    <w:p w14:paraId="7CE96E54" w14:textId="6737652A" w:rsidR="00AE6AAC" w:rsidRPr="00C36820" w:rsidRDefault="00AE6AAC">
      <w:pPr>
        <w:pStyle w:val="Textonotapie"/>
        <w:rPr>
          <w:sz w:val="18"/>
          <w:szCs w:val="18"/>
          <w:lang w:val="es-ES_tradnl"/>
        </w:rPr>
      </w:pPr>
      <w:r w:rsidRPr="00C36820">
        <w:rPr>
          <w:rStyle w:val="Refdenotaalpie"/>
          <w:sz w:val="18"/>
          <w:szCs w:val="18"/>
        </w:rPr>
        <w:footnoteRef/>
      </w:r>
      <w:r w:rsidRPr="00C36820">
        <w:rPr>
          <w:sz w:val="18"/>
          <w:szCs w:val="18"/>
        </w:rPr>
        <w:t xml:space="preserve"> </w:t>
      </w:r>
      <w:r w:rsidRPr="00C36820">
        <w:rPr>
          <w:sz w:val="18"/>
          <w:szCs w:val="18"/>
        </w:rPr>
        <w:t>Ley de la Comisión Nacional de los Derechos Humanos disponible en: https://www.cndh.org.mx/sites/default/files/documentos/2019-04/Ley_CNDH.pdf</w:t>
      </w:r>
    </w:p>
  </w:footnote>
  <w:footnote w:id="4">
    <w:p w14:paraId="3CEA1454" w14:textId="7E5B3314" w:rsidR="00AE6AAC" w:rsidRPr="00E72746" w:rsidRDefault="00AE6AAC">
      <w:pPr>
        <w:pStyle w:val="Textonotapie"/>
        <w:rPr>
          <w:lang w:val="es-ES_tradnl"/>
        </w:rPr>
      </w:pPr>
      <w:r w:rsidRPr="00C36820">
        <w:rPr>
          <w:rStyle w:val="Refdenotaalpie"/>
          <w:sz w:val="18"/>
          <w:szCs w:val="18"/>
        </w:rPr>
        <w:footnoteRef/>
      </w:r>
      <w:r w:rsidRPr="00C36820">
        <w:rPr>
          <w:sz w:val="18"/>
          <w:szCs w:val="18"/>
        </w:rPr>
        <w:t xml:space="preserve"> </w:t>
      </w:r>
      <w:r w:rsidRPr="00C36820">
        <w:rPr>
          <w:sz w:val="18"/>
          <w:szCs w:val="18"/>
        </w:rPr>
        <w:t>Plan Nacional de Desarrollo disponible en: https://www.dof.gob.mx/nota_detalle.php?codigo=5565599&amp;fecha=12/07/2019</w:t>
      </w:r>
    </w:p>
  </w:footnote>
  <w:footnote w:id="5">
    <w:p w14:paraId="73B64732" w14:textId="18485B2E" w:rsidR="00AE6AAC" w:rsidRPr="009F267B" w:rsidRDefault="00AE6AAC" w:rsidP="009F267B">
      <w:pPr>
        <w:pStyle w:val="Textonotapie"/>
        <w:jc w:val="both"/>
        <w:rPr>
          <w:lang w:val="es-ES_tradnl"/>
        </w:rPr>
      </w:pPr>
      <w:r w:rsidRPr="009F267B">
        <w:rPr>
          <w:sz w:val="18"/>
          <w:szCs w:val="18"/>
          <w:vertAlign w:val="superscript"/>
        </w:rPr>
        <w:footnoteRef/>
      </w:r>
      <w:r w:rsidRPr="009F267B">
        <w:rPr>
          <w:sz w:val="18"/>
          <w:szCs w:val="18"/>
        </w:rPr>
        <w:t xml:space="preserve"> </w:t>
      </w:r>
      <w:r w:rsidRPr="009F267B">
        <w:rPr>
          <w:sz w:val="18"/>
          <w:szCs w:val="18"/>
        </w:rPr>
        <w:t>Los objetivos generales son los siguientes: i) Contribuir a mejorar la calidad de vida y el nivel de bienestar de la población mexicana; ii) Propiciar el aprovechamiento de los recursos productivos del país; iii) Promover el acceso de los productos mexicanos a los mercados internacionales; iv) Contribuir a la diversificación de mercados; v) Fomentar la integración de la economía mexicana con la internacional y contribuir a la elevación de la competitividad del país, y vi) Promover la transparencia en las relaciones comerciales internacionales y el pleno respeto a los principios de política exterior de la fracción X del artículo 89 de la Constitución Política de los Estados Unidos Mexicanos.</w:t>
      </w:r>
    </w:p>
  </w:footnote>
  <w:footnote w:id="6">
    <w:p w14:paraId="0A3A7064" w14:textId="7F244003" w:rsidR="00741C34" w:rsidRPr="00741C34" w:rsidRDefault="00741C34">
      <w:pPr>
        <w:pStyle w:val="Textonotapie"/>
        <w:rPr>
          <w:lang w:val="es-ES_tradnl"/>
        </w:rPr>
      </w:pPr>
      <w:r w:rsidRPr="00741C34">
        <w:rPr>
          <w:rStyle w:val="Refdenotaalpie"/>
          <w:sz w:val="18"/>
        </w:rPr>
        <w:footnoteRef/>
      </w:r>
      <w:r w:rsidRPr="00741C34">
        <w:rPr>
          <w:sz w:val="18"/>
        </w:rPr>
        <w:t xml:space="preserve"> </w:t>
      </w:r>
      <w:r w:rsidRPr="00741C34">
        <w:rPr>
          <w:sz w:val="18"/>
        </w:rPr>
        <w:t>Ley General del Equilibrio Ecológico y la Protección al Ambiente disponible en: http://www.diputados.gob.mx/LeyesBiblio/pdf/148_180121.pdf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610D4E"/>
    <w:multiLevelType w:val="hybridMultilevel"/>
    <w:tmpl w:val="19B22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C8236C"/>
    <w:multiLevelType w:val="hybridMultilevel"/>
    <w:tmpl w:val="2C3AF8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B201A9"/>
    <w:multiLevelType w:val="hybridMultilevel"/>
    <w:tmpl w:val="95D69C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7E6C06"/>
    <w:multiLevelType w:val="hybridMultilevel"/>
    <w:tmpl w:val="EA6CB9F8"/>
    <w:lvl w:ilvl="0" w:tplc="FFD40698">
      <w:start w:val="1"/>
      <w:numFmt w:val="bullet"/>
      <w:lvlText w:val="•"/>
      <w:lvlJc w:val="left"/>
      <w:pPr>
        <w:tabs>
          <w:tab w:val="num" w:pos="720"/>
        </w:tabs>
        <w:ind w:left="720" w:hanging="360"/>
      </w:pPr>
      <w:rPr>
        <w:rFonts w:ascii="Arial" w:hAnsi="Arial" w:hint="default"/>
      </w:rPr>
    </w:lvl>
    <w:lvl w:ilvl="1" w:tplc="5D60A542" w:tentative="1">
      <w:start w:val="1"/>
      <w:numFmt w:val="bullet"/>
      <w:lvlText w:val="•"/>
      <w:lvlJc w:val="left"/>
      <w:pPr>
        <w:tabs>
          <w:tab w:val="num" w:pos="1440"/>
        </w:tabs>
        <w:ind w:left="1440" w:hanging="360"/>
      </w:pPr>
      <w:rPr>
        <w:rFonts w:ascii="Arial" w:hAnsi="Arial" w:hint="default"/>
      </w:rPr>
    </w:lvl>
    <w:lvl w:ilvl="2" w:tplc="3CBC766E" w:tentative="1">
      <w:start w:val="1"/>
      <w:numFmt w:val="bullet"/>
      <w:lvlText w:val="•"/>
      <w:lvlJc w:val="left"/>
      <w:pPr>
        <w:tabs>
          <w:tab w:val="num" w:pos="2160"/>
        </w:tabs>
        <w:ind w:left="2160" w:hanging="360"/>
      </w:pPr>
      <w:rPr>
        <w:rFonts w:ascii="Arial" w:hAnsi="Arial" w:hint="default"/>
      </w:rPr>
    </w:lvl>
    <w:lvl w:ilvl="3" w:tplc="D8421D14" w:tentative="1">
      <w:start w:val="1"/>
      <w:numFmt w:val="bullet"/>
      <w:lvlText w:val="•"/>
      <w:lvlJc w:val="left"/>
      <w:pPr>
        <w:tabs>
          <w:tab w:val="num" w:pos="2880"/>
        </w:tabs>
        <w:ind w:left="2880" w:hanging="360"/>
      </w:pPr>
      <w:rPr>
        <w:rFonts w:ascii="Arial" w:hAnsi="Arial" w:hint="default"/>
      </w:rPr>
    </w:lvl>
    <w:lvl w:ilvl="4" w:tplc="F328032E" w:tentative="1">
      <w:start w:val="1"/>
      <w:numFmt w:val="bullet"/>
      <w:lvlText w:val="•"/>
      <w:lvlJc w:val="left"/>
      <w:pPr>
        <w:tabs>
          <w:tab w:val="num" w:pos="3600"/>
        </w:tabs>
        <w:ind w:left="3600" w:hanging="360"/>
      </w:pPr>
      <w:rPr>
        <w:rFonts w:ascii="Arial" w:hAnsi="Arial" w:hint="default"/>
      </w:rPr>
    </w:lvl>
    <w:lvl w:ilvl="5" w:tplc="6C5EBA40" w:tentative="1">
      <w:start w:val="1"/>
      <w:numFmt w:val="bullet"/>
      <w:lvlText w:val="•"/>
      <w:lvlJc w:val="left"/>
      <w:pPr>
        <w:tabs>
          <w:tab w:val="num" w:pos="4320"/>
        </w:tabs>
        <w:ind w:left="4320" w:hanging="360"/>
      </w:pPr>
      <w:rPr>
        <w:rFonts w:ascii="Arial" w:hAnsi="Arial" w:hint="default"/>
      </w:rPr>
    </w:lvl>
    <w:lvl w:ilvl="6" w:tplc="DE2A9F06" w:tentative="1">
      <w:start w:val="1"/>
      <w:numFmt w:val="bullet"/>
      <w:lvlText w:val="•"/>
      <w:lvlJc w:val="left"/>
      <w:pPr>
        <w:tabs>
          <w:tab w:val="num" w:pos="5040"/>
        </w:tabs>
        <w:ind w:left="5040" w:hanging="360"/>
      </w:pPr>
      <w:rPr>
        <w:rFonts w:ascii="Arial" w:hAnsi="Arial" w:hint="default"/>
      </w:rPr>
    </w:lvl>
    <w:lvl w:ilvl="7" w:tplc="1436BFE8" w:tentative="1">
      <w:start w:val="1"/>
      <w:numFmt w:val="bullet"/>
      <w:lvlText w:val="•"/>
      <w:lvlJc w:val="left"/>
      <w:pPr>
        <w:tabs>
          <w:tab w:val="num" w:pos="5760"/>
        </w:tabs>
        <w:ind w:left="5760" w:hanging="360"/>
      </w:pPr>
      <w:rPr>
        <w:rFonts w:ascii="Arial" w:hAnsi="Arial" w:hint="default"/>
      </w:rPr>
    </w:lvl>
    <w:lvl w:ilvl="8" w:tplc="E03844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600FFD"/>
    <w:multiLevelType w:val="hybridMultilevel"/>
    <w:tmpl w:val="3CF8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593575"/>
    <w:multiLevelType w:val="hybridMultilevel"/>
    <w:tmpl w:val="73A02CB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7" w15:restartNumberingAfterBreak="0">
    <w:nsid w:val="1DDE7476"/>
    <w:multiLevelType w:val="hybridMultilevel"/>
    <w:tmpl w:val="47BC7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3715B2"/>
    <w:multiLevelType w:val="hybridMultilevel"/>
    <w:tmpl w:val="64269284"/>
    <w:lvl w:ilvl="0" w:tplc="7960CE78">
      <w:start w:val="1"/>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D33634"/>
    <w:multiLevelType w:val="hybridMultilevel"/>
    <w:tmpl w:val="65943C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C651BA"/>
    <w:multiLevelType w:val="hybridMultilevel"/>
    <w:tmpl w:val="9EF82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77365B"/>
    <w:multiLevelType w:val="hybridMultilevel"/>
    <w:tmpl w:val="01F8B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3E622F"/>
    <w:multiLevelType w:val="hybridMultilevel"/>
    <w:tmpl w:val="DB2A73A6"/>
    <w:lvl w:ilvl="0" w:tplc="B4A49B28">
      <w:start w:val="1"/>
      <w:numFmt w:val="upperRoman"/>
      <w:lvlText w:val="%1."/>
      <w:lvlJc w:val="left"/>
      <w:pPr>
        <w:ind w:left="1080" w:hanging="720"/>
      </w:pPr>
      <w:rPr>
        <w:rFonts w:hint="default"/>
      </w:rPr>
    </w:lvl>
    <w:lvl w:ilvl="1" w:tplc="257694B2">
      <w:start w:val="1"/>
      <w:numFmt w:val="lowerLetter"/>
      <w:lvlText w:val="%2)"/>
      <w:lvlJc w:val="left"/>
      <w:pPr>
        <w:ind w:left="1440" w:hanging="360"/>
      </w:pPr>
      <w:rPr>
        <w:rFonts w:hint="default"/>
        <w:b/>
        <w:sz w:val="22"/>
        <w:szCs w:val="22"/>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F63695"/>
    <w:multiLevelType w:val="hybridMultilevel"/>
    <w:tmpl w:val="B8C4DD18"/>
    <w:lvl w:ilvl="0" w:tplc="693473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17E39"/>
    <w:multiLevelType w:val="hybridMultilevel"/>
    <w:tmpl w:val="280E2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AC038C"/>
    <w:multiLevelType w:val="hybridMultilevel"/>
    <w:tmpl w:val="A600DF26"/>
    <w:lvl w:ilvl="0" w:tplc="3968AF8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673B4C"/>
    <w:multiLevelType w:val="hybridMultilevel"/>
    <w:tmpl w:val="2152C2C8"/>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15:restartNumberingAfterBreak="0">
    <w:nsid w:val="5FF764AB"/>
    <w:multiLevelType w:val="hybridMultilevel"/>
    <w:tmpl w:val="77F0B55A"/>
    <w:lvl w:ilvl="0" w:tplc="817A9EC0">
      <w:start w:val="6"/>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5984CEF"/>
    <w:multiLevelType w:val="hybridMultilevel"/>
    <w:tmpl w:val="3F68E094"/>
    <w:lvl w:ilvl="0" w:tplc="4DD66396">
      <w:start w:val="1"/>
      <w:numFmt w:val="bullet"/>
      <w:lvlText w:val="•"/>
      <w:lvlJc w:val="left"/>
      <w:pPr>
        <w:tabs>
          <w:tab w:val="num" w:pos="720"/>
        </w:tabs>
        <w:ind w:left="720" w:hanging="360"/>
      </w:pPr>
      <w:rPr>
        <w:rFonts w:ascii="Times New Roman" w:hAnsi="Times New Roman" w:hint="default"/>
      </w:rPr>
    </w:lvl>
    <w:lvl w:ilvl="1" w:tplc="116EF0C4" w:tentative="1">
      <w:start w:val="1"/>
      <w:numFmt w:val="bullet"/>
      <w:lvlText w:val="•"/>
      <w:lvlJc w:val="left"/>
      <w:pPr>
        <w:tabs>
          <w:tab w:val="num" w:pos="1440"/>
        </w:tabs>
        <w:ind w:left="1440" w:hanging="360"/>
      </w:pPr>
      <w:rPr>
        <w:rFonts w:ascii="Times New Roman" w:hAnsi="Times New Roman" w:hint="default"/>
      </w:rPr>
    </w:lvl>
    <w:lvl w:ilvl="2" w:tplc="2794B8CE" w:tentative="1">
      <w:start w:val="1"/>
      <w:numFmt w:val="bullet"/>
      <w:lvlText w:val="•"/>
      <w:lvlJc w:val="left"/>
      <w:pPr>
        <w:tabs>
          <w:tab w:val="num" w:pos="2160"/>
        </w:tabs>
        <w:ind w:left="2160" w:hanging="360"/>
      </w:pPr>
      <w:rPr>
        <w:rFonts w:ascii="Times New Roman" w:hAnsi="Times New Roman" w:hint="default"/>
      </w:rPr>
    </w:lvl>
    <w:lvl w:ilvl="3" w:tplc="4CC8E2D6" w:tentative="1">
      <w:start w:val="1"/>
      <w:numFmt w:val="bullet"/>
      <w:lvlText w:val="•"/>
      <w:lvlJc w:val="left"/>
      <w:pPr>
        <w:tabs>
          <w:tab w:val="num" w:pos="2880"/>
        </w:tabs>
        <w:ind w:left="2880" w:hanging="360"/>
      </w:pPr>
      <w:rPr>
        <w:rFonts w:ascii="Times New Roman" w:hAnsi="Times New Roman" w:hint="default"/>
      </w:rPr>
    </w:lvl>
    <w:lvl w:ilvl="4" w:tplc="BCCC5186" w:tentative="1">
      <w:start w:val="1"/>
      <w:numFmt w:val="bullet"/>
      <w:lvlText w:val="•"/>
      <w:lvlJc w:val="left"/>
      <w:pPr>
        <w:tabs>
          <w:tab w:val="num" w:pos="3600"/>
        </w:tabs>
        <w:ind w:left="3600" w:hanging="360"/>
      </w:pPr>
      <w:rPr>
        <w:rFonts w:ascii="Times New Roman" w:hAnsi="Times New Roman" w:hint="default"/>
      </w:rPr>
    </w:lvl>
    <w:lvl w:ilvl="5" w:tplc="E3969BE6" w:tentative="1">
      <w:start w:val="1"/>
      <w:numFmt w:val="bullet"/>
      <w:lvlText w:val="•"/>
      <w:lvlJc w:val="left"/>
      <w:pPr>
        <w:tabs>
          <w:tab w:val="num" w:pos="4320"/>
        </w:tabs>
        <w:ind w:left="4320" w:hanging="360"/>
      </w:pPr>
      <w:rPr>
        <w:rFonts w:ascii="Times New Roman" w:hAnsi="Times New Roman" w:hint="default"/>
      </w:rPr>
    </w:lvl>
    <w:lvl w:ilvl="6" w:tplc="6D1AD666" w:tentative="1">
      <w:start w:val="1"/>
      <w:numFmt w:val="bullet"/>
      <w:lvlText w:val="•"/>
      <w:lvlJc w:val="left"/>
      <w:pPr>
        <w:tabs>
          <w:tab w:val="num" w:pos="5040"/>
        </w:tabs>
        <w:ind w:left="5040" w:hanging="360"/>
      </w:pPr>
      <w:rPr>
        <w:rFonts w:ascii="Times New Roman" w:hAnsi="Times New Roman" w:hint="default"/>
      </w:rPr>
    </w:lvl>
    <w:lvl w:ilvl="7" w:tplc="A4C6BC8A" w:tentative="1">
      <w:start w:val="1"/>
      <w:numFmt w:val="bullet"/>
      <w:lvlText w:val="•"/>
      <w:lvlJc w:val="left"/>
      <w:pPr>
        <w:tabs>
          <w:tab w:val="num" w:pos="5760"/>
        </w:tabs>
        <w:ind w:left="5760" w:hanging="360"/>
      </w:pPr>
      <w:rPr>
        <w:rFonts w:ascii="Times New Roman" w:hAnsi="Times New Roman" w:hint="default"/>
      </w:rPr>
    </w:lvl>
    <w:lvl w:ilvl="8" w:tplc="AEE415F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7F72DC0"/>
    <w:multiLevelType w:val="hybridMultilevel"/>
    <w:tmpl w:val="9EB4E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9CF6BA1"/>
    <w:multiLevelType w:val="hybridMultilevel"/>
    <w:tmpl w:val="48740CC0"/>
    <w:lvl w:ilvl="0" w:tplc="8AB83B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DC141DC"/>
    <w:multiLevelType w:val="hybridMultilevel"/>
    <w:tmpl w:val="580A056E"/>
    <w:lvl w:ilvl="0" w:tplc="FFD4069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C3261"/>
    <w:multiLevelType w:val="hybridMultilevel"/>
    <w:tmpl w:val="A8A42C32"/>
    <w:lvl w:ilvl="0" w:tplc="FB14F7E4">
      <w:start w:val="1"/>
      <w:numFmt w:val="decimal"/>
      <w:lvlText w:val="%1."/>
      <w:lvlJc w:val="left"/>
      <w:pPr>
        <w:ind w:left="720" w:hanging="360"/>
      </w:pPr>
      <w:rPr>
        <w:rFonts w:ascii="Times New Roman" w:eastAsia="Calibri" w:hAnsi="Times New Roman" w:cs="Times New Roman"/>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A4D236B"/>
    <w:multiLevelType w:val="hybridMultilevel"/>
    <w:tmpl w:val="339C4E8C"/>
    <w:lvl w:ilvl="0" w:tplc="E910C50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C65F6A"/>
    <w:multiLevelType w:val="hybridMultilevel"/>
    <w:tmpl w:val="DB22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8"/>
  </w:num>
  <w:num w:numId="4">
    <w:abstractNumId w:val="10"/>
  </w:num>
  <w:num w:numId="5">
    <w:abstractNumId w:val="12"/>
  </w:num>
  <w:num w:numId="6">
    <w:abstractNumId w:val="17"/>
  </w:num>
  <w:num w:numId="7">
    <w:abstractNumId w:val="4"/>
  </w:num>
  <w:num w:numId="8">
    <w:abstractNumId w:val="18"/>
  </w:num>
  <w:num w:numId="9">
    <w:abstractNumId w:val="5"/>
  </w:num>
  <w:num w:numId="10">
    <w:abstractNumId w:val="15"/>
  </w:num>
  <w:num w:numId="11">
    <w:abstractNumId w:val="19"/>
  </w:num>
  <w:num w:numId="12">
    <w:abstractNumId w:val="20"/>
  </w:num>
  <w:num w:numId="13">
    <w:abstractNumId w:val="1"/>
  </w:num>
  <w:num w:numId="14">
    <w:abstractNumId w:val="3"/>
  </w:num>
  <w:num w:numId="15">
    <w:abstractNumId w:val="9"/>
  </w:num>
  <w:num w:numId="16">
    <w:abstractNumId w:val="14"/>
  </w:num>
  <w:num w:numId="17">
    <w:abstractNumId w:val="2"/>
  </w:num>
  <w:num w:numId="18">
    <w:abstractNumId w:val="7"/>
  </w:num>
  <w:num w:numId="19">
    <w:abstractNumId w:val="24"/>
  </w:num>
  <w:num w:numId="20">
    <w:abstractNumId w:val="23"/>
  </w:num>
  <w:num w:numId="21">
    <w:abstractNumId w:val="22"/>
  </w:num>
  <w:num w:numId="22">
    <w:abstractNumId w:val="6"/>
  </w:num>
  <w:num w:numId="23">
    <w:abstractNumId w:val="16"/>
  </w:num>
  <w:num w:numId="24">
    <w:abstractNumId w:val="2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4B"/>
    <w:rsid w:val="000219F8"/>
    <w:rsid w:val="00026E8B"/>
    <w:rsid w:val="00041DDE"/>
    <w:rsid w:val="00083261"/>
    <w:rsid w:val="000C6DB1"/>
    <w:rsid w:val="00156EA3"/>
    <w:rsid w:val="001A3840"/>
    <w:rsid w:val="001C1CC5"/>
    <w:rsid w:val="001C642F"/>
    <w:rsid w:val="001E249A"/>
    <w:rsid w:val="002008A3"/>
    <w:rsid w:val="00253E4C"/>
    <w:rsid w:val="002835B8"/>
    <w:rsid w:val="00293F7E"/>
    <w:rsid w:val="002A7CF2"/>
    <w:rsid w:val="002B02DC"/>
    <w:rsid w:val="002D68F0"/>
    <w:rsid w:val="003D335B"/>
    <w:rsid w:val="00402CB1"/>
    <w:rsid w:val="004508FD"/>
    <w:rsid w:val="004726FC"/>
    <w:rsid w:val="0048530F"/>
    <w:rsid w:val="004905AB"/>
    <w:rsid w:val="005022AF"/>
    <w:rsid w:val="0050249A"/>
    <w:rsid w:val="0056202D"/>
    <w:rsid w:val="005B4E08"/>
    <w:rsid w:val="00602D93"/>
    <w:rsid w:val="00636FDA"/>
    <w:rsid w:val="00683C26"/>
    <w:rsid w:val="006C435C"/>
    <w:rsid w:val="0070033D"/>
    <w:rsid w:val="007115A1"/>
    <w:rsid w:val="00711B4A"/>
    <w:rsid w:val="00741C34"/>
    <w:rsid w:val="00746D2D"/>
    <w:rsid w:val="007F66C5"/>
    <w:rsid w:val="008201AF"/>
    <w:rsid w:val="00832684"/>
    <w:rsid w:val="008464A9"/>
    <w:rsid w:val="0084762D"/>
    <w:rsid w:val="008A3B6F"/>
    <w:rsid w:val="008D0652"/>
    <w:rsid w:val="00945A09"/>
    <w:rsid w:val="0095134B"/>
    <w:rsid w:val="00975A1F"/>
    <w:rsid w:val="009762CE"/>
    <w:rsid w:val="009919E7"/>
    <w:rsid w:val="009E46E6"/>
    <w:rsid w:val="009F267B"/>
    <w:rsid w:val="00A1358F"/>
    <w:rsid w:val="00A64985"/>
    <w:rsid w:val="00AC01A0"/>
    <w:rsid w:val="00AC4DDF"/>
    <w:rsid w:val="00AD03E9"/>
    <w:rsid w:val="00AD2C81"/>
    <w:rsid w:val="00AE6AAC"/>
    <w:rsid w:val="00AE7D38"/>
    <w:rsid w:val="00AF0786"/>
    <w:rsid w:val="00B054BF"/>
    <w:rsid w:val="00B144BD"/>
    <w:rsid w:val="00B70AF3"/>
    <w:rsid w:val="00B71045"/>
    <w:rsid w:val="00B76086"/>
    <w:rsid w:val="00B95F9E"/>
    <w:rsid w:val="00BD5F4B"/>
    <w:rsid w:val="00C36820"/>
    <w:rsid w:val="00C44A6C"/>
    <w:rsid w:val="00C6145F"/>
    <w:rsid w:val="00CA20E5"/>
    <w:rsid w:val="00CC3A55"/>
    <w:rsid w:val="00D4209D"/>
    <w:rsid w:val="00DA37EE"/>
    <w:rsid w:val="00DD1762"/>
    <w:rsid w:val="00DF6427"/>
    <w:rsid w:val="00E72746"/>
    <w:rsid w:val="00E84B4B"/>
    <w:rsid w:val="00EC2137"/>
    <w:rsid w:val="00EC6BE6"/>
    <w:rsid w:val="00EF15BB"/>
    <w:rsid w:val="00EF7A3B"/>
    <w:rsid w:val="00F02F60"/>
    <w:rsid w:val="00F51743"/>
    <w:rsid w:val="00F7079E"/>
    <w:rsid w:val="00FE593A"/>
    <w:rsid w:val="00FF23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F9D16F"/>
  <w15:docId w15:val="{F878C91B-C8CA-418D-AA17-9AE231D5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BD5F4B"/>
    <w:pPr>
      <w:ind w:left="720"/>
      <w:contextualSpacing/>
    </w:pPr>
  </w:style>
  <w:style w:type="character" w:styleId="Hipervnculo">
    <w:name w:val="Hyperlink"/>
    <w:uiPriority w:val="99"/>
    <w:unhideWhenUsed/>
    <w:rsid w:val="008464A9"/>
    <w:rPr>
      <w:color w:val="0563C1"/>
      <w:u w:val="single"/>
    </w:rPr>
  </w:style>
  <w:style w:type="paragraph" w:customStyle="1" w:styleId="Texto">
    <w:name w:val="Texto"/>
    <w:basedOn w:val="Normal"/>
    <w:link w:val="TextoCar"/>
    <w:rsid w:val="008464A9"/>
    <w:pPr>
      <w:spacing w:after="101" w:line="216" w:lineRule="exact"/>
      <w:ind w:firstLine="288"/>
      <w:jc w:val="both"/>
    </w:pPr>
    <w:rPr>
      <w:rFonts w:ascii="Arial" w:eastAsia="Times New Roman" w:hAnsi="Arial" w:cs="Arial"/>
      <w:sz w:val="18"/>
      <w:szCs w:val="18"/>
      <w:lang w:val="es-ES" w:eastAsia="es-ES"/>
    </w:rPr>
  </w:style>
  <w:style w:type="character" w:customStyle="1" w:styleId="TextoCar">
    <w:name w:val="Texto Car"/>
    <w:link w:val="Texto"/>
    <w:rsid w:val="008464A9"/>
    <w:rPr>
      <w:rFonts w:ascii="Arial" w:eastAsia="Times New Roman" w:hAnsi="Arial" w:cs="Arial"/>
      <w:sz w:val="18"/>
      <w:szCs w:val="18"/>
      <w:lang w:val="es-ES" w:eastAsia="es-ES"/>
    </w:rPr>
  </w:style>
  <w:style w:type="character" w:customStyle="1" w:styleId="PrrafodelistaCar">
    <w:name w:val="Párrafo de lista Car"/>
    <w:link w:val="Prrafodelista"/>
    <w:uiPriority w:val="34"/>
    <w:locked/>
    <w:rsid w:val="008464A9"/>
  </w:style>
  <w:style w:type="paragraph" w:styleId="Textonotapie">
    <w:name w:val="footnote text"/>
    <w:basedOn w:val="Normal"/>
    <w:link w:val="TextonotapieCar"/>
    <w:uiPriority w:val="99"/>
    <w:unhideWhenUsed/>
    <w:rsid w:val="004726FC"/>
    <w:pPr>
      <w:spacing w:after="0" w:line="240" w:lineRule="auto"/>
    </w:pPr>
    <w:rPr>
      <w:sz w:val="20"/>
      <w:szCs w:val="20"/>
    </w:rPr>
  </w:style>
  <w:style w:type="character" w:customStyle="1" w:styleId="TextonotapieCar">
    <w:name w:val="Texto nota pie Car"/>
    <w:basedOn w:val="Fuentedeprrafopredeter"/>
    <w:link w:val="Textonotapie"/>
    <w:uiPriority w:val="99"/>
    <w:rsid w:val="004726FC"/>
    <w:rPr>
      <w:sz w:val="20"/>
      <w:szCs w:val="20"/>
    </w:rPr>
  </w:style>
  <w:style w:type="character" w:styleId="Refdenotaalpie">
    <w:name w:val="footnote reference"/>
    <w:basedOn w:val="Fuentedeprrafopredeter"/>
    <w:uiPriority w:val="99"/>
    <w:unhideWhenUsed/>
    <w:rsid w:val="004726FC"/>
    <w:rPr>
      <w:vertAlign w:val="superscript"/>
    </w:rPr>
  </w:style>
  <w:style w:type="paragraph" w:styleId="Encabezado">
    <w:name w:val="header"/>
    <w:basedOn w:val="Normal"/>
    <w:link w:val="EncabezadoCar"/>
    <w:uiPriority w:val="99"/>
    <w:unhideWhenUsed/>
    <w:rsid w:val="00A649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985"/>
  </w:style>
  <w:style w:type="paragraph" w:styleId="Piedepgina">
    <w:name w:val="footer"/>
    <w:basedOn w:val="Normal"/>
    <w:link w:val="PiedepginaCar"/>
    <w:uiPriority w:val="99"/>
    <w:unhideWhenUsed/>
    <w:rsid w:val="00A649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985"/>
  </w:style>
  <w:style w:type="character" w:customStyle="1" w:styleId="UnresolvedMention1">
    <w:name w:val="Unresolved Mention1"/>
    <w:basedOn w:val="Fuentedeprrafopredeter"/>
    <w:uiPriority w:val="99"/>
    <w:semiHidden/>
    <w:unhideWhenUsed/>
    <w:rsid w:val="00402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33262">
      <w:bodyDiv w:val="1"/>
      <w:marLeft w:val="0"/>
      <w:marRight w:val="0"/>
      <w:marTop w:val="0"/>
      <w:marBottom w:val="0"/>
      <w:divBdr>
        <w:top w:val="none" w:sz="0" w:space="0" w:color="auto"/>
        <w:left w:val="none" w:sz="0" w:space="0" w:color="auto"/>
        <w:bottom w:val="none" w:sz="0" w:space="0" w:color="auto"/>
        <w:right w:val="none" w:sz="0" w:space="0" w:color="auto"/>
      </w:divBdr>
    </w:div>
    <w:div w:id="626551973">
      <w:bodyDiv w:val="1"/>
      <w:marLeft w:val="0"/>
      <w:marRight w:val="0"/>
      <w:marTop w:val="0"/>
      <w:marBottom w:val="0"/>
      <w:divBdr>
        <w:top w:val="none" w:sz="0" w:space="0" w:color="auto"/>
        <w:left w:val="none" w:sz="0" w:space="0" w:color="auto"/>
        <w:bottom w:val="none" w:sz="0" w:space="0" w:color="auto"/>
        <w:right w:val="none" w:sz="0" w:space="0" w:color="auto"/>
      </w:divBdr>
    </w:div>
    <w:div w:id="1449154011">
      <w:bodyDiv w:val="1"/>
      <w:marLeft w:val="0"/>
      <w:marRight w:val="0"/>
      <w:marTop w:val="0"/>
      <w:marBottom w:val="0"/>
      <w:divBdr>
        <w:top w:val="none" w:sz="0" w:space="0" w:color="auto"/>
        <w:left w:val="none" w:sz="0" w:space="0" w:color="auto"/>
        <w:bottom w:val="none" w:sz="0" w:space="0" w:color="auto"/>
        <w:right w:val="none" w:sz="0" w:space="0" w:color="auto"/>
      </w:divBdr>
    </w:div>
    <w:div w:id="1472364107">
      <w:bodyDiv w:val="1"/>
      <w:marLeft w:val="0"/>
      <w:marRight w:val="0"/>
      <w:marTop w:val="0"/>
      <w:marBottom w:val="0"/>
      <w:divBdr>
        <w:top w:val="none" w:sz="0" w:space="0" w:color="auto"/>
        <w:left w:val="none" w:sz="0" w:space="0" w:color="auto"/>
        <w:bottom w:val="none" w:sz="0" w:space="0" w:color="auto"/>
        <w:right w:val="none" w:sz="0" w:space="0" w:color="auto"/>
      </w:divBdr>
    </w:div>
    <w:div w:id="1606812601">
      <w:bodyDiv w:val="1"/>
      <w:marLeft w:val="0"/>
      <w:marRight w:val="0"/>
      <w:marTop w:val="0"/>
      <w:marBottom w:val="0"/>
      <w:divBdr>
        <w:top w:val="none" w:sz="0" w:space="0" w:color="auto"/>
        <w:left w:val="none" w:sz="0" w:space="0" w:color="auto"/>
        <w:bottom w:val="none" w:sz="0" w:space="0" w:color="auto"/>
        <w:right w:val="none" w:sz="0" w:space="0" w:color="auto"/>
      </w:divBdr>
    </w:div>
    <w:div w:id="1736076732">
      <w:bodyDiv w:val="1"/>
      <w:marLeft w:val="0"/>
      <w:marRight w:val="0"/>
      <w:marTop w:val="0"/>
      <w:marBottom w:val="0"/>
      <w:divBdr>
        <w:top w:val="none" w:sz="0" w:space="0" w:color="auto"/>
        <w:left w:val="none" w:sz="0" w:space="0" w:color="auto"/>
        <w:bottom w:val="none" w:sz="0" w:space="0" w:color="auto"/>
        <w:right w:val="none" w:sz="0" w:space="0" w:color="auto"/>
      </w:divBdr>
    </w:div>
    <w:div w:id="19451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233510-2A63-5843-8181-29C0ABE1E7A8}">
  <ds:schemaRefs>
    <ds:schemaRef ds:uri="http://schemas.openxmlformats.org/officeDocument/2006/bibliography"/>
  </ds:schemaRefs>
</ds:datastoreItem>
</file>

<file path=customXml/itemProps2.xml><?xml version="1.0" encoding="utf-8"?>
<ds:datastoreItem xmlns:ds="http://schemas.openxmlformats.org/officeDocument/2006/customXml" ds:itemID="{9BEFCEDE-9BD3-4805-95A0-41EC0A7E2E05}"/>
</file>

<file path=customXml/itemProps3.xml><?xml version="1.0" encoding="utf-8"?>
<ds:datastoreItem xmlns:ds="http://schemas.openxmlformats.org/officeDocument/2006/customXml" ds:itemID="{76E520FB-DB02-405D-BAA1-C3360318C36A}"/>
</file>

<file path=customXml/itemProps4.xml><?xml version="1.0" encoding="utf-8"?>
<ds:datastoreItem xmlns:ds="http://schemas.openxmlformats.org/officeDocument/2006/customXml" ds:itemID="{F1782EF8-F7A9-48BA-BAFC-0D16E2225752}"/>
</file>

<file path=docProps/app.xml><?xml version="1.0" encoding="utf-8"?>
<Properties xmlns="http://schemas.openxmlformats.org/officeDocument/2006/extended-properties" xmlns:vt="http://schemas.openxmlformats.org/officeDocument/2006/docPropsVTypes">
  <Template>Normal.dotm</Template>
  <TotalTime>1</TotalTime>
  <Pages>5</Pages>
  <Words>1988</Words>
  <Characters>10937</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Ortiz Martínez, Helena Marisé</dc:creator>
  <cp:keywords/>
  <dc:description/>
  <cp:lastModifiedBy>Ana Paula Lavalle Arroyo</cp:lastModifiedBy>
  <cp:revision>2</cp:revision>
  <cp:lastPrinted>2021-03-17T20:06:00Z</cp:lastPrinted>
  <dcterms:created xsi:type="dcterms:W3CDTF">2021-03-17T23:02:00Z</dcterms:created>
  <dcterms:modified xsi:type="dcterms:W3CDTF">2021-03-17T23:02:00Z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