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93" w:rsidRDefault="00C662A0" w:rsidP="00F83C64">
      <w:pPr>
        <w:jc w:val="both"/>
        <w:rPr>
          <w:b/>
          <w:lang w:val="en-US" w:eastAsia="en-GB"/>
        </w:rPr>
      </w:pPr>
      <w:bookmarkStart w:id="0" w:name="_GoBack"/>
      <w:bookmarkEnd w:id="0"/>
      <w:r w:rsidRPr="00C662A0">
        <w:rPr>
          <w:b/>
        </w:rPr>
        <w:t xml:space="preserve">Input to the </w:t>
      </w:r>
      <w:r w:rsidR="00B44637">
        <w:rPr>
          <w:b/>
        </w:rPr>
        <w:t xml:space="preserve">OHCHR’s report for the </w:t>
      </w:r>
      <w:r w:rsidRPr="00C662A0">
        <w:rPr>
          <w:b/>
        </w:rPr>
        <w:t xml:space="preserve">Human Rights Council on the theme </w:t>
      </w:r>
      <w:r w:rsidRPr="00C662A0">
        <w:rPr>
          <w:b/>
          <w:i/>
        </w:rPr>
        <w:t>"Empowering children with disabilities for the enjoyment of their human rights, including through inclusive education"</w:t>
      </w:r>
      <w:r w:rsidR="001868E9">
        <w:rPr>
          <w:b/>
          <w:i/>
        </w:rPr>
        <w:t xml:space="preserve">, </w:t>
      </w:r>
      <w:r w:rsidRPr="00C662A0">
        <w:rPr>
          <w:b/>
        </w:rPr>
        <w:t xml:space="preserve"> </w:t>
      </w:r>
      <w:r w:rsidR="001868E9" w:rsidRPr="001868E9">
        <w:rPr>
          <w:b/>
          <w:lang w:val="en-US" w:eastAsia="en-GB"/>
        </w:rPr>
        <w:t>Human Rights Council resolution 37/20</w:t>
      </w:r>
    </w:p>
    <w:p w:rsidR="001868E9" w:rsidRPr="001868E9" w:rsidRDefault="001868E9" w:rsidP="00F83C64">
      <w:pPr>
        <w:jc w:val="both"/>
        <w:rPr>
          <w:b/>
        </w:rPr>
      </w:pPr>
      <w:r>
        <w:rPr>
          <w:b/>
          <w:lang w:val="en-US" w:eastAsia="en-GB"/>
        </w:rPr>
        <w:t>10 October 2018</w:t>
      </w:r>
    </w:p>
    <w:p w:rsidR="00C662A0" w:rsidRPr="00F83C64" w:rsidRDefault="006648E4" w:rsidP="00051DD9">
      <w:pPr>
        <w:pBdr>
          <w:top w:val="single" w:sz="4" w:space="1" w:color="auto"/>
          <w:left w:val="single" w:sz="4" w:space="4" w:color="auto"/>
          <w:bottom w:val="single" w:sz="4" w:space="1" w:color="auto"/>
          <w:right w:val="single" w:sz="4" w:space="4" w:color="auto"/>
        </w:pBdr>
        <w:jc w:val="both"/>
        <w:rPr>
          <w:i/>
          <w:lang w:val="en"/>
        </w:rPr>
      </w:pPr>
      <w:hyperlink r:id="rId8" w:history="1">
        <w:r w:rsidR="00C662A0" w:rsidRPr="00F83C64">
          <w:rPr>
            <w:rStyle w:val="Hyperlink"/>
            <w:i/>
            <w:lang w:val="en"/>
          </w:rPr>
          <w:t>The European Union Agency for Fundamental Rights (FRA)</w:t>
        </w:r>
      </w:hyperlink>
      <w:r w:rsidR="00C662A0" w:rsidRPr="00F83C64">
        <w:rPr>
          <w:i/>
          <w:lang w:val="en"/>
        </w:rPr>
        <w:t xml:space="preserve"> </w:t>
      </w:r>
      <w:r w:rsidR="00F83C64" w:rsidRPr="00F83C64">
        <w:rPr>
          <w:i/>
          <w:lang w:val="en"/>
        </w:rPr>
        <w:t>is an advisory body of the European Union. The FRA helps to ensure that fundamental rights of people living in the EU are protected. It does this by collecting evidence about the situation of fundamental rights across the EU and providing advice, based on evidence, about how to improve the situation.</w:t>
      </w:r>
    </w:p>
    <w:p w:rsidR="006E19F7" w:rsidRPr="002C0488" w:rsidRDefault="006E19F7" w:rsidP="002C0488">
      <w:pPr>
        <w:jc w:val="both"/>
        <w:rPr>
          <w:lang w:val="en"/>
        </w:rPr>
      </w:pPr>
      <w:r>
        <w:rPr>
          <w:lang w:val="en"/>
        </w:rPr>
        <w:t xml:space="preserve">The information compiled in this document </w:t>
      </w:r>
      <w:r w:rsidR="00B44637">
        <w:rPr>
          <w:lang w:val="en"/>
        </w:rPr>
        <w:t xml:space="preserve">is </w:t>
      </w:r>
      <w:r>
        <w:rPr>
          <w:lang w:val="en"/>
        </w:rPr>
        <w:t xml:space="preserve">based on </w:t>
      </w:r>
      <w:r w:rsidR="00B44637">
        <w:rPr>
          <w:lang w:val="en"/>
        </w:rPr>
        <w:t>FRA’s report</w:t>
      </w:r>
      <w:r>
        <w:rPr>
          <w:lang w:val="en"/>
        </w:rPr>
        <w:t xml:space="preserve"> </w:t>
      </w:r>
      <w:r w:rsidRPr="00F83C64">
        <w:rPr>
          <w:b/>
          <w:lang w:val="en"/>
        </w:rPr>
        <w:t>“</w:t>
      </w:r>
      <w:hyperlink r:id="rId9" w:history="1">
        <w:r w:rsidRPr="00B44637">
          <w:rPr>
            <w:rStyle w:val="Hyperlink"/>
            <w:b/>
            <w:i/>
            <w:lang w:val="en"/>
          </w:rPr>
          <w:t>Violence against children with disabilities: legislation, policies and programmes in the EU</w:t>
        </w:r>
      </w:hyperlink>
      <w:r w:rsidRPr="00F83C64">
        <w:rPr>
          <w:b/>
          <w:i/>
          <w:lang w:val="en"/>
        </w:rPr>
        <w:t>”</w:t>
      </w:r>
      <w:r w:rsidR="00B44637">
        <w:rPr>
          <w:lang w:val="en"/>
        </w:rPr>
        <w:t xml:space="preserve">, </w:t>
      </w:r>
      <w:r>
        <w:rPr>
          <w:lang w:val="en"/>
        </w:rPr>
        <w:t>published in 2015.</w:t>
      </w:r>
      <w:r w:rsidR="009A0D77">
        <w:rPr>
          <w:lang w:val="en"/>
        </w:rPr>
        <w:t xml:space="preserve"> </w:t>
      </w:r>
      <w:r w:rsidR="002C0488">
        <w:t>The study</w:t>
      </w:r>
      <w:r w:rsidR="002C0488" w:rsidRPr="002C0488">
        <w:t xml:space="preserve"> is based on desk research in 28 EU Member States and interviews with stakeholders in 13 Member States.</w:t>
      </w:r>
    </w:p>
    <w:p w:rsidR="006E19F7" w:rsidRDefault="006E19F7" w:rsidP="00D47093">
      <w:pPr>
        <w:jc w:val="both"/>
        <w:rPr>
          <w:lang w:val="en"/>
        </w:rPr>
      </w:pPr>
      <w:r w:rsidRPr="006E19F7">
        <w:rPr>
          <w:lang w:val="en"/>
        </w:rPr>
        <w:t>FRA’s desk research identified examples of meas</w:t>
      </w:r>
      <w:r w:rsidRPr="006E19F7">
        <w:rPr>
          <w:lang w:val="en"/>
        </w:rPr>
        <w:softHyphen/>
        <w:t>ures adopted by Member States to prevent violence against children with disabilities. These address four different groups: stakeholders in general, chil</w:t>
      </w:r>
      <w:r w:rsidRPr="006E19F7">
        <w:rPr>
          <w:lang w:val="en"/>
        </w:rPr>
        <w:softHyphen/>
        <w:t>dren, families and communities, and professionals and institutions. Respondents stressed the need for a holistic approach entailing cross</w:t>
      </w:r>
      <w:r w:rsidRPr="006E19F7">
        <w:rPr>
          <w:lang w:val="en"/>
        </w:rPr>
        <w:noBreakHyphen/>
        <w:t xml:space="preserve">cutting measures and services that include and cater to the needs of all children, including those with disabilities. </w:t>
      </w:r>
      <w:r w:rsidR="00B44637">
        <w:rPr>
          <w:lang w:val="en"/>
        </w:rPr>
        <w:t xml:space="preserve">This input present only a selection of the informacion contained in the report. For further information please visit: </w:t>
      </w:r>
      <w:hyperlink r:id="rId10" w:history="1">
        <w:r w:rsidR="00B44637" w:rsidRPr="00815A05">
          <w:rPr>
            <w:rStyle w:val="Hyperlink"/>
            <w:lang w:val="en"/>
          </w:rPr>
          <w:t>http://fra.europa.eu/en/publication/2015/children-disabilities-violence</w:t>
        </w:r>
      </w:hyperlink>
    </w:p>
    <w:p w:rsidR="006E19F7" w:rsidRDefault="006E19F7" w:rsidP="006E19F7">
      <w:pPr>
        <w:pStyle w:val="Default"/>
        <w:rPr>
          <w:rFonts w:asciiTheme="minorHAnsi" w:hAnsiTheme="minorHAnsi" w:cstheme="minorBidi"/>
          <w:color w:val="auto"/>
          <w:sz w:val="22"/>
          <w:szCs w:val="22"/>
          <w:lang w:val="en"/>
        </w:rPr>
      </w:pPr>
    </w:p>
    <w:p w:rsidR="006E19F7" w:rsidRDefault="006E19F7" w:rsidP="009A0D77">
      <w:pPr>
        <w:pStyle w:val="Default"/>
        <w:jc w:val="center"/>
        <w:rPr>
          <w:rFonts w:asciiTheme="minorHAnsi" w:hAnsiTheme="minorHAnsi" w:cstheme="minorBidi"/>
          <w:color w:val="auto"/>
          <w:sz w:val="22"/>
          <w:szCs w:val="22"/>
          <w:lang w:val="en"/>
        </w:rPr>
      </w:pPr>
      <w:r>
        <w:rPr>
          <w:rFonts w:asciiTheme="minorHAnsi" w:hAnsiTheme="minorHAnsi" w:cstheme="minorBidi"/>
          <w:noProof/>
          <w:color w:val="auto"/>
          <w:sz w:val="22"/>
          <w:szCs w:val="22"/>
          <w:lang w:eastAsia="en-GB"/>
        </w:rPr>
        <w:drawing>
          <wp:inline distT="0" distB="0" distL="0" distR="0">
            <wp:extent cx="4629150" cy="3086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resolution.png"/>
                    <pic:cNvPicPr/>
                  </pic:nvPicPr>
                  <pic:blipFill>
                    <a:blip r:embed="rId11">
                      <a:extLst>
                        <a:ext uri="{28A0092B-C50C-407E-A947-70E740481C1C}">
                          <a14:useLocalDpi xmlns:a14="http://schemas.microsoft.com/office/drawing/2010/main" val="0"/>
                        </a:ext>
                      </a:extLst>
                    </a:blip>
                    <a:stretch>
                      <a:fillRect/>
                    </a:stretch>
                  </pic:blipFill>
                  <pic:spPr>
                    <a:xfrm>
                      <a:off x="0" y="0"/>
                      <a:ext cx="4660155" cy="3107114"/>
                    </a:xfrm>
                    <a:prstGeom prst="rect">
                      <a:avLst/>
                    </a:prstGeom>
                  </pic:spPr>
                </pic:pic>
              </a:graphicData>
            </a:graphic>
          </wp:inline>
        </w:drawing>
      </w:r>
    </w:p>
    <w:p w:rsidR="00B7287E" w:rsidRDefault="00B7287E" w:rsidP="006E19F7">
      <w:pPr>
        <w:pStyle w:val="Default"/>
        <w:rPr>
          <w:rFonts w:asciiTheme="minorHAnsi" w:hAnsiTheme="minorHAnsi" w:cstheme="minorBidi"/>
          <w:color w:val="auto"/>
          <w:sz w:val="22"/>
          <w:szCs w:val="22"/>
          <w:lang w:val="en"/>
        </w:rPr>
      </w:pPr>
    </w:p>
    <w:p w:rsidR="00B7287E" w:rsidRDefault="00B7287E" w:rsidP="00D47093">
      <w:pPr>
        <w:jc w:val="both"/>
        <w:rPr>
          <w:lang w:val="en"/>
        </w:rPr>
      </w:pPr>
    </w:p>
    <w:p w:rsidR="008274EB" w:rsidRPr="00F83C64" w:rsidRDefault="008274EB" w:rsidP="00D47093">
      <w:pPr>
        <w:jc w:val="both"/>
        <w:rPr>
          <w:rFonts w:eastAsia="Helvetica" w:cs="Helvetica"/>
          <w:b/>
          <w:color w:val="000000"/>
          <w:lang w:eastAsia="en-GB"/>
        </w:rPr>
      </w:pPr>
      <w:r w:rsidRPr="00F83C64">
        <w:rPr>
          <w:rFonts w:eastAsia="Helvetica" w:cs="Helvetica"/>
          <w:b/>
          <w:color w:val="000000"/>
          <w:lang w:eastAsia="en-GB"/>
        </w:rPr>
        <w:t>1/b.</w:t>
      </w:r>
      <w:r w:rsidR="001868E9">
        <w:rPr>
          <w:rFonts w:eastAsia="Helvetica" w:cs="Helvetica"/>
          <w:b/>
          <w:color w:val="000000"/>
          <w:lang w:eastAsia="en-GB"/>
        </w:rPr>
        <w:t xml:space="preserve"> </w:t>
      </w:r>
      <w:r w:rsidRPr="00F83C64">
        <w:rPr>
          <w:rFonts w:eastAsia="Helvetica" w:cs="Helvetica"/>
          <w:b/>
          <w:color w:val="000000"/>
          <w:lang w:eastAsia="en-GB"/>
        </w:rPr>
        <w:t>Please identify specific measures or actions being taken to empower children with disabilities in education settings, particularly children with disabilities with psychosocial and intellectual impairments.</w:t>
      </w:r>
    </w:p>
    <w:tbl>
      <w:tblPr>
        <w:tblStyle w:val="TableGrid"/>
        <w:tblW w:w="0" w:type="auto"/>
        <w:tblLook w:val="04A0" w:firstRow="1" w:lastRow="0" w:firstColumn="1" w:lastColumn="0" w:noHBand="0" w:noVBand="1"/>
      </w:tblPr>
      <w:tblGrid>
        <w:gridCol w:w="1375"/>
        <w:gridCol w:w="3896"/>
        <w:gridCol w:w="3745"/>
      </w:tblGrid>
      <w:tr w:rsidR="002C0488" w:rsidRPr="00F83C64" w:rsidTr="002C0488">
        <w:tc>
          <w:tcPr>
            <w:tcW w:w="1375" w:type="dxa"/>
            <w:shd w:val="clear" w:color="auto" w:fill="E7E6E6" w:themeFill="background2"/>
          </w:tcPr>
          <w:p w:rsidR="004852E8" w:rsidRPr="00F83C64" w:rsidRDefault="008B22DC"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 xml:space="preserve">Name </w:t>
            </w:r>
          </w:p>
        </w:tc>
        <w:tc>
          <w:tcPr>
            <w:tcW w:w="3896" w:type="dxa"/>
            <w:shd w:val="clear" w:color="auto" w:fill="E7E6E6" w:themeFill="background2"/>
          </w:tcPr>
          <w:p w:rsidR="004852E8" w:rsidRPr="00F83C64" w:rsidRDefault="008B22DC"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Description</w:t>
            </w:r>
          </w:p>
        </w:tc>
        <w:tc>
          <w:tcPr>
            <w:tcW w:w="2095" w:type="dxa"/>
            <w:shd w:val="clear" w:color="auto" w:fill="E7E6E6" w:themeFill="background2"/>
          </w:tcPr>
          <w:p w:rsidR="004852E8" w:rsidRPr="00F83C64" w:rsidRDefault="008B22DC"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Reference and link</w:t>
            </w:r>
          </w:p>
        </w:tc>
      </w:tr>
      <w:tr w:rsidR="002C0488" w:rsidRPr="00B44637" w:rsidTr="002C0488">
        <w:tc>
          <w:tcPr>
            <w:tcW w:w="1375" w:type="dxa"/>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lastRenderedPageBreak/>
              <w:t>Emma Untouchable!</w:t>
            </w:r>
          </w:p>
        </w:tc>
        <w:tc>
          <w:tcPr>
            <w:tcW w:w="3896" w:type="dxa"/>
          </w:tcPr>
          <w:p w:rsidR="004852E8" w:rsidRPr="00F83C64" w:rsidRDefault="004852E8" w:rsidP="00F83C64">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In the context of the government</w:t>
            </w:r>
            <w:r w:rsidRPr="00F83C64">
              <w:rPr>
                <w:rFonts w:ascii="Cambria Math" w:hAnsi="Cambria Math" w:cs="Cambria Math"/>
                <w:color w:val="auto"/>
                <w:sz w:val="20"/>
                <w:szCs w:val="20"/>
                <w:lang w:val="en"/>
              </w:rPr>
              <w:t>‑</w:t>
            </w:r>
            <w:r w:rsidRPr="00F83C64">
              <w:rPr>
                <w:rFonts w:asciiTheme="minorHAnsi" w:hAnsiTheme="minorHAnsi" w:cs="Arial"/>
                <w:color w:val="auto"/>
                <w:sz w:val="20"/>
                <w:szCs w:val="20"/>
                <w:lang w:val="en"/>
              </w:rPr>
              <w:t>funded programme ‘Abuse, neglect</w:t>
            </w:r>
            <w:r w:rsidR="008B22DC" w:rsidRPr="00F83C64">
              <w:rPr>
                <w:rFonts w:asciiTheme="minorHAnsi" w:hAnsiTheme="minorHAnsi" w:cs="Arial"/>
                <w:color w:val="auto"/>
                <w:sz w:val="20"/>
                <w:szCs w:val="20"/>
                <w:lang w:val="en"/>
              </w:rPr>
              <w:t xml:space="preserve"> </w:t>
            </w:r>
            <w:r w:rsidRPr="00F83C64">
              <w:rPr>
                <w:rFonts w:asciiTheme="minorHAnsi" w:hAnsiTheme="minorHAnsi" w:cs="Arial"/>
                <w:color w:val="auto"/>
                <w:sz w:val="20"/>
                <w:szCs w:val="20"/>
                <w:lang w:val="en"/>
              </w:rPr>
              <w:t xml:space="preserve">and violence in childhood and adolescence’ </w:t>
            </w:r>
            <w:r w:rsidR="00F83C64">
              <w:rPr>
                <w:rFonts w:asciiTheme="minorHAnsi" w:hAnsiTheme="minorHAnsi" w:cs="Arial"/>
                <w:color w:val="auto"/>
                <w:sz w:val="20"/>
                <w:szCs w:val="20"/>
                <w:lang w:val="en"/>
              </w:rPr>
              <w:t xml:space="preserve">(Forschungsförderung: </w:t>
            </w:r>
            <w:r w:rsidRPr="00F83C64">
              <w:rPr>
                <w:rFonts w:asciiTheme="minorHAnsi" w:hAnsiTheme="minorHAnsi" w:cs="Arial"/>
                <w:color w:val="auto"/>
                <w:sz w:val="20"/>
                <w:szCs w:val="20"/>
                <w:lang w:val="en"/>
              </w:rPr>
              <w:t>Missbrauch, Vernachlässigung und Gewalt in Kindheit und Jugend), the University of Rostock, in cooperation with the NGO Wildwasser München e.V., developed a training programme aimed at enabling</w:t>
            </w:r>
          </w:p>
          <w:p w:rsidR="004852E8" w:rsidRPr="00F83C64" w:rsidRDefault="004852E8" w:rsidP="00F83C64">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girls with intellectual disabilities to recognise sexual abuse, avoid or leave potentially dangerous situations, and get help.</w:t>
            </w:r>
          </w:p>
        </w:tc>
        <w:tc>
          <w:tcPr>
            <w:tcW w:w="2095" w:type="dxa"/>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Germany, Clinic for Psychiatry,</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Neurology, Psychosomatics and</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Psychotherapy in Children and</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Adolescents, University of</w:t>
            </w:r>
          </w:p>
          <w:p w:rsidR="004852E8" w:rsidRPr="00B44637" w:rsidRDefault="004852E8" w:rsidP="004852E8">
            <w:pPr>
              <w:pStyle w:val="Default"/>
              <w:rPr>
                <w:rFonts w:asciiTheme="minorHAnsi" w:hAnsiTheme="minorHAnsi" w:cs="Arial"/>
                <w:color w:val="auto"/>
                <w:sz w:val="20"/>
                <w:szCs w:val="20"/>
                <w:lang w:val="de-DE"/>
              </w:rPr>
            </w:pPr>
            <w:r w:rsidRPr="00B44637">
              <w:rPr>
                <w:rFonts w:asciiTheme="minorHAnsi" w:hAnsiTheme="minorHAnsi" w:cs="Arial"/>
                <w:color w:val="auto"/>
                <w:sz w:val="20"/>
                <w:szCs w:val="20"/>
                <w:lang w:val="de-DE"/>
              </w:rPr>
              <w:t>Rostock (Klinik für Psychiatrie,</w:t>
            </w:r>
          </w:p>
          <w:p w:rsidR="004852E8" w:rsidRPr="00B44637" w:rsidRDefault="004852E8" w:rsidP="004852E8">
            <w:pPr>
              <w:pStyle w:val="Default"/>
              <w:rPr>
                <w:rFonts w:asciiTheme="minorHAnsi" w:hAnsiTheme="minorHAnsi" w:cs="Arial"/>
                <w:color w:val="auto"/>
                <w:sz w:val="20"/>
                <w:szCs w:val="20"/>
                <w:lang w:val="de-DE"/>
              </w:rPr>
            </w:pPr>
            <w:r w:rsidRPr="00B44637">
              <w:rPr>
                <w:rFonts w:asciiTheme="minorHAnsi" w:hAnsiTheme="minorHAnsi" w:cs="Arial"/>
                <w:color w:val="auto"/>
                <w:sz w:val="20"/>
                <w:szCs w:val="20"/>
                <w:lang w:val="de-DE"/>
              </w:rPr>
              <w:t>Neurologie, Psychosomatik und</w:t>
            </w:r>
          </w:p>
          <w:p w:rsidR="004852E8" w:rsidRPr="00B44637" w:rsidRDefault="004852E8" w:rsidP="004852E8">
            <w:pPr>
              <w:pStyle w:val="Default"/>
              <w:rPr>
                <w:rFonts w:asciiTheme="minorHAnsi" w:hAnsiTheme="minorHAnsi" w:cs="Arial"/>
                <w:color w:val="auto"/>
                <w:sz w:val="20"/>
                <w:szCs w:val="20"/>
                <w:lang w:val="de-DE"/>
              </w:rPr>
            </w:pPr>
            <w:r w:rsidRPr="00B44637">
              <w:rPr>
                <w:rFonts w:asciiTheme="minorHAnsi" w:hAnsiTheme="minorHAnsi" w:cs="Arial"/>
                <w:color w:val="auto"/>
                <w:sz w:val="20"/>
                <w:szCs w:val="20"/>
                <w:lang w:val="de-DE"/>
              </w:rPr>
              <w:t>Psychotherapie im Kindes- und</w:t>
            </w:r>
          </w:p>
          <w:p w:rsidR="004852E8" w:rsidRPr="00B44637" w:rsidRDefault="004852E8" w:rsidP="004852E8">
            <w:pPr>
              <w:pStyle w:val="Default"/>
              <w:rPr>
                <w:rFonts w:asciiTheme="minorHAnsi" w:hAnsiTheme="minorHAnsi" w:cs="Arial"/>
                <w:color w:val="auto"/>
                <w:sz w:val="20"/>
                <w:szCs w:val="20"/>
                <w:lang w:val="de-DE"/>
              </w:rPr>
            </w:pPr>
            <w:r w:rsidRPr="00B44637">
              <w:rPr>
                <w:rFonts w:asciiTheme="minorHAnsi" w:hAnsiTheme="minorHAnsi" w:cs="Arial"/>
                <w:color w:val="auto"/>
                <w:sz w:val="20"/>
                <w:szCs w:val="20"/>
                <w:lang w:val="de-DE"/>
              </w:rPr>
              <w:t>Jugendalter der</w:t>
            </w:r>
          </w:p>
          <w:p w:rsidR="004852E8" w:rsidRPr="00B44637" w:rsidRDefault="004852E8" w:rsidP="004852E8">
            <w:pPr>
              <w:pStyle w:val="Default"/>
              <w:rPr>
                <w:rFonts w:asciiTheme="minorHAnsi" w:hAnsiTheme="minorHAnsi" w:cs="Arial"/>
                <w:color w:val="auto"/>
                <w:sz w:val="20"/>
                <w:szCs w:val="20"/>
                <w:lang w:val="de-DE"/>
              </w:rPr>
            </w:pPr>
            <w:r w:rsidRPr="00B44637">
              <w:rPr>
                <w:rFonts w:asciiTheme="minorHAnsi" w:hAnsiTheme="minorHAnsi" w:cs="Arial"/>
                <w:color w:val="auto"/>
                <w:sz w:val="20"/>
                <w:szCs w:val="20"/>
                <w:lang w:val="de-DE"/>
              </w:rPr>
              <w:t>Universitätsmedizin Rostock),</w:t>
            </w:r>
          </w:p>
          <w:p w:rsidR="004852E8" w:rsidRPr="00B44637" w:rsidRDefault="006648E4" w:rsidP="004852E8">
            <w:pPr>
              <w:pStyle w:val="Default"/>
              <w:rPr>
                <w:rFonts w:asciiTheme="minorHAnsi" w:hAnsiTheme="minorHAnsi" w:cs="Arial"/>
                <w:color w:val="auto"/>
                <w:sz w:val="20"/>
                <w:szCs w:val="20"/>
                <w:lang w:val="de-DE"/>
              </w:rPr>
            </w:pPr>
            <w:hyperlink r:id="rId12" w:history="1">
              <w:r w:rsidR="004852E8" w:rsidRPr="00B44637">
                <w:rPr>
                  <w:rStyle w:val="Hyperlink"/>
                  <w:rFonts w:asciiTheme="minorHAnsi" w:hAnsiTheme="minorHAnsi" w:cs="Arial"/>
                  <w:sz w:val="20"/>
                  <w:szCs w:val="20"/>
                  <w:lang w:val="de-DE"/>
                </w:rPr>
                <w:t>https://emma-unantastbar.med.uni-rostock.de/</w:t>
              </w:r>
            </w:hyperlink>
          </w:p>
          <w:p w:rsidR="004852E8" w:rsidRPr="00B44637" w:rsidRDefault="004852E8" w:rsidP="004852E8">
            <w:pPr>
              <w:pStyle w:val="Default"/>
              <w:rPr>
                <w:rFonts w:asciiTheme="minorHAnsi" w:hAnsiTheme="minorHAnsi" w:cs="Arial"/>
                <w:color w:val="auto"/>
                <w:sz w:val="20"/>
                <w:szCs w:val="20"/>
                <w:lang w:val="de-DE"/>
              </w:rPr>
            </w:pPr>
          </w:p>
        </w:tc>
      </w:tr>
      <w:tr w:rsidR="002C0488" w:rsidRPr="00F83C64" w:rsidTr="002C0488">
        <w:tc>
          <w:tcPr>
            <w:tcW w:w="1375" w:type="dxa"/>
            <w:shd w:val="clear" w:color="auto" w:fill="E7E6E6" w:themeFill="background2"/>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My body is my own (Enyém a testem)</w:t>
            </w:r>
          </w:p>
        </w:tc>
        <w:tc>
          <w:tcPr>
            <w:tcW w:w="3896" w:type="dxa"/>
            <w:shd w:val="clear" w:color="auto" w:fill="E7E6E6" w:themeFill="background2"/>
          </w:tcPr>
          <w:p w:rsidR="004852E8" w:rsidRPr="00F83C64" w:rsidRDefault="004852E8" w:rsidP="008B22DC">
            <w:pPr>
              <w:pStyle w:val="Default"/>
              <w:jc w:val="both"/>
              <w:rPr>
                <w:rFonts w:asciiTheme="minorHAnsi" w:hAnsiTheme="minorHAnsi" w:cs="Arial"/>
                <w:color w:val="auto"/>
                <w:sz w:val="20"/>
                <w:szCs w:val="20"/>
                <w:lang w:val="en"/>
              </w:rPr>
            </w:pPr>
            <w:r w:rsidRPr="00F83C64">
              <w:rPr>
                <w:rFonts w:asciiTheme="minorHAnsi" w:hAnsiTheme="minorHAnsi" w:cs="Arial"/>
                <w:color w:val="auto"/>
                <w:sz w:val="20"/>
                <w:szCs w:val="20"/>
              </w:rPr>
              <w:t>The project, developed by the Hand in Hand Foundation, a Hungar</w:t>
            </w:r>
            <w:r w:rsidRPr="00F83C64">
              <w:rPr>
                <w:rFonts w:asciiTheme="minorHAnsi" w:hAnsiTheme="minorHAnsi" w:cs="Arial"/>
                <w:color w:val="auto"/>
                <w:sz w:val="20"/>
                <w:szCs w:val="20"/>
              </w:rPr>
              <w:softHyphen/>
              <w:t>ian NGO, consists of a sex education and self</w:t>
            </w:r>
            <w:r w:rsidRPr="00F83C64">
              <w:rPr>
                <w:rFonts w:asciiTheme="minorHAnsi" w:hAnsiTheme="minorHAnsi" w:cs="Arial"/>
                <w:color w:val="auto"/>
                <w:sz w:val="20"/>
                <w:szCs w:val="20"/>
              </w:rPr>
              <w:noBreakHyphen/>
              <w:t>defence training pro</w:t>
            </w:r>
            <w:r w:rsidRPr="00F83C64">
              <w:rPr>
                <w:rFonts w:asciiTheme="minorHAnsi" w:hAnsiTheme="minorHAnsi" w:cs="Arial"/>
                <w:color w:val="auto"/>
                <w:sz w:val="20"/>
                <w:szCs w:val="20"/>
              </w:rPr>
              <w:softHyphen/>
              <w:t>gramme for adults and children with intellectual disabilities, aimed at developing their capacity to recognise risky situations. It is ac</w:t>
            </w:r>
            <w:r w:rsidRPr="00F83C64">
              <w:rPr>
                <w:rFonts w:asciiTheme="minorHAnsi" w:hAnsiTheme="minorHAnsi" w:cs="Arial"/>
                <w:color w:val="auto"/>
                <w:sz w:val="20"/>
                <w:szCs w:val="20"/>
              </w:rPr>
              <w:softHyphen/>
              <w:t>credited as a professional development programme and has already trained over 100 adults and children with disabilities.</w:t>
            </w:r>
          </w:p>
        </w:tc>
        <w:tc>
          <w:tcPr>
            <w:tcW w:w="2095" w:type="dxa"/>
            <w:shd w:val="clear" w:color="auto" w:fill="E7E6E6" w:themeFill="background2"/>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 xml:space="preserve">Hungary, Hand in Hand Foundation (Kézenfogva Alapítvány), see: </w:t>
            </w:r>
            <w:hyperlink r:id="rId13" w:history="1">
              <w:r w:rsidRPr="00F83C64">
                <w:rPr>
                  <w:rStyle w:val="Hyperlink"/>
                  <w:rFonts w:asciiTheme="minorHAnsi" w:hAnsiTheme="minorHAnsi" w:cs="Arial"/>
                  <w:sz w:val="20"/>
                  <w:szCs w:val="20"/>
                  <w:lang w:val="en"/>
                </w:rPr>
                <w:t>http://www.kezenfogva.hu/</w:t>
              </w:r>
            </w:hyperlink>
          </w:p>
          <w:p w:rsidR="004852E8" w:rsidRPr="00F83C64" w:rsidRDefault="004852E8" w:rsidP="004852E8">
            <w:pPr>
              <w:pStyle w:val="Default"/>
              <w:rPr>
                <w:rFonts w:asciiTheme="minorHAnsi" w:hAnsiTheme="minorHAnsi" w:cs="Arial"/>
                <w:color w:val="auto"/>
                <w:sz w:val="20"/>
                <w:szCs w:val="20"/>
                <w:lang w:val="en"/>
              </w:rPr>
            </w:pPr>
          </w:p>
        </w:tc>
      </w:tr>
      <w:tr w:rsidR="002C0488" w:rsidRPr="00F83C64" w:rsidTr="002C0488">
        <w:tc>
          <w:tcPr>
            <w:tcW w:w="1375" w:type="dxa"/>
          </w:tcPr>
          <w:p w:rsidR="004852E8" w:rsidRPr="00F83C64" w:rsidRDefault="004852E8" w:rsidP="004852E8">
            <w:pPr>
              <w:pStyle w:val="Default"/>
              <w:rPr>
                <w:rFonts w:asciiTheme="minorHAnsi" w:hAnsiTheme="minorHAnsi" w:cs="Arial"/>
                <w:sz w:val="20"/>
                <w:szCs w:val="20"/>
              </w:rPr>
            </w:pPr>
            <w:r w:rsidRPr="00F83C64">
              <w:rPr>
                <w:rFonts w:asciiTheme="minorHAnsi" w:hAnsiTheme="minorHAnsi" w:cs="Arial"/>
                <w:sz w:val="20"/>
                <w:szCs w:val="20"/>
              </w:rPr>
              <w:t>Stay Safe’ –</w:t>
            </w:r>
          </w:p>
          <w:p w:rsidR="004852E8" w:rsidRPr="00F83C64" w:rsidRDefault="004852E8" w:rsidP="004852E8">
            <w:pPr>
              <w:pStyle w:val="Default"/>
              <w:rPr>
                <w:rFonts w:asciiTheme="minorHAnsi" w:hAnsiTheme="minorHAnsi" w:cs="Arial"/>
                <w:sz w:val="20"/>
                <w:szCs w:val="20"/>
              </w:rPr>
            </w:pPr>
            <w:r w:rsidRPr="00F83C64">
              <w:rPr>
                <w:rFonts w:asciiTheme="minorHAnsi" w:hAnsiTheme="minorHAnsi" w:cs="Arial"/>
                <w:sz w:val="20"/>
                <w:szCs w:val="20"/>
              </w:rPr>
              <w:t>personal</w:t>
            </w:r>
          </w:p>
          <w:p w:rsidR="004852E8" w:rsidRPr="00F83C64" w:rsidRDefault="004852E8" w:rsidP="004852E8">
            <w:pPr>
              <w:pStyle w:val="Default"/>
              <w:rPr>
                <w:rFonts w:asciiTheme="minorHAnsi" w:hAnsiTheme="minorHAnsi" w:cs="Arial"/>
                <w:sz w:val="20"/>
                <w:szCs w:val="20"/>
              </w:rPr>
            </w:pPr>
            <w:r w:rsidRPr="00F83C64">
              <w:rPr>
                <w:rFonts w:asciiTheme="minorHAnsi" w:hAnsiTheme="minorHAnsi" w:cs="Arial"/>
                <w:sz w:val="20"/>
                <w:szCs w:val="20"/>
              </w:rPr>
              <w:t>safety skills</w:t>
            </w:r>
          </w:p>
          <w:p w:rsidR="004852E8" w:rsidRPr="00F83C64" w:rsidRDefault="004852E8" w:rsidP="004852E8">
            <w:pPr>
              <w:pStyle w:val="Default"/>
              <w:rPr>
                <w:rFonts w:asciiTheme="minorHAnsi" w:hAnsiTheme="minorHAnsi" w:cs="Arial"/>
                <w:sz w:val="20"/>
                <w:szCs w:val="20"/>
              </w:rPr>
            </w:pPr>
            <w:r w:rsidRPr="00F83C64">
              <w:rPr>
                <w:rFonts w:asciiTheme="minorHAnsi" w:hAnsiTheme="minorHAnsi" w:cs="Arial"/>
                <w:sz w:val="20"/>
                <w:szCs w:val="20"/>
              </w:rPr>
              <w:t>programme</w:t>
            </w:r>
          </w:p>
        </w:tc>
        <w:tc>
          <w:tcPr>
            <w:tcW w:w="3896" w:type="dxa"/>
          </w:tcPr>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The Stay Safe Programme is a personal safety skills programme for</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primary schools – both mainstream and specialised. Its overall objective</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is to prevent child abuse, bullying and other forms of victimisation.</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The programme teaches children how to recognise an unsafe situation</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and inform adults when one arises. There is a specific programme</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targeted at children with a disability (six</w:t>
            </w:r>
            <w:r w:rsidRPr="00F83C64">
              <w:rPr>
                <w:rFonts w:ascii="Cambria Math" w:hAnsi="Cambria Math" w:cs="Cambria Math"/>
                <w:sz w:val="20"/>
                <w:szCs w:val="20"/>
              </w:rPr>
              <w:t>‑</w:t>
            </w:r>
            <w:r w:rsidRPr="00F83C64">
              <w:rPr>
                <w:rFonts w:asciiTheme="minorHAnsi" w:hAnsiTheme="minorHAnsi" w:cs="Arial"/>
                <w:sz w:val="20"/>
                <w:szCs w:val="20"/>
              </w:rPr>
              <w:t>to-13 year old age group),</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divided in five categories aimed at children with: visual impairments,</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physical disabilities, hearing impairments, intellectual disabilities,</w:t>
            </w:r>
          </w:p>
          <w:p w:rsidR="004852E8" w:rsidRPr="00F83C64" w:rsidRDefault="004852E8" w:rsidP="00F83C64">
            <w:pPr>
              <w:pStyle w:val="Default"/>
              <w:rPr>
                <w:rFonts w:asciiTheme="minorHAnsi" w:hAnsiTheme="minorHAnsi" w:cs="Arial"/>
                <w:sz w:val="20"/>
                <w:szCs w:val="20"/>
              </w:rPr>
            </w:pPr>
            <w:r w:rsidRPr="00F83C64">
              <w:rPr>
                <w:rFonts w:asciiTheme="minorHAnsi" w:hAnsiTheme="minorHAnsi" w:cs="Arial"/>
                <w:sz w:val="20"/>
                <w:szCs w:val="20"/>
              </w:rPr>
              <w:t>and psychosocial disabilities (emotional and behavioural difficulties).</w:t>
            </w:r>
          </w:p>
        </w:tc>
        <w:tc>
          <w:tcPr>
            <w:tcW w:w="2095" w:type="dxa"/>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 xml:space="preserve">Ireland, ‘Stay Safe’ programme, </w:t>
            </w:r>
            <w:hyperlink r:id="rId14" w:history="1">
              <w:r w:rsidRPr="00F83C64">
                <w:rPr>
                  <w:rStyle w:val="Hyperlink"/>
                  <w:rFonts w:asciiTheme="minorHAnsi" w:hAnsiTheme="minorHAnsi" w:cs="Arial"/>
                  <w:sz w:val="20"/>
                  <w:szCs w:val="20"/>
                  <w:lang w:val="en"/>
                </w:rPr>
                <w:t>http://www.staysafe.ie/</w:t>
              </w:r>
            </w:hyperlink>
            <w:r w:rsidRPr="00F83C64">
              <w:rPr>
                <w:rFonts w:asciiTheme="minorHAnsi" w:hAnsiTheme="minorHAnsi" w:cs="Arial"/>
                <w:color w:val="auto"/>
                <w:sz w:val="20"/>
                <w:szCs w:val="20"/>
                <w:lang w:val="en"/>
              </w:rPr>
              <w:t xml:space="preserve"> .</w:t>
            </w:r>
          </w:p>
          <w:p w:rsidR="004852E8" w:rsidRPr="00F83C64" w:rsidRDefault="004852E8" w:rsidP="004852E8">
            <w:pPr>
              <w:pStyle w:val="Default"/>
              <w:rPr>
                <w:rFonts w:asciiTheme="minorHAnsi" w:hAnsiTheme="minorHAnsi" w:cs="Arial"/>
                <w:color w:val="auto"/>
                <w:sz w:val="20"/>
                <w:szCs w:val="20"/>
                <w:lang w:val="en"/>
              </w:rPr>
            </w:pPr>
          </w:p>
        </w:tc>
      </w:tr>
      <w:tr w:rsidR="002C0488" w:rsidRPr="00F83C64" w:rsidTr="002C0488">
        <w:tc>
          <w:tcPr>
            <w:tcW w:w="1375" w:type="dxa"/>
            <w:shd w:val="clear" w:color="auto" w:fill="E7E6E6" w:themeFill="background2"/>
          </w:tcPr>
          <w:tbl>
            <w:tblPr>
              <w:tblW w:w="0" w:type="auto"/>
              <w:tblBorders>
                <w:top w:val="nil"/>
                <w:left w:val="nil"/>
                <w:bottom w:val="nil"/>
                <w:right w:val="nil"/>
              </w:tblBorders>
              <w:tblLook w:val="0000" w:firstRow="0" w:lastRow="0" w:firstColumn="0" w:lastColumn="0" w:noHBand="0" w:noVBand="0"/>
            </w:tblPr>
            <w:tblGrid>
              <w:gridCol w:w="1159"/>
            </w:tblGrid>
            <w:tr w:rsidR="004852E8" w:rsidRPr="00F83C64">
              <w:trPr>
                <w:trHeight w:val="305"/>
              </w:trPr>
              <w:tc>
                <w:tcPr>
                  <w:tcW w:w="0" w:type="auto"/>
                </w:tcPr>
                <w:p w:rsidR="004852E8" w:rsidRPr="00F83C64" w:rsidRDefault="004852E8" w:rsidP="004852E8">
                  <w:pPr>
                    <w:pStyle w:val="Default"/>
                    <w:rPr>
                      <w:rFonts w:asciiTheme="minorHAnsi" w:hAnsiTheme="minorHAnsi" w:cs="Arial"/>
                      <w:sz w:val="20"/>
                      <w:szCs w:val="20"/>
                    </w:rPr>
                  </w:pPr>
                  <w:r w:rsidRPr="00F83C64">
                    <w:rPr>
                      <w:rFonts w:asciiTheme="minorHAnsi" w:hAnsiTheme="minorHAnsi" w:cs="Arial"/>
                      <w:b/>
                      <w:bCs/>
                      <w:sz w:val="20"/>
                      <w:szCs w:val="20"/>
                    </w:rPr>
                    <w:t>Friendly School (</w:t>
                  </w:r>
                  <w:r w:rsidRPr="00F83C64">
                    <w:rPr>
                      <w:rFonts w:asciiTheme="minorHAnsi" w:hAnsiTheme="minorHAnsi" w:cs="Arial"/>
                      <w:i/>
                      <w:iCs/>
                      <w:sz w:val="20"/>
                      <w:szCs w:val="20"/>
                    </w:rPr>
                    <w:t>Draudzīga skola</w:t>
                  </w:r>
                  <w:r w:rsidRPr="00F83C64">
                    <w:rPr>
                      <w:rFonts w:asciiTheme="minorHAnsi" w:hAnsiTheme="minorHAnsi" w:cs="Arial"/>
                      <w:b/>
                      <w:bCs/>
                      <w:sz w:val="20"/>
                      <w:szCs w:val="20"/>
                    </w:rPr>
                    <w:t>) and Friendly House (</w:t>
                  </w:r>
                  <w:r w:rsidRPr="00F83C64">
                    <w:rPr>
                      <w:rFonts w:asciiTheme="minorHAnsi" w:hAnsiTheme="minorHAnsi" w:cs="Arial"/>
                      <w:i/>
                      <w:iCs/>
                      <w:sz w:val="20"/>
                      <w:szCs w:val="20"/>
                    </w:rPr>
                    <w:t>Draudzīga māja</w:t>
                  </w:r>
                  <w:r w:rsidRPr="00F83C64">
                    <w:rPr>
                      <w:rFonts w:asciiTheme="minorHAnsi" w:hAnsiTheme="minorHAnsi" w:cs="Arial"/>
                      <w:b/>
                      <w:bCs/>
                      <w:sz w:val="20"/>
                      <w:szCs w:val="20"/>
                    </w:rPr>
                    <w:t xml:space="preserve">). </w:t>
                  </w:r>
                </w:p>
              </w:tc>
            </w:tr>
          </w:tbl>
          <w:p w:rsidR="004852E8" w:rsidRPr="00F83C64" w:rsidRDefault="004852E8" w:rsidP="004852E8">
            <w:pPr>
              <w:pStyle w:val="Default"/>
              <w:rPr>
                <w:rFonts w:asciiTheme="minorHAnsi" w:hAnsiTheme="minorHAnsi" w:cs="Arial"/>
                <w:color w:val="auto"/>
                <w:sz w:val="20"/>
                <w:szCs w:val="20"/>
                <w:lang w:val="en"/>
              </w:rPr>
            </w:pPr>
          </w:p>
        </w:tc>
        <w:tc>
          <w:tcPr>
            <w:tcW w:w="3896" w:type="dxa"/>
            <w:shd w:val="clear" w:color="auto" w:fill="E7E6E6" w:themeFill="background2"/>
          </w:tcPr>
          <w:p w:rsidR="004852E8" w:rsidRPr="00F83C64" w:rsidRDefault="004852E8" w:rsidP="00F83C64">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In 2010, the State Inspectorate for Protection of Children’s Rights started two initiatives with the involvement of NGOs</w:t>
            </w:r>
          </w:p>
          <w:p w:rsidR="004852E8" w:rsidRPr="00F83C64" w:rsidRDefault="004852E8" w:rsidP="00F83C64">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(Friendly School and Friendly House). Both initiatives aimed to improve relations between pupils and teachers and children placed in institutional care and their educators, and to reduce physical and emotional violence and promote tolerance. Both initiatives were a follow</w:t>
            </w:r>
            <w:r w:rsidRPr="00F83C64">
              <w:rPr>
                <w:rFonts w:ascii="Cambria Math" w:hAnsi="Cambria Math" w:cs="Cambria Math"/>
                <w:color w:val="auto"/>
                <w:sz w:val="20"/>
                <w:szCs w:val="20"/>
                <w:lang w:val="en"/>
              </w:rPr>
              <w:t>‑</w:t>
            </w:r>
            <w:r w:rsidRPr="00F83C64">
              <w:rPr>
                <w:rFonts w:asciiTheme="minorHAnsi" w:hAnsiTheme="minorHAnsi" w:cs="Arial"/>
                <w:color w:val="auto"/>
                <w:sz w:val="20"/>
                <w:szCs w:val="20"/>
                <w:lang w:val="en"/>
              </w:rPr>
              <w:t>up to  the project “Family Friendly School”, launched by the Ministry for Children and Family Affairs of the Republic of Latvia in 2005.</w:t>
            </w:r>
          </w:p>
        </w:tc>
        <w:tc>
          <w:tcPr>
            <w:tcW w:w="2095" w:type="dxa"/>
            <w:shd w:val="clear" w:color="auto" w:fill="E7E6E6" w:themeFill="background2"/>
          </w:tcPr>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Latvia, The State</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Inspectorate for Protection</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of Children’s Rights (Valsts</w:t>
            </w:r>
          </w:p>
          <w:p w:rsidR="004852E8" w:rsidRPr="00F83C64" w:rsidRDefault="004852E8"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bērnu tiesību aizsradzības</w:t>
            </w:r>
          </w:p>
          <w:p w:rsidR="004852E8" w:rsidRPr="00F83C64" w:rsidRDefault="008B22DC" w:rsidP="004852E8">
            <w:pPr>
              <w:pStyle w:val="Default"/>
              <w:rPr>
                <w:rFonts w:asciiTheme="minorHAnsi" w:hAnsiTheme="minorHAnsi" w:cs="Arial"/>
                <w:color w:val="auto"/>
                <w:sz w:val="20"/>
                <w:szCs w:val="20"/>
                <w:lang w:val="en"/>
              </w:rPr>
            </w:pPr>
            <w:r w:rsidRPr="00F83C64">
              <w:rPr>
                <w:rFonts w:asciiTheme="minorHAnsi" w:hAnsiTheme="minorHAnsi" w:cs="Arial"/>
                <w:color w:val="auto"/>
                <w:sz w:val="20"/>
                <w:szCs w:val="20"/>
                <w:lang w:val="en"/>
              </w:rPr>
              <w:t xml:space="preserve">inspekcija), </w:t>
            </w:r>
            <w:hyperlink r:id="rId15" w:history="1">
              <w:r w:rsidRPr="00F83C64">
                <w:rPr>
                  <w:rStyle w:val="Hyperlink"/>
                  <w:rFonts w:asciiTheme="minorHAnsi" w:hAnsiTheme="minorHAnsi" w:cs="Arial"/>
                  <w:sz w:val="20"/>
                  <w:szCs w:val="20"/>
                  <w:lang w:val="en"/>
                </w:rPr>
                <w:t>http://www.bti.gov.lv/lat/draudziga_skola/</w:t>
              </w:r>
            </w:hyperlink>
          </w:p>
          <w:p w:rsidR="008B22DC" w:rsidRPr="00F83C64" w:rsidRDefault="008B22DC" w:rsidP="004852E8">
            <w:pPr>
              <w:pStyle w:val="Default"/>
              <w:rPr>
                <w:rFonts w:asciiTheme="minorHAnsi" w:hAnsiTheme="minorHAnsi" w:cs="Arial"/>
                <w:color w:val="auto"/>
                <w:sz w:val="20"/>
                <w:szCs w:val="20"/>
                <w:lang w:val="en"/>
              </w:rPr>
            </w:pPr>
          </w:p>
          <w:p w:rsidR="004852E8" w:rsidRPr="00F83C64" w:rsidRDefault="004852E8" w:rsidP="004852E8">
            <w:pPr>
              <w:pStyle w:val="Default"/>
              <w:rPr>
                <w:rFonts w:asciiTheme="minorHAnsi" w:hAnsiTheme="minorHAnsi" w:cs="Arial"/>
                <w:color w:val="auto"/>
                <w:sz w:val="20"/>
                <w:szCs w:val="20"/>
                <w:lang w:val="en"/>
              </w:rPr>
            </w:pPr>
          </w:p>
        </w:tc>
      </w:tr>
    </w:tbl>
    <w:p w:rsidR="006E19F7" w:rsidRPr="006E19F7" w:rsidRDefault="006E19F7" w:rsidP="00C662A0">
      <w:pPr>
        <w:rPr>
          <w:lang w:val="en"/>
        </w:rPr>
      </w:pPr>
    </w:p>
    <w:p w:rsidR="00781889" w:rsidRPr="00F83C64" w:rsidRDefault="00781889" w:rsidP="00D47093">
      <w:pPr>
        <w:widowControl w:val="0"/>
        <w:pBdr>
          <w:top w:val="nil"/>
          <w:left w:val="nil"/>
          <w:bottom w:val="nil"/>
          <w:right w:val="nil"/>
          <w:between w:val="nil"/>
        </w:pBdr>
        <w:spacing w:after="100"/>
        <w:jc w:val="both"/>
        <w:rPr>
          <w:rFonts w:eastAsia="Helvetica" w:cs="Helvetica"/>
          <w:b/>
          <w:color w:val="000000"/>
        </w:rPr>
      </w:pPr>
      <w:r w:rsidRPr="00F83C64">
        <w:rPr>
          <w:rFonts w:eastAsia="Helvetica" w:cs="Helvetica"/>
          <w:b/>
          <w:color w:val="000000"/>
        </w:rPr>
        <w:lastRenderedPageBreak/>
        <w:t>2) Please identify laws, policies and good practices aimed at the inclusion and empowerment of children with disabilities, including through:</w:t>
      </w:r>
    </w:p>
    <w:p w:rsidR="00C662A0" w:rsidRPr="00F83C64" w:rsidRDefault="00781889" w:rsidP="00D47093">
      <w:pPr>
        <w:widowControl w:val="0"/>
        <w:pBdr>
          <w:top w:val="nil"/>
          <w:left w:val="nil"/>
          <w:bottom w:val="nil"/>
          <w:right w:val="nil"/>
          <w:between w:val="nil"/>
        </w:pBdr>
        <w:spacing w:after="100"/>
        <w:jc w:val="both"/>
        <w:rPr>
          <w:rFonts w:eastAsia="Helvetica" w:cs="Helvetica"/>
          <w:b/>
          <w:color w:val="000000"/>
        </w:rPr>
      </w:pPr>
      <w:r w:rsidRPr="00F83C64">
        <w:rPr>
          <w:rFonts w:eastAsia="Helvetica" w:cs="Helvetica"/>
          <w:b/>
          <w:color w:val="000000"/>
        </w:rPr>
        <w:t>a. Awareness-raising and capacity building on the human rights of children with disabilities, both broadly to the general population and their families, and to children with disabilities themselves.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58"/>
        <w:gridCol w:w="3023"/>
      </w:tblGrid>
      <w:tr w:rsidR="008B22DC" w:rsidRPr="00F83C64" w:rsidTr="00881E8A">
        <w:trPr>
          <w:trHeight w:val="252"/>
        </w:trPr>
        <w:tc>
          <w:tcPr>
            <w:tcW w:w="2088" w:type="dxa"/>
            <w:shd w:val="clear" w:color="auto" w:fill="E7E6E6" w:themeFill="background2"/>
          </w:tcPr>
          <w:p w:rsidR="008B22DC" w:rsidRPr="00F83C64" w:rsidRDefault="008B22DC" w:rsidP="008B22DC">
            <w:pPr>
              <w:rPr>
                <w:rFonts w:cs="Arial"/>
                <w:sz w:val="20"/>
                <w:szCs w:val="20"/>
              </w:rPr>
            </w:pPr>
            <w:r w:rsidRPr="00F83C64">
              <w:rPr>
                <w:rFonts w:cs="Arial"/>
                <w:b/>
                <w:bCs/>
                <w:sz w:val="20"/>
                <w:szCs w:val="20"/>
              </w:rPr>
              <w:t>Name</w:t>
            </w:r>
          </w:p>
        </w:tc>
        <w:tc>
          <w:tcPr>
            <w:tcW w:w="3958" w:type="dxa"/>
            <w:shd w:val="clear" w:color="auto" w:fill="E7E6E6" w:themeFill="background2"/>
          </w:tcPr>
          <w:p w:rsidR="008B22DC" w:rsidRPr="00F83C64" w:rsidRDefault="008B22DC" w:rsidP="008B22DC">
            <w:pPr>
              <w:rPr>
                <w:rFonts w:cs="Arial"/>
                <w:sz w:val="20"/>
                <w:szCs w:val="20"/>
              </w:rPr>
            </w:pPr>
            <w:r w:rsidRPr="00F83C64">
              <w:rPr>
                <w:rFonts w:cs="Arial"/>
                <w:b/>
                <w:bCs/>
                <w:sz w:val="20"/>
                <w:szCs w:val="20"/>
              </w:rPr>
              <w:t>Description</w:t>
            </w:r>
            <w:r w:rsidRPr="00F83C64">
              <w:rPr>
                <w:rFonts w:cs="Arial"/>
                <w:sz w:val="20"/>
                <w:szCs w:val="20"/>
              </w:rPr>
              <w:t xml:space="preserve"> </w:t>
            </w:r>
          </w:p>
        </w:tc>
        <w:tc>
          <w:tcPr>
            <w:tcW w:w="3023" w:type="dxa"/>
            <w:shd w:val="clear" w:color="auto" w:fill="E7E6E6" w:themeFill="background2"/>
          </w:tcPr>
          <w:p w:rsidR="008B22DC" w:rsidRPr="00F83C64" w:rsidRDefault="008B22DC" w:rsidP="008B22DC">
            <w:pPr>
              <w:rPr>
                <w:rFonts w:cs="Arial"/>
                <w:b/>
                <w:sz w:val="20"/>
                <w:szCs w:val="20"/>
              </w:rPr>
            </w:pPr>
            <w:r w:rsidRPr="00F83C64">
              <w:rPr>
                <w:rFonts w:cs="Arial"/>
                <w:b/>
                <w:bCs/>
                <w:sz w:val="20"/>
                <w:szCs w:val="20"/>
              </w:rPr>
              <w:t>Reference</w:t>
            </w:r>
            <w:r w:rsidRPr="00F83C64">
              <w:rPr>
                <w:rFonts w:cs="Arial"/>
                <w:b/>
                <w:sz w:val="20"/>
                <w:szCs w:val="20"/>
              </w:rPr>
              <w:t xml:space="preserve"> and link</w:t>
            </w:r>
            <w:r w:rsidRPr="00F83C64">
              <w:rPr>
                <w:rFonts w:cs="Arial"/>
                <w:b/>
                <w:i/>
                <w:iCs/>
                <w:sz w:val="20"/>
                <w:szCs w:val="20"/>
              </w:rPr>
              <w:t xml:space="preserve"> </w:t>
            </w:r>
          </w:p>
        </w:tc>
      </w:tr>
      <w:tr w:rsidR="00781889" w:rsidRPr="00F83C64" w:rsidTr="00881E8A">
        <w:trPr>
          <w:trHeight w:val="252"/>
        </w:trPr>
        <w:tc>
          <w:tcPr>
            <w:tcW w:w="208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070"/>
            </w:tblGrid>
            <w:tr w:rsidR="00781889" w:rsidRPr="00F83C64">
              <w:trPr>
                <w:trHeight w:val="208"/>
              </w:trPr>
              <w:tc>
                <w:tcPr>
                  <w:tcW w:w="9070" w:type="dxa"/>
                </w:tcPr>
                <w:p w:rsidR="00881E8A" w:rsidRPr="00F83C64" w:rsidRDefault="00881E8A" w:rsidP="00881E8A">
                  <w:pPr>
                    <w:spacing w:line="276" w:lineRule="auto"/>
                    <w:rPr>
                      <w:rFonts w:cs="Arial"/>
                      <w:bCs/>
                      <w:sz w:val="20"/>
                      <w:szCs w:val="20"/>
                    </w:rPr>
                  </w:pPr>
                  <w:r w:rsidRPr="00F83C64">
                    <w:rPr>
                      <w:rFonts w:cs="Arial"/>
                      <w:bCs/>
                      <w:sz w:val="20"/>
                      <w:szCs w:val="20"/>
                    </w:rPr>
                    <w:t xml:space="preserve">#be the change! </w:t>
                  </w:r>
                </w:p>
                <w:p w:rsidR="00881E8A" w:rsidRPr="00F83C64" w:rsidRDefault="00881E8A" w:rsidP="00881E8A">
                  <w:pPr>
                    <w:spacing w:line="276" w:lineRule="auto"/>
                    <w:rPr>
                      <w:rFonts w:cs="Arial"/>
                      <w:bCs/>
                      <w:sz w:val="20"/>
                      <w:szCs w:val="20"/>
                    </w:rPr>
                  </w:pPr>
                  <w:r w:rsidRPr="00F83C64">
                    <w:rPr>
                      <w:rFonts w:cs="Arial"/>
                      <w:bCs/>
                      <w:sz w:val="20"/>
                      <w:szCs w:val="20"/>
                    </w:rPr>
                    <w:t>–campaign to</w:t>
                  </w:r>
                </w:p>
                <w:p w:rsidR="00781889" w:rsidRPr="00F83C64" w:rsidRDefault="00881E8A" w:rsidP="00881E8A">
                  <w:pPr>
                    <w:spacing w:line="276" w:lineRule="auto"/>
                    <w:rPr>
                      <w:rFonts w:cs="Arial"/>
                      <w:bCs/>
                      <w:sz w:val="20"/>
                      <w:szCs w:val="20"/>
                    </w:rPr>
                  </w:pPr>
                  <w:r w:rsidRPr="00F83C64">
                    <w:rPr>
                      <w:rFonts w:cs="Arial"/>
                      <w:bCs/>
                      <w:sz w:val="20"/>
                      <w:szCs w:val="20"/>
                    </w:rPr>
                    <w:t>end abusive language</w:t>
                  </w:r>
                </w:p>
              </w:tc>
            </w:tr>
          </w:tbl>
          <w:p w:rsidR="00781889" w:rsidRPr="00F83C64" w:rsidRDefault="00781889" w:rsidP="008B22DC">
            <w:pPr>
              <w:rPr>
                <w:rFonts w:cs="Arial"/>
                <w:b/>
                <w:bCs/>
                <w:sz w:val="20"/>
                <w:szCs w:val="20"/>
              </w:rPr>
            </w:pPr>
          </w:p>
        </w:tc>
        <w:tc>
          <w:tcPr>
            <w:tcW w:w="3958" w:type="dxa"/>
            <w:shd w:val="clear" w:color="auto" w:fill="auto"/>
          </w:tcPr>
          <w:p w:rsidR="00781889" w:rsidRPr="00F83C64" w:rsidRDefault="00881E8A" w:rsidP="00881E8A">
            <w:pPr>
              <w:pStyle w:val="Pa10"/>
              <w:rPr>
                <w:rFonts w:asciiTheme="minorHAnsi" w:eastAsiaTheme="minorHAnsi" w:cs="Arial"/>
                <w:bCs/>
                <w:sz w:val="20"/>
                <w:szCs w:val="20"/>
              </w:rPr>
            </w:pPr>
            <w:r w:rsidRPr="00F83C64">
              <w:rPr>
                <w:rStyle w:val="A20"/>
                <w:rFonts w:asciiTheme="minorHAnsi"/>
                <w:sz w:val="20"/>
                <w:szCs w:val="20"/>
              </w:rPr>
              <w:t>‘</w:t>
            </w:r>
            <w:r w:rsidRPr="00F83C64">
              <w:rPr>
                <w:rFonts w:asciiTheme="minorHAnsi" w:eastAsiaTheme="minorHAnsi" w:cs="Arial"/>
                <w:bCs/>
                <w:sz w:val="20"/>
                <w:szCs w:val="20"/>
              </w:rPr>
              <w:t xml:space="preserve">Enable Scotlandʼ runs a campaign challenging negative attitudes and tackling offensive language about people with intellectual disabilities (learning disabilities). The campaign has two main elements – a school resource for teachers of 11–14 year old pupils across Scotland, which will raise awareness of intellectual disability, taking an early intervention approach to promoting positive attitudes; and a public awareness campaign that will tackle the use of abusive language. As part of the public campaign, adverts have been placed on various websites and in public spaces (metro, trains and buses). </w:t>
            </w:r>
          </w:p>
        </w:tc>
        <w:tc>
          <w:tcPr>
            <w:tcW w:w="3023" w:type="dxa"/>
            <w:shd w:val="clear" w:color="auto" w:fill="auto"/>
          </w:tcPr>
          <w:p w:rsidR="00881E8A" w:rsidRPr="00F83C64" w:rsidRDefault="00881E8A" w:rsidP="00881E8A">
            <w:pPr>
              <w:pStyle w:val="Pa31"/>
              <w:rPr>
                <w:rFonts w:asciiTheme="minorHAnsi" w:eastAsiaTheme="minorHAnsi" w:cs="Arial"/>
                <w:bCs/>
                <w:sz w:val="20"/>
                <w:szCs w:val="20"/>
              </w:rPr>
            </w:pPr>
            <w:r w:rsidRPr="00F83C64">
              <w:rPr>
                <w:rFonts w:asciiTheme="minorHAnsi" w:eastAsiaTheme="minorHAnsi" w:cs="Arial"/>
                <w:bCs/>
                <w:sz w:val="20"/>
                <w:szCs w:val="20"/>
              </w:rPr>
              <w:t xml:space="preserve">Scotland, ENABLE, Campaign #be the change, see: </w:t>
            </w:r>
          </w:p>
          <w:p w:rsidR="00781889" w:rsidRPr="00F83C64" w:rsidRDefault="006648E4" w:rsidP="00781889">
            <w:pPr>
              <w:rPr>
                <w:rFonts w:cs="Arial"/>
                <w:bCs/>
                <w:sz w:val="20"/>
                <w:szCs w:val="20"/>
              </w:rPr>
            </w:pPr>
            <w:hyperlink r:id="rId16" w:history="1">
              <w:r w:rsidR="00881E8A" w:rsidRPr="00F83C64">
                <w:rPr>
                  <w:rStyle w:val="Hyperlink"/>
                  <w:rFonts w:cs="Arial"/>
                  <w:bCs/>
                  <w:sz w:val="20"/>
                  <w:szCs w:val="20"/>
                </w:rPr>
                <w:t>https://www.enable.org.uk/</w:t>
              </w:r>
            </w:hyperlink>
          </w:p>
          <w:p w:rsidR="00881E8A" w:rsidRPr="00F83C64" w:rsidRDefault="00881E8A" w:rsidP="00781889">
            <w:pPr>
              <w:rPr>
                <w:rFonts w:cs="Arial"/>
                <w:bCs/>
                <w:sz w:val="20"/>
                <w:szCs w:val="20"/>
              </w:rPr>
            </w:pPr>
          </w:p>
        </w:tc>
      </w:tr>
      <w:tr w:rsidR="00781889" w:rsidRPr="00F83C64" w:rsidTr="00881E8A">
        <w:trPr>
          <w:trHeight w:val="252"/>
        </w:trPr>
        <w:tc>
          <w:tcPr>
            <w:tcW w:w="2088" w:type="dxa"/>
            <w:shd w:val="clear" w:color="auto" w:fill="E7E6E6" w:themeFill="background2"/>
          </w:tcPr>
          <w:p w:rsidR="00781889" w:rsidRPr="00F83C64" w:rsidRDefault="00881E8A" w:rsidP="00881E8A">
            <w:pPr>
              <w:pStyle w:val="Pa31"/>
              <w:rPr>
                <w:rFonts w:asciiTheme="minorHAnsi" w:eastAsiaTheme="minorHAnsi" w:cs="Arial"/>
                <w:sz w:val="20"/>
                <w:szCs w:val="20"/>
              </w:rPr>
            </w:pPr>
            <w:r w:rsidRPr="00F83C64">
              <w:rPr>
                <w:rFonts w:asciiTheme="minorHAnsi" w:eastAsiaTheme="minorHAnsi" w:cs="Arial"/>
                <w:sz w:val="20"/>
                <w:szCs w:val="20"/>
              </w:rPr>
              <w:t xml:space="preserve">Tackling stereotypes and prejudice against people with disabilities in schools </w:t>
            </w:r>
          </w:p>
        </w:tc>
        <w:tc>
          <w:tcPr>
            <w:tcW w:w="3958" w:type="dxa"/>
            <w:shd w:val="clear" w:color="auto" w:fill="E7E6E6" w:themeFill="background2"/>
          </w:tcPr>
          <w:p w:rsidR="00881E8A" w:rsidRPr="00F83C64" w:rsidRDefault="00881E8A" w:rsidP="00881E8A">
            <w:pPr>
              <w:pStyle w:val="Pa12"/>
              <w:spacing w:after="100"/>
              <w:rPr>
                <w:rFonts w:asciiTheme="minorHAnsi" w:hAnsiTheme="minorHAnsi" w:cs="Arial"/>
                <w:sz w:val="20"/>
                <w:szCs w:val="20"/>
              </w:rPr>
            </w:pPr>
            <w:r w:rsidRPr="00F83C64">
              <w:rPr>
                <w:rFonts w:asciiTheme="minorHAnsi" w:hAnsiTheme="minorHAnsi" w:cs="Arial"/>
                <w:sz w:val="20"/>
                <w:szCs w:val="20"/>
              </w:rPr>
              <w:t>The Slovenian DPO ‘Association for the Theory and Culture of Handicap’ carried out an awareness</w:t>
            </w:r>
            <w:r w:rsidRPr="00F83C64">
              <w:rPr>
                <w:rFonts w:asciiTheme="minorHAnsi" w:hAnsiTheme="minorHAnsi" w:cs="Arial"/>
                <w:sz w:val="20"/>
                <w:szCs w:val="20"/>
              </w:rPr>
              <w:noBreakHyphen/>
              <w:t xml:space="preserve">raising campaign in schools and kindergartens, promoting diversity and mutual respect from early age and countering stereotypes and prejudice against people with disabilities. </w:t>
            </w:r>
          </w:p>
          <w:p w:rsidR="00781889" w:rsidRPr="00F83C64" w:rsidRDefault="00881E8A" w:rsidP="00881E8A">
            <w:pPr>
              <w:rPr>
                <w:rFonts w:cs="Arial"/>
                <w:sz w:val="20"/>
                <w:szCs w:val="20"/>
              </w:rPr>
            </w:pPr>
            <w:r w:rsidRPr="00F83C64">
              <w:rPr>
                <w:rFonts w:cs="Arial"/>
                <w:sz w:val="20"/>
                <w:szCs w:val="20"/>
              </w:rPr>
              <w:t xml:space="preserve">Trainers with disabilities carried out workshops, drawing on their personal experiences with discrimination, stereotypes and prejudice. In their evaluations, teachers indicated that, for many of the children, this was their first contact with a person with disability and noted that such activities foster understanding of disability. </w:t>
            </w:r>
          </w:p>
        </w:tc>
        <w:tc>
          <w:tcPr>
            <w:tcW w:w="3023" w:type="dxa"/>
            <w:shd w:val="clear" w:color="auto" w:fill="E7E6E6" w:themeFill="background2"/>
          </w:tcPr>
          <w:p w:rsidR="00881E8A" w:rsidRPr="00F83C64" w:rsidRDefault="00881E8A" w:rsidP="00881E8A">
            <w:pPr>
              <w:pStyle w:val="Pa31"/>
              <w:rPr>
                <w:rFonts w:asciiTheme="minorHAnsi" w:eastAsiaTheme="minorHAnsi" w:cs="Arial"/>
                <w:sz w:val="20"/>
                <w:szCs w:val="20"/>
              </w:rPr>
            </w:pPr>
            <w:r w:rsidRPr="00F83C64">
              <w:rPr>
                <w:rFonts w:asciiTheme="minorHAnsi" w:eastAsiaTheme="minorHAnsi" w:cs="Arial"/>
                <w:sz w:val="20"/>
                <w:szCs w:val="20"/>
              </w:rPr>
              <w:t xml:space="preserve">Slovenia, Association for the Theory and Culture of Handicap (Društvo za teroijo in kulturo hendikepa), campaign ‘Botonček’ (Bontonček), see: </w:t>
            </w:r>
          </w:p>
          <w:p w:rsidR="00881E8A" w:rsidRPr="00F83C64" w:rsidRDefault="006648E4" w:rsidP="008B22DC">
            <w:pPr>
              <w:rPr>
                <w:rFonts w:cs="Arial"/>
                <w:sz w:val="20"/>
                <w:szCs w:val="20"/>
              </w:rPr>
            </w:pPr>
            <w:hyperlink r:id="rId17" w:history="1">
              <w:r w:rsidR="00881E8A" w:rsidRPr="00F83C64">
                <w:rPr>
                  <w:rStyle w:val="Hyperlink"/>
                  <w:rFonts w:cs="Arial"/>
                  <w:sz w:val="20"/>
                  <w:szCs w:val="20"/>
                </w:rPr>
                <w:t>http://www.yhd-drustvo.si/bontoncek-166.html</w:t>
              </w:r>
            </w:hyperlink>
          </w:p>
          <w:p w:rsidR="00881E8A" w:rsidRPr="00F83C64" w:rsidRDefault="00881E8A" w:rsidP="008B22DC">
            <w:pPr>
              <w:rPr>
                <w:rFonts w:cs="Arial"/>
                <w:sz w:val="20"/>
                <w:szCs w:val="20"/>
              </w:rPr>
            </w:pPr>
          </w:p>
          <w:p w:rsidR="00881E8A" w:rsidRPr="00F83C64" w:rsidRDefault="00881E8A" w:rsidP="008B22DC">
            <w:pPr>
              <w:rPr>
                <w:rFonts w:cs="Arial"/>
                <w:sz w:val="20"/>
                <w:szCs w:val="20"/>
              </w:rPr>
            </w:pPr>
          </w:p>
        </w:tc>
      </w:tr>
      <w:tr w:rsidR="00781889" w:rsidRPr="00F83C64" w:rsidTr="00881E8A">
        <w:trPr>
          <w:trHeight w:val="252"/>
        </w:trPr>
        <w:tc>
          <w:tcPr>
            <w:tcW w:w="2088" w:type="dxa"/>
            <w:shd w:val="clear" w:color="auto" w:fill="auto"/>
          </w:tcPr>
          <w:p w:rsidR="00881E8A" w:rsidRPr="00F83C64" w:rsidRDefault="00881E8A" w:rsidP="00881E8A">
            <w:pPr>
              <w:pStyle w:val="Pa31"/>
              <w:rPr>
                <w:rFonts w:asciiTheme="minorHAnsi" w:eastAsiaTheme="minorHAnsi" w:cs="Arial"/>
                <w:sz w:val="20"/>
                <w:szCs w:val="20"/>
              </w:rPr>
            </w:pPr>
            <w:r w:rsidRPr="00F83C64">
              <w:rPr>
                <w:rFonts w:asciiTheme="minorHAnsi" w:eastAsiaTheme="minorHAnsi" w:cs="Arial"/>
                <w:sz w:val="20"/>
                <w:szCs w:val="20"/>
              </w:rPr>
              <w:t>Disability matters. E</w:t>
            </w:r>
            <w:r w:rsidRPr="00F83C64">
              <w:rPr>
                <w:rFonts w:asciiTheme="minorHAnsi" w:eastAsiaTheme="minorHAnsi" w:cs="Arial"/>
                <w:sz w:val="20"/>
                <w:szCs w:val="20"/>
              </w:rPr>
              <w:noBreakHyphen/>
              <w:t xml:space="preserve">learning to inform and inspire </w:t>
            </w:r>
          </w:p>
          <w:p w:rsidR="00781889" w:rsidRPr="00F83C64" w:rsidRDefault="00781889" w:rsidP="008B22DC">
            <w:pPr>
              <w:rPr>
                <w:rFonts w:cs="Arial"/>
                <w:sz w:val="20"/>
                <w:szCs w:val="20"/>
              </w:rPr>
            </w:pPr>
          </w:p>
        </w:tc>
        <w:tc>
          <w:tcPr>
            <w:tcW w:w="3958" w:type="dxa"/>
            <w:shd w:val="clear" w:color="auto" w:fill="auto"/>
          </w:tcPr>
          <w:p w:rsidR="00781889" w:rsidRPr="00F83C64" w:rsidRDefault="00881E8A" w:rsidP="00881E8A">
            <w:pPr>
              <w:pStyle w:val="Pa10"/>
              <w:rPr>
                <w:rFonts w:asciiTheme="minorHAnsi" w:eastAsiaTheme="minorHAnsi" w:cs="Arial"/>
                <w:sz w:val="20"/>
                <w:szCs w:val="20"/>
              </w:rPr>
            </w:pPr>
            <w:r w:rsidRPr="00F83C64">
              <w:rPr>
                <w:rFonts w:asciiTheme="minorHAnsi" w:eastAsiaTheme="minorHAnsi" w:cs="Arial"/>
                <w:sz w:val="20"/>
                <w:szCs w:val="20"/>
              </w:rPr>
              <w:t>A free e</w:t>
            </w:r>
            <w:r w:rsidRPr="00F83C64">
              <w:rPr>
                <w:rFonts w:asciiTheme="minorHAnsi" w:eastAsiaTheme="minorHAnsi" w:cs="Arial"/>
                <w:sz w:val="20"/>
                <w:szCs w:val="20"/>
              </w:rPr>
              <w:noBreakHyphen/>
              <w:t>learning resource for UK professionals. The programme is de</w:t>
            </w:r>
            <w:r w:rsidRPr="00F83C64">
              <w:rPr>
                <w:rFonts w:asciiTheme="minorHAnsi" w:eastAsiaTheme="minorHAnsi" w:cs="Arial"/>
                <w:sz w:val="20"/>
                <w:szCs w:val="20"/>
              </w:rPr>
              <w:softHyphen/>
              <w:t>signed to support organisations, their workers and volunteers across all sectors in developing the communication and problem</w:t>
            </w:r>
            <w:r w:rsidRPr="00F83C64">
              <w:rPr>
                <w:rFonts w:asciiTheme="minorHAnsi" w:eastAsiaTheme="minorHAnsi" w:cs="Arial"/>
                <w:sz w:val="20"/>
                <w:szCs w:val="20"/>
              </w:rPr>
              <w:noBreakHyphen/>
              <w:t xml:space="preserve">solving skills required to engage confidently with disabled children and young people. </w:t>
            </w:r>
          </w:p>
        </w:tc>
        <w:tc>
          <w:tcPr>
            <w:tcW w:w="3023" w:type="dxa"/>
            <w:shd w:val="clear" w:color="auto" w:fill="auto"/>
          </w:tcPr>
          <w:p w:rsidR="00881E8A" w:rsidRPr="00F83C64" w:rsidRDefault="00881E8A" w:rsidP="00881E8A">
            <w:pPr>
              <w:pStyle w:val="Pa31"/>
              <w:rPr>
                <w:rFonts w:asciiTheme="minorHAnsi" w:eastAsiaTheme="minorHAnsi" w:cs="Arial"/>
                <w:sz w:val="20"/>
                <w:szCs w:val="20"/>
              </w:rPr>
            </w:pPr>
            <w:r w:rsidRPr="00F83C64">
              <w:rPr>
                <w:rFonts w:asciiTheme="minorHAnsi" w:eastAsiaTheme="minorHAnsi" w:cs="Arial"/>
                <w:sz w:val="20"/>
                <w:szCs w:val="20"/>
              </w:rPr>
              <w:t xml:space="preserve">United Kingdom, Disability Matters, see </w:t>
            </w:r>
          </w:p>
          <w:p w:rsidR="00781889" w:rsidRPr="00F83C64" w:rsidRDefault="006648E4" w:rsidP="008B22DC">
            <w:pPr>
              <w:rPr>
                <w:rFonts w:cs="Arial"/>
                <w:b/>
                <w:bCs/>
                <w:sz w:val="20"/>
                <w:szCs w:val="20"/>
              </w:rPr>
            </w:pPr>
            <w:hyperlink r:id="rId18" w:history="1">
              <w:r w:rsidR="00881E8A" w:rsidRPr="00F83C64">
                <w:rPr>
                  <w:rStyle w:val="Hyperlink"/>
                  <w:rFonts w:cs="Arial"/>
                  <w:b/>
                  <w:bCs/>
                  <w:sz w:val="20"/>
                  <w:szCs w:val="20"/>
                </w:rPr>
                <w:t>https://www.disabilitymatters.org.uk/</w:t>
              </w:r>
            </w:hyperlink>
          </w:p>
          <w:p w:rsidR="00881E8A" w:rsidRPr="00F83C64" w:rsidRDefault="00881E8A" w:rsidP="008B22DC">
            <w:pPr>
              <w:rPr>
                <w:rFonts w:cs="Arial"/>
                <w:b/>
                <w:bCs/>
                <w:sz w:val="20"/>
                <w:szCs w:val="20"/>
              </w:rPr>
            </w:pPr>
          </w:p>
        </w:tc>
      </w:tr>
      <w:tr w:rsidR="008B22DC" w:rsidRPr="00F83C64" w:rsidTr="00881E8A">
        <w:trPr>
          <w:trHeight w:val="782"/>
        </w:trPr>
        <w:tc>
          <w:tcPr>
            <w:tcW w:w="2088" w:type="dxa"/>
            <w:shd w:val="clear" w:color="auto" w:fill="E7E6E6" w:themeFill="background2"/>
          </w:tcPr>
          <w:p w:rsidR="008B22DC" w:rsidRPr="00F83C64" w:rsidRDefault="008B22DC" w:rsidP="008B22DC">
            <w:pPr>
              <w:rPr>
                <w:rFonts w:cs="Arial"/>
                <w:sz w:val="20"/>
                <w:szCs w:val="20"/>
              </w:rPr>
            </w:pPr>
            <w:r w:rsidRPr="00F83C64">
              <w:rPr>
                <w:rFonts w:cs="Arial"/>
                <w:b/>
                <w:bCs/>
                <w:sz w:val="20"/>
                <w:szCs w:val="20"/>
              </w:rPr>
              <w:t xml:space="preserve">Training opportunities for peer supporters with intellectual disabilities (TOPSIDE) </w:t>
            </w:r>
          </w:p>
        </w:tc>
        <w:tc>
          <w:tcPr>
            <w:tcW w:w="3958" w:type="dxa"/>
            <w:shd w:val="clear" w:color="auto" w:fill="E7E6E6" w:themeFill="background2"/>
          </w:tcPr>
          <w:p w:rsidR="008B22DC" w:rsidRPr="00F83C64" w:rsidRDefault="008B22DC" w:rsidP="008B22DC">
            <w:pPr>
              <w:rPr>
                <w:rFonts w:cs="Arial"/>
                <w:sz w:val="20"/>
                <w:szCs w:val="20"/>
              </w:rPr>
            </w:pPr>
            <w:r w:rsidRPr="00F83C64">
              <w:rPr>
                <w:rFonts w:cs="Arial"/>
                <w:sz w:val="20"/>
                <w:szCs w:val="20"/>
              </w:rPr>
              <w:t>The training, developed for and by people with intel</w:t>
            </w:r>
            <w:r w:rsidRPr="00F83C64">
              <w:rPr>
                <w:rFonts w:cs="Arial"/>
                <w:sz w:val="20"/>
                <w:szCs w:val="20"/>
              </w:rPr>
              <w:softHyphen/>
              <w:t>lectual disabilities, aims to teach people with intellec</w:t>
            </w:r>
            <w:r w:rsidRPr="00F83C64">
              <w:rPr>
                <w:rFonts w:cs="Arial"/>
                <w:sz w:val="20"/>
                <w:szCs w:val="20"/>
              </w:rPr>
              <w:softHyphen/>
              <w:t xml:space="preserve">tual disabilities how to be peer supporters. </w:t>
            </w:r>
          </w:p>
          <w:p w:rsidR="008B22DC" w:rsidRPr="00F83C64" w:rsidRDefault="008B22DC" w:rsidP="008B22DC">
            <w:pPr>
              <w:rPr>
                <w:rFonts w:cs="Arial"/>
                <w:sz w:val="20"/>
                <w:szCs w:val="20"/>
              </w:rPr>
            </w:pPr>
            <w:r w:rsidRPr="00F83C64">
              <w:rPr>
                <w:rFonts w:cs="Arial"/>
                <w:sz w:val="20"/>
                <w:szCs w:val="20"/>
              </w:rPr>
              <w:t>The training materials are targeted at NGOs, asso</w:t>
            </w:r>
            <w:r w:rsidRPr="00F83C64">
              <w:rPr>
                <w:rFonts w:cs="Arial"/>
                <w:sz w:val="20"/>
                <w:szCs w:val="20"/>
              </w:rPr>
              <w:softHyphen/>
              <w:t xml:space="preserve">ciations, training centres and educational </w:t>
            </w:r>
            <w:r w:rsidRPr="00F83C64">
              <w:rPr>
                <w:rFonts w:cs="Arial"/>
                <w:sz w:val="20"/>
                <w:szCs w:val="20"/>
              </w:rPr>
              <w:lastRenderedPageBreak/>
              <w:t xml:space="preserve">providers that want to support active citizens with intellectual disabilities. </w:t>
            </w:r>
          </w:p>
        </w:tc>
        <w:tc>
          <w:tcPr>
            <w:tcW w:w="3023" w:type="dxa"/>
            <w:shd w:val="clear" w:color="auto" w:fill="E7E6E6" w:themeFill="background2"/>
          </w:tcPr>
          <w:p w:rsidR="008B22DC" w:rsidRPr="00F83C64" w:rsidRDefault="008B22DC" w:rsidP="008B22DC">
            <w:pPr>
              <w:rPr>
                <w:rFonts w:cs="Arial"/>
                <w:sz w:val="20"/>
                <w:szCs w:val="20"/>
              </w:rPr>
            </w:pPr>
            <w:r w:rsidRPr="00F83C64">
              <w:rPr>
                <w:rFonts w:cs="Arial"/>
                <w:sz w:val="20"/>
                <w:szCs w:val="20"/>
              </w:rPr>
              <w:lastRenderedPageBreak/>
              <w:t xml:space="preserve">Inclusion Europe, see: </w:t>
            </w:r>
            <w:hyperlink r:id="rId19" w:history="1">
              <w:r w:rsidRPr="00F83C64">
                <w:rPr>
                  <w:rStyle w:val="Hyperlink"/>
                  <w:rFonts w:cs="Arial"/>
                  <w:sz w:val="20"/>
                  <w:szCs w:val="20"/>
                </w:rPr>
                <w:t>http://www.inclusion-europe.com/topside/index.php</w:t>
              </w:r>
            </w:hyperlink>
          </w:p>
          <w:p w:rsidR="008B22DC" w:rsidRPr="00F83C64" w:rsidRDefault="008B22DC" w:rsidP="008B22DC">
            <w:pPr>
              <w:rPr>
                <w:rFonts w:cs="Arial"/>
                <w:sz w:val="20"/>
                <w:szCs w:val="20"/>
              </w:rPr>
            </w:pPr>
          </w:p>
        </w:tc>
      </w:tr>
      <w:tr w:rsidR="008B22DC" w:rsidRPr="00F83C64" w:rsidTr="00190D49">
        <w:trPr>
          <w:trHeight w:val="1222"/>
        </w:trPr>
        <w:tc>
          <w:tcPr>
            <w:tcW w:w="2088" w:type="dxa"/>
            <w:shd w:val="clear" w:color="auto" w:fill="auto"/>
          </w:tcPr>
          <w:p w:rsidR="008B22DC" w:rsidRPr="00F83C64" w:rsidRDefault="008B22DC" w:rsidP="008B22DC">
            <w:pPr>
              <w:rPr>
                <w:rFonts w:cs="Arial"/>
                <w:sz w:val="20"/>
                <w:szCs w:val="20"/>
              </w:rPr>
            </w:pPr>
            <w:r w:rsidRPr="00F83C64">
              <w:rPr>
                <w:rFonts w:cs="Arial"/>
                <w:b/>
                <w:bCs/>
                <w:sz w:val="20"/>
                <w:szCs w:val="20"/>
              </w:rPr>
              <w:t>Rock and Water and children with autism (</w:t>
            </w:r>
            <w:r w:rsidRPr="00F83C64">
              <w:rPr>
                <w:rFonts w:cs="Arial"/>
                <w:i/>
                <w:iCs/>
                <w:sz w:val="20"/>
                <w:szCs w:val="20"/>
              </w:rPr>
              <w:t>Rots&amp;Water en kinderen met autismespectrum</w:t>
            </w:r>
            <w:r w:rsidRPr="00F83C64">
              <w:rPr>
                <w:rFonts w:cs="Arial"/>
                <w:i/>
                <w:iCs/>
                <w:sz w:val="20"/>
                <w:szCs w:val="20"/>
              </w:rPr>
              <w:softHyphen/>
              <w:t>stoornissen</w:t>
            </w:r>
            <w:r w:rsidRPr="00F83C64">
              <w:rPr>
                <w:rFonts w:cs="Arial"/>
                <w:b/>
                <w:bCs/>
                <w:sz w:val="20"/>
                <w:szCs w:val="20"/>
              </w:rPr>
              <w:t xml:space="preserve">) </w:t>
            </w:r>
          </w:p>
        </w:tc>
        <w:tc>
          <w:tcPr>
            <w:tcW w:w="3958" w:type="dxa"/>
            <w:shd w:val="clear" w:color="auto" w:fill="auto"/>
          </w:tcPr>
          <w:p w:rsidR="008B22DC" w:rsidRPr="00F83C64" w:rsidRDefault="008B22DC" w:rsidP="008B22DC">
            <w:pPr>
              <w:rPr>
                <w:rFonts w:cs="Arial"/>
                <w:sz w:val="20"/>
                <w:szCs w:val="20"/>
              </w:rPr>
            </w:pPr>
            <w:r w:rsidRPr="00F83C64">
              <w:rPr>
                <w:rFonts w:cs="Arial"/>
                <w:sz w:val="20"/>
                <w:szCs w:val="20"/>
              </w:rPr>
              <w:t>‘Rock and Water and children with autismʼ provides psycho</w:t>
            </w:r>
            <w:r w:rsidRPr="00F83C64">
              <w:rPr>
                <w:rFonts w:cs="Arial"/>
                <w:sz w:val="20"/>
                <w:szCs w:val="20"/>
              </w:rPr>
              <w:noBreakHyphen/>
              <w:t>physical social competency training for chil</w:t>
            </w:r>
            <w:r w:rsidRPr="00F83C64">
              <w:rPr>
                <w:rFonts w:cs="Arial"/>
                <w:sz w:val="20"/>
                <w:szCs w:val="20"/>
              </w:rPr>
              <w:softHyphen/>
              <w:t>dren with autism. Its objective is to increase their social competence and ability to deal with bullying and violence. The programme was developed in the Netherlands but is now widely used. 35,000 teachers in 14 countries worldwide have trained approximately two million children and students in different coun</w:t>
            </w:r>
            <w:r w:rsidRPr="00F83C64">
              <w:rPr>
                <w:rFonts w:cs="Arial"/>
                <w:sz w:val="20"/>
                <w:szCs w:val="20"/>
              </w:rPr>
              <w:softHyphen/>
              <w:t xml:space="preserve">tries. The initial ‘Rock and Waterʼ training has been subject of an evaluation study, which concluded that the programme has positive effects. </w:t>
            </w:r>
          </w:p>
        </w:tc>
        <w:tc>
          <w:tcPr>
            <w:tcW w:w="3023" w:type="dxa"/>
            <w:shd w:val="clear" w:color="auto" w:fill="auto"/>
          </w:tcPr>
          <w:p w:rsidR="008B22DC" w:rsidRPr="00F83C64" w:rsidRDefault="008B22DC" w:rsidP="00781889">
            <w:pPr>
              <w:rPr>
                <w:rFonts w:cs="Arial"/>
                <w:sz w:val="20"/>
                <w:szCs w:val="20"/>
              </w:rPr>
            </w:pPr>
            <w:r w:rsidRPr="00F83C64">
              <w:rPr>
                <w:rFonts w:cs="Arial"/>
                <w:sz w:val="20"/>
                <w:szCs w:val="20"/>
              </w:rPr>
              <w:t xml:space="preserve">Netherlands, Gadaku Institute / Rots &amp; Water Instituut, Rock and Water and children with autism, see: </w:t>
            </w:r>
            <w:hyperlink r:id="rId20" w:history="1">
              <w:r w:rsidR="00781889" w:rsidRPr="00F83C64">
                <w:rPr>
                  <w:rStyle w:val="Hyperlink"/>
                  <w:rFonts w:cs="Arial"/>
                  <w:sz w:val="20"/>
                  <w:szCs w:val="20"/>
                </w:rPr>
                <w:t>https://www.rockandwaterprogram.com/</w:t>
              </w:r>
            </w:hyperlink>
          </w:p>
          <w:p w:rsidR="00781889" w:rsidRPr="00F83C64" w:rsidRDefault="00781889" w:rsidP="00781889">
            <w:pPr>
              <w:rPr>
                <w:rFonts w:cs="Arial"/>
                <w:sz w:val="20"/>
                <w:szCs w:val="20"/>
              </w:rPr>
            </w:pPr>
          </w:p>
        </w:tc>
      </w:tr>
    </w:tbl>
    <w:p w:rsidR="00190D49" w:rsidRDefault="00190D49" w:rsidP="00C662A0"/>
    <w:p w:rsidR="00D01F13" w:rsidRPr="00D47093" w:rsidRDefault="00190D49" w:rsidP="00D47093">
      <w:pPr>
        <w:widowControl w:val="0"/>
        <w:pBdr>
          <w:top w:val="nil"/>
          <w:left w:val="nil"/>
          <w:bottom w:val="nil"/>
          <w:right w:val="nil"/>
          <w:between w:val="nil"/>
        </w:pBdr>
        <w:spacing w:after="100"/>
        <w:jc w:val="both"/>
        <w:rPr>
          <w:rFonts w:eastAsia="Helvetica" w:cs="Helvetica"/>
          <w:b/>
          <w:color w:val="000000"/>
        </w:rPr>
      </w:pPr>
      <w:r w:rsidRPr="00D47093">
        <w:rPr>
          <w:rFonts w:eastAsia="Helvetica" w:cs="Helvetica"/>
          <w:b/>
          <w:color w:val="000000"/>
        </w:rPr>
        <w:t>b. Ensuring close consultation with and active involvement of children with</w:t>
      </w:r>
      <w:r w:rsidR="00B44637">
        <w:rPr>
          <w:rFonts w:eastAsia="Helvetica" w:cs="Helvetica"/>
          <w:b/>
          <w:color w:val="000000"/>
        </w:rPr>
        <w:t xml:space="preserve"> </w:t>
      </w:r>
      <w:r w:rsidRPr="00D47093">
        <w:rPr>
          <w:rFonts w:eastAsia="Helvetica" w:cs="Helvetica"/>
          <w:b/>
          <w:color w:val="000000"/>
        </w:rPr>
        <w:t>disabilities in decision-making processes affecting them.</w:t>
      </w:r>
    </w:p>
    <w:tbl>
      <w:tblPr>
        <w:tblStyle w:val="TableGrid"/>
        <w:tblW w:w="0" w:type="auto"/>
        <w:tblLayout w:type="fixed"/>
        <w:tblLook w:val="04A0" w:firstRow="1" w:lastRow="0" w:firstColumn="1" w:lastColumn="0" w:noHBand="0" w:noVBand="1"/>
      </w:tblPr>
      <w:tblGrid>
        <w:gridCol w:w="1980"/>
        <w:gridCol w:w="5528"/>
        <w:gridCol w:w="1508"/>
      </w:tblGrid>
      <w:tr w:rsidR="00190D49" w:rsidRPr="00F83C64" w:rsidTr="002C0488">
        <w:tc>
          <w:tcPr>
            <w:tcW w:w="1980" w:type="dxa"/>
            <w:shd w:val="clear" w:color="auto" w:fill="E7E6E6" w:themeFill="background2"/>
          </w:tcPr>
          <w:p w:rsidR="00190D49" w:rsidRPr="00F83C64" w:rsidRDefault="00D01F13" w:rsidP="00C662A0">
            <w:pPr>
              <w:rPr>
                <w:rFonts w:cs="Arial"/>
                <w:sz w:val="20"/>
                <w:szCs w:val="20"/>
              </w:rPr>
            </w:pPr>
            <w:r w:rsidRPr="00F83C64">
              <w:rPr>
                <w:rFonts w:cs="Arial"/>
                <w:sz w:val="20"/>
                <w:szCs w:val="20"/>
              </w:rPr>
              <w:t>Name</w:t>
            </w:r>
          </w:p>
        </w:tc>
        <w:tc>
          <w:tcPr>
            <w:tcW w:w="5528" w:type="dxa"/>
            <w:shd w:val="clear" w:color="auto" w:fill="E7E6E6" w:themeFill="background2"/>
          </w:tcPr>
          <w:p w:rsidR="00190D49" w:rsidRPr="00F83C64" w:rsidRDefault="00D01F13" w:rsidP="00C662A0">
            <w:pPr>
              <w:rPr>
                <w:rFonts w:cs="Arial"/>
                <w:sz w:val="20"/>
                <w:szCs w:val="20"/>
              </w:rPr>
            </w:pPr>
            <w:r w:rsidRPr="00F83C64">
              <w:rPr>
                <w:rFonts w:cs="Arial"/>
                <w:sz w:val="20"/>
                <w:szCs w:val="20"/>
              </w:rPr>
              <w:t>Description</w:t>
            </w:r>
          </w:p>
        </w:tc>
        <w:tc>
          <w:tcPr>
            <w:tcW w:w="1508" w:type="dxa"/>
            <w:shd w:val="clear" w:color="auto" w:fill="E7E6E6" w:themeFill="background2"/>
          </w:tcPr>
          <w:p w:rsidR="00190D49" w:rsidRPr="00F83C64" w:rsidRDefault="00D01F13" w:rsidP="00C662A0">
            <w:pPr>
              <w:rPr>
                <w:rFonts w:cs="Arial"/>
                <w:sz w:val="20"/>
                <w:szCs w:val="20"/>
              </w:rPr>
            </w:pPr>
            <w:r w:rsidRPr="00F83C64">
              <w:rPr>
                <w:rFonts w:cs="Arial"/>
                <w:sz w:val="20"/>
                <w:szCs w:val="20"/>
              </w:rPr>
              <w:t>Reference and link</w:t>
            </w:r>
          </w:p>
        </w:tc>
      </w:tr>
      <w:tr w:rsidR="00190D49" w:rsidRPr="00F83C64" w:rsidTr="002C0488">
        <w:tc>
          <w:tcPr>
            <w:tcW w:w="1980" w:type="dxa"/>
          </w:tcPr>
          <w:p w:rsidR="00190D49" w:rsidRPr="00F83C64" w:rsidRDefault="00190D49" w:rsidP="00D01F13">
            <w:pPr>
              <w:pStyle w:val="Pa31"/>
              <w:rPr>
                <w:rFonts w:asciiTheme="minorHAnsi" w:eastAsiaTheme="minorHAnsi" w:cs="Arial"/>
                <w:sz w:val="20"/>
                <w:szCs w:val="20"/>
              </w:rPr>
            </w:pPr>
            <w:r w:rsidRPr="00F83C64">
              <w:rPr>
                <w:rFonts w:asciiTheme="minorHAnsi" w:eastAsiaTheme="minorHAnsi" w:cs="Arial"/>
                <w:sz w:val="20"/>
                <w:szCs w:val="20"/>
              </w:rPr>
              <w:t>Users’ Involvement in the Decision</w:t>
            </w:r>
            <w:r w:rsidRPr="00F83C64">
              <w:rPr>
                <w:rFonts w:asciiTheme="minorHAnsi" w:eastAsiaTheme="minorHAnsi" w:cs="Arial"/>
                <w:sz w:val="20"/>
                <w:szCs w:val="20"/>
              </w:rPr>
              <w:noBreakHyphen/>
              <w:t xml:space="preserve">Making Process – a Step Towards Complete Social Integration </w:t>
            </w:r>
          </w:p>
        </w:tc>
        <w:tc>
          <w:tcPr>
            <w:tcW w:w="5528" w:type="dxa"/>
          </w:tcPr>
          <w:p w:rsidR="00D01F13" w:rsidRPr="00F83C64" w:rsidRDefault="00D01F13" w:rsidP="00D01F13">
            <w:pPr>
              <w:pStyle w:val="Pa12"/>
              <w:spacing w:after="100"/>
              <w:rPr>
                <w:rFonts w:asciiTheme="minorHAnsi" w:hAnsiTheme="minorHAnsi" w:cs="Arial"/>
                <w:sz w:val="20"/>
                <w:szCs w:val="20"/>
              </w:rPr>
            </w:pPr>
            <w:r w:rsidRPr="00F83C64">
              <w:rPr>
                <w:rFonts w:asciiTheme="minorHAnsi" w:hAnsiTheme="minorHAnsi" w:cs="Arial"/>
                <w:sz w:val="20"/>
                <w:szCs w:val="20"/>
              </w:rPr>
              <w:t>In Bulgaria, the Cedar Foundation user involvement project focused on empowering children and young adults with intellectual disabilities to make their own decisions and to participate in decision</w:t>
            </w:r>
            <w:r w:rsidRPr="00F83C64">
              <w:rPr>
                <w:rFonts w:asciiTheme="minorHAnsi" w:hAnsiTheme="minorHAnsi" w:cs="Arial"/>
                <w:sz w:val="20"/>
                <w:szCs w:val="20"/>
              </w:rPr>
              <w:noBreakHyphen/>
              <w:t xml:space="preserve">making. The project was implemented in partnership with the Kyustendil Municipality and Learning Disability Wales, and realised with the financial support of the European Social Fund. </w:t>
            </w:r>
          </w:p>
          <w:p w:rsidR="00190D49" w:rsidRPr="00F83C64" w:rsidRDefault="00D01F13" w:rsidP="00D01F13">
            <w:pPr>
              <w:rPr>
                <w:rFonts w:cs="Arial"/>
                <w:sz w:val="20"/>
                <w:szCs w:val="20"/>
              </w:rPr>
            </w:pPr>
            <w:r w:rsidRPr="00F83C64">
              <w:rPr>
                <w:rFonts w:cs="Arial"/>
                <w:sz w:val="20"/>
                <w:szCs w:val="20"/>
              </w:rPr>
              <w:t>The main aim of the project was to train professionals and exchange good practices. Municipal officers and social workers from Kyustendil visited Learning Dis</w:t>
            </w:r>
            <w:r w:rsidRPr="00F83C64">
              <w:rPr>
                <w:rFonts w:cs="Arial"/>
                <w:sz w:val="20"/>
                <w:szCs w:val="20"/>
              </w:rPr>
              <w:softHyphen/>
              <w:t>ability Wales in Cardiff and learned about policies and methods that Welsh agencies and social service pro</w:t>
            </w:r>
            <w:r w:rsidRPr="00F83C64">
              <w:rPr>
                <w:rFonts w:cs="Arial"/>
                <w:sz w:val="20"/>
                <w:szCs w:val="20"/>
              </w:rPr>
              <w:softHyphen/>
              <w:t xml:space="preserve">viders use to ensure that the opinions of people with learning disabilities are taken into consideration in all aspects of their lives. </w:t>
            </w:r>
          </w:p>
        </w:tc>
        <w:tc>
          <w:tcPr>
            <w:tcW w:w="1508" w:type="dxa"/>
          </w:tcPr>
          <w:p w:rsidR="00D01F13" w:rsidRPr="00F83C64" w:rsidRDefault="00D01F13" w:rsidP="00D01F13">
            <w:pPr>
              <w:pStyle w:val="Pa31"/>
              <w:rPr>
                <w:rFonts w:asciiTheme="minorHAnsi" w:eastAsiaTheme="minorHAnsi" w:cs="Arial"/>
                <w:sz w:val="20"/>
                <w:szCs w:val="20"/>
              </w:rPr>
            </w:pPr>
            <w:r w:rsidRPr="00F83C64">
              <w:rPr>
                <w:rFonts w:asciiTheme="minorHAnsi" w:eastAsiaTheme="minorHAnsi" w:cs="Arial"/>
                <w:sz w:val="20"/>
                <w:szCs w:val="20"/>
              </w:rPr>
              <w:t xml:space="preserve">Bulgaria, Cedar Foundation, more information in English at </w:t>
            </w:r>
          </w:p>
          <w:p w:rsidR="00D01F13" w:rsidRPr="00F83C64" w:rsidRDefault="006648E4" w:rsidP="00C662A0">
            <w:pPr>
              <w:rPr>
                <w:rFonts w:cs="Arial"/>
                <w:sz w:val="20"/>
                <w:szCs w:val="20"/>
              </w:rPr>
            </w:pPr>
            <w:hyperlink r:id="rId21" w:history="1">
              <w:r w:rsidR="00D01F13" w:rsidRPr="00F83C64">
                <w:rPr>
                  <w:rFonts w:cs="Arial"/>
                  <w:sz w:val="20"/>
                  <w:szCs w:val="20"/>
                </w:rPr>
                <w:t>http://www.cedarfoundation.org/en/</w:t>
              </w:r>
            </w:hyperlink>
          </w:p>
          <w:p w:rsidR="00D01F13" w:rsidRPr="00F83C64" w:rsidRDefault="00D01F13" w:rsidP="00D01F13">
            <w:pPr>
              <w:pStyle w:val="Pa10"/>
              <w:rPr>
                <w:rFonts w:asciiTheme="minorHAnsi" w:eastAsiaTheme="minorHAnsi" w:cs="Arial"/>
                <w:sz w:val="20"/>
                <w:szCs w:val="20"/>
              </w:rPr>
            </w:pPr>
            <w:r w:rsidRPr="00F83C64">
              <w:rPr>
                <w:rFonts w:asciiTheme="minorHAnsi" w:eastAsiaTheme="minorHAnsi" w:cs="Arial"/>
                <w:sz w:val="20"/>
                <w:szCs w:val="20"/>
              </w:rPr>
              <w:t xml:space="preserve">and in their annual report. </w:t>
            </w:r>
          </w:p>
          <w:p w:rsidR="00D01F13" w:rsidRPr="00F83C64" w:rsidRDefault="00D01F13" w:rsidP="00C662A0">
            <w:pPr>
              <w:rPr>
                <w:rFonts w:cs="Arial"/>
                <w:sz w:val="20"/>
                <w:szCs w:val="20"/>
              </w:rPr>
            </w:pPr>
          </w:p>
        </w:tc>
      </w:tr>
    </w:tbl>
    <w:p w:rsidR="00190D49" w:rsidRDefault="00190D49" w:rsidP="00C662A0"/>
    <w:p w:rsidR="00D01F13" w:rsidRPr="00D47093" w:rsidRDefault="00D01F13" w:rsidP="00D47093">
      <w:pPr>
        <w:widowControl w:val="0"/>
        <w:pBdr>
          <w:top w:val="nil"/>
          <w:left w:val="nil"/>
          <w:bottom w:val="nil"/>
          <w:right w:val="nil"/>
          <w:between w:val="nil"/>
        </w:pBdr>
        <w:spacing w:after="100"/>
        <w:jc w:val="both"/>
        <w:rPr>
          <w:rFonts w:eastAsia="Helvetica" w:cs="Helvetica"/>
          <w:color w:val="000000"/>
          <w:sz w:val="18"/>
          <w:szCs w:val="18"/>
        </w:rPr>
      </w:pPr>
      <w:r w:rsidRPr="00D47093">
        <w:rPr>
          <w:rFonts w:eastAsia="Helvetica" w:cs="Helvetica"/>
          <w:b/>
          <w:color w:val="000000"/>
        </w:rPr>
        <w:t>5) Please identify relevant indepe</w:t>
      </w:r>
      <w:r w:rsidR="00B44637">
        <w:rPr>
          <w:rFonts w:eastAsia="Helvetica" w:cs="Helvetica"/>
          <w:b/>
          <w:color w:val="000000"/>
        </w:rPr>
        <w:t>ndent</w:t>
      </w:r>
      <w:r w:rsidRPr="00D47093">
        <w:rPr>
          <w:rFonts w:eastAsia="Helvetica" w:cs="Helvetica"/>
          <w:b/>
          <w:color w:val="000000"/>
        </w:rPr>
        <w:t xml:space="preserve"> accountability mechanisms to monitor the situation of children with disabilities and their access to essential services, including to inclusive education in the general system without discrimination</w:t>
      </w:r>
      <w:r w:rsidRPr="00D47093">
        <w:rPr>
          <w:rFonts w:eastAsia="Helvetica" w:cs="Helvetica"/>
          <w:color w:val="000000"/>
          <w:sz w:val="18"/>
          <w:szCs w:val="18"/>
        </w:rPr>
        <w:t>.</w:t>
      </w:r>
    </w:p>
    <w:tbl>
      <w:tblPr>
        <w:tblStyle w:val="TableGrid"/>
        <w:tblW w:w="0" w:type="auto"/>
        <w:tblLayout w:type="fixed"/>
        <w:tblLook w:val="04A0" w:firstRow="1" w:lastRow="0" w:firstColumn="1" w:lastColumn="0" w:noHBand="0" w:noVBand="1"/>
      </w:tblPr>
      <w:tblGrid>
        <w:gridCol w:w="1980"/>
        <w:gridCol w:w="4536"/>
        <w:gridCol w:w="2500"/>
      </w:tblGrid>
      <w:tr w:rsidR="00D01F13" w:rsidRPr="00F83C64" w:rsidTr="002C0488">
        <w:tc>
          <w:tcPr>
            <w:tcW w:w="1980" w:type="dxa"/>
            <w:shd w:val="clear" w:color="auto" w:fill="E7E6E6" w:themeFill="background2"/>
          </w:tcPr>
          <w:p w:rsidR="00D01F13" w:rsidRPr="00F83C64" w:rsidRDefault="00D01F13" w:rsidP="00D01F13">
            <w:pPr>
              <w:widowControl w:val="0"/>
              <w:spacing w:after="100"/>
              <w:rPr>
                <w:rFonts w:eastAsia="Helvetica" w:cs="Arial"/>
                <w:color w:val="000000"/>
                <w:sz w:val="20"/>
                <w:szCs w:val="20"/>
              </w:rPr>
            </w:pPr>
            <w:r w:rsidRPr="00F83C64">
              <w:rPr>
                <w:rFonts w:eastAsia="Helvetica" w:cs="Arial"/>
                <w:color w:val="000000"/>
                <w:sz w:val="20"/>
                <w:szCs w:val="20"/>
              </w:rPr>
              <w:t xml:space="preserve">Name </w:t>
            </w:r>
          </w:p>
        </w:tc>
        <w:tc>
          <w:tcPr>
            <w:tcW w:w="4536" w:type="dxa"/>
            <w:shd w:val="clear" w:color="auto" w:fill="E7E6E6" w:themeFill="background2"/>
          </w:tcPr>
          <w:p w:rsidR="00D01F13" w:rsidRPr="00F83C64" w:rsidRDefault="00D01F13" w:rsidP="00D01F13">
            <w:pPr>
              <w:widowControl w:val="0"/>
              <w:spacing w:after="100"/>
              <w:rPr>
                <w:rFonts w:eastAsia="Helvetica" w:cs="Arial"/>
                <w:color w:val="000000"/>
                <w:sz w:val="20"/>
                <w:szCs w:val="20"/>
              </w:rPr>
            </w:pPr>
            <w:r w:rsidRPr="00F83C64">
              <w:rPr>
                <w:rFonts w:eastAsia="Helvetica" w:cs="Arial"/>
                <w:color w:val="000000"/>
                <w:sz w:val="20"/>
                <w:szCs w:val="20"/>
              </w:rPr>
              <w:t>Description</w:t>
            </w:r>
          </w:p>
        </w:tc>
        <w:tc>
          <w:tcPr>
            <w:tcW w:w="2500" w:type="dxa"/>
            <w:shd w:val="clear" w:color="auto" w:fill="E7E6E6" w:themeFill="background2"/>
          </w:tcPr>
          <w:p w:rsidR="00D01F13" w:rsidRPr="00F83C64" w:rsidRDefault="00D01F13" w:rsidP="00D01F13">
            <w:pPr>
              <w:widowControl w:val="0"/>
              <w:spacing w:after="100"/>
              <w:rPr>
                <w:rFonts w:eastAsia="Helvetica" w:cs="Arial"/>
                <w:color w:val="000000"/>
                <w:sz w:val="20"/>
                <w:szCs w:val="20"/>
              </w:rPr>
            </w:pPr>
            <w:r w:rsidRPr="00F83C64">
              <w:rPr>
                <w:rFonts w:eastAsia="Helvetica" w:cs="Arial"/>
                <w:color w:val="000000"/>
                <w:sz w:val="20"/>
                <w:szCs w:val="20"/>
              </w:rPr>
              <w:t>Reference and link</w:t>
            </w:r>
          </w:p>
        </w:tc>
      </w:tr>
      <w:tr w:rsidR="00D01F13" w:rsidRPr="00F83C64" w:rsidTr="002C0488">
        <w:tc>
          <w:tcPr>
            <w:tcW w:w="1980" w:type="dxa"/>
          </w:tcPr>
          <w:p w:rsidR="00A127E5" w:rsidRPr="00F83C64" w:rsidRDefault="00A127E5" w:rsidP="00A127E5">
            <w:pPr>
              <w:pStyle w:val="Pa31"/>
              <w:rPr>
                <w:rFonts w:asciiTheme="minorHAnsi" w:eastAsiaTheme="minorHAnsi" w:cs="Arial"/>
                <w:sz w:val="20"/>
                <w:szCs w:val="20"/>
              </w:rPr>
            </w:pPr>
            <w:r w:rsidRPr="00F83C64">
              <w:rPr>
                <w:rFonts w:asciiTheme="minorHAnsi" w:eastAsiaTheme="minorHAnsi" w:cs="Arial"/>
                <w:sz w:val="20"/>
                <w:szCs w:val="20"/>
              </w:rPr>
              <w:t xml:space="preserve">National System for Early Intervention (Sistema Nacional de Intervenção Precoce) </w:t>
            </w:r>
          </w:p>
          <w:p w:rsidR="00D01F13" w:rsidRPr="00F83C64" w:rsidRDefault="00D01F13" w:rsidP="00D01F13">
            <w:pPr>
              <w:widowControl w:val="0"/>
              <w:spacing w:after="100"/>
              <w:rPr>
                <w:rFonts w:cs="Arial"/>
                <w:sz w:val="20"/>
                <w:szCs w:val="20"/>
              </w:rPr>
            </w:pPr>
          </w:p>
        </w:tc>
        <w:tc>
          <w:tcPr>
            <w:tcW w:w="4536" w:type="dxa"/>
          </w:tcPr>
          <w:p w:rsidR="00D01F13" w:rsidRPr="00F83C64" w:rsidRDefault="00A127E5" w:rsidP="009A0D77">
            <w:pPr>
              <w:pStyle w:val="Pa10"/>
              <w:rPr>
                <w:rFonts w:asciiTheme="minorHAnsi" w:eastAsiaTheme="minorHAnsi" w:cs="Arial"/>
                <w:sz w:val="20"/>
                <w:szCs w:val="20"/>
              </w:rPr>
            </w:pPr>
            <w:r w:rsidRPr="00F83C64">
              <w:rPr>
                <w:rFonts w:asciiTheme="minorHAnsi" w:eastAsiaTheme="minorHAnsi" w:cs="Arial"/>
                <w:sz w:val="20"/>
                <w:szCs w:val="20"/>
              </w:rPr>
              <w:t>National System for Early Intervention was established as a result of cooperation between social security profession</w:t>
            </w:r>
            <w:r w:rsidRPr="00F83C64">
              <w:rPr>
                <w:rFonts w:asciiTheme="minorHAnsi" w:eastAsiaTheme="minorHAnsi" w:cs="Arial"/>
                <w:sz w:val="20"/>
                <w:szCs w:val="20"/>
              </w:rPr>
              <w:softHyphen/>
              <w:t>als, education and health representatives. The system aims to provide integrated support to children with intellectual dis</w:t>
            </w:r>
            <w:r w:rsidRPr="00F83C64">
              <w:rPr>
                <w:rFonts w:asciiTheme="minorHAnsi" w:eastAsiaTheme="minorHAnsi" w:cs="Arial"/>
                <w:sz w:val="20"/>
                <w:szCs w:val="20"/>
              </w:rPr>
              <w:softHyphen/>
              <w:t>abilities (0–6 years) and sets out, among others, the following objectives: early intervention; preventing and reducing risk; supporting families in accessing services and resources of so</w:t>
            </w:r>
            <w:r w:rsidRPr="00F83C64">
              <w:rPr>
                <w:rFonts w:asciiTheme="minorHAnsi" w:eastAsiaTheme="minorHAnsi" w:cs="Arial"/>
                <w:sz w:val="20"/>
                <w:szCs w:val="20"/>
              </w:rPr>
              <w:softHyphen/>
              <w:t xml:space="preserve">cial security systems, health and education; and involving the community. </w:t>
            </w:r>
          </w:p>
        </w:tc>
        <w:tc>
          <w:tcPr>
            <w:tcW w:w="2500" w:type="dxa"/>
          </w:tcPr>
          <w:p w:rsidR="00A127E5" w:rsidRPr="00F83C64" w:rsidRDefault="00A127E5" w:rsidP="00A127E5">
            <w:pPr>
              <w:pStyle w:val="Pa31"/>
              <w:rPr>
                <w:rFonts w:asciiTheme="minorHAnsi" w:eastAsiaTheme="minorHAnsi" w:cs="Arial"/>
                <w:sz w:val="20"/>
                <w:szCs w:val="20"/>
              </w:rPr>
            </w:pPr>
            <w:r w:rsidRPr="00F83C64">
              <w:rPr>
                <w:rFonts w:asciiTheme="minorHAnsi" w:eastAsiaTheme="minorHAnsi" w:cs="Arial"/>
                <w:sz w:val="20"/>
                <w:szCs w:val="20"/>
              </w:rPr>
              <w:t xml:space="preserve">Portugal, National System for Early Intervention (Sistema Nacional de Intervenção Precoce), see: </w:t>
            </w:r>
          </w:p>
          <w:p w:rsidR="00D01F13" w:rsidRPr="00F83C64" w:rsidRDefault="006648E4" w:rsidP="00D01F13">
            <w:pPr>
              <w:widowControl w:val="0"/>
              <w:spacing w:after="100"/>
              <w:rPr>
                <w:rFonts w:cs="Arial"/>
                <w:sz w:val="20"/>
                <w:szCs w:val="20"/>
              </w:rPr>
            </w:pPr>
            <w:hyperlink r:id="rId22" w:history="1">
              <w:r w:rsidR="00A127E5" w:rsidRPr="00F83C64">
                <w:rPr>
                  <w:rFonts w:cs="Arial"/>
                  <w:sz w:val="20"/>
                  <w:szCs w:val="20"/>
                </w:rPr>
                <w:t>https://www.dgs.pt/ms/12/default.aspx?id=5525</w:t>
              </w:r>
            </w:hyperlink>
          </w:p>
          <w:p w:rsidR="00A127E5" w:rsidRPr="00F83C64" w:rsidRDefault="00A127E5" w:rsidP="00D01F13">
            <w:pPr>
              <w:widowControl w:val="0"/>
              <w:spacing w:after="100"/>
              <w:rPr>
                <w:rFonts w:cs="Arial"/>
                <w:sz w:val="20"/>
                <w:szCs w:val="20"/>
              </w:rPr>
            </w:pPr>
          </w:p>
        </w:tc>
      </w:tr>
      <w:tr w:rsidR="00D01F13" w:rsidRPr="00F83C64" w:rsidTr="002C0488">
        <w:tc>
          <w:tcPr>
            <w:tcW w:w="1980" w:type="dxa"/>
            <w:shd w:val="clear" w:color="auto" w:fill="E7E6E6" w:themeFill="background2"/>
          </w:tcPr>
          <w:p w:rsidR="00D01F13" w:rsidRPr="00F83C64" w:rsidRDefault="009A0D77" w:rsidP="009A0D77">
            <w:pPr>
              <w:pStyle w:val="Pa31"/>
              <w:rPr>
                <w:rFonts w:asciiTheme="minorHAnsi" w:eastAsiaTheme="minorHAnsi" w:cs="Arial"/>
                <w:sz w:val="20"/>
                <w:szCs w:val="20"/>
              </w:rPr>
            </w:pPr>
            <w:r w:rsidRPr="00F83C64">
              <w:rPr>
                <w:rFonts w:asciiTheme="minorHAnsi" w:eastAsiaTheme="minorHAnsi" w:cs="Arial"/>
                <w:sz w:val="20"/>
                <w:szCs w:val="20"/>
              </w:rPr>
              <w:t xml:space="preserve">Personal Coordinator (Personlig koordinator) </w:t>
            </w:r>
          </w:p>
        </w:tc>
        <w:tc>
          <w:tcPr>
            <w:tcW w:w="4536" w:type="dxa"/>
            <w:shd w:val="clear" w:color="auto" w:fill="E7E6E6" w:themeFill="background2"/>
          </w:tcPr>
          <w:p w:rsidR="00D01F13" w:rsidRPr="00F83C64" w:rsidRDefault="009A0D77" w:rsidP="009A0D77">
            <w:pPr>
              <w:pStyle w:val="Pa10"/>
              <w:rPr>
                <w:rFonts w:asciiTheme="minorHAnsi" w:eastAsiaTheme="minorHAnsi" w:cs="Arial"/>
                <w:sz w:val="20"/>
                <w:szCs w:val="20"/>
              </w:rPr>
            </w:pPr>
            <w:r w:rsidRPr="00F83C64">
              <w:rPr>
                <w:rFonts w:asciiTheme="minorHAnsi" w:eastAsiaTheme="minorHAnsi" w:cs="Arial"/>
                <w:sz w:val="20"/>
                <w:szCs w:val="20"/>
              </w:rPr>
              <w:t>The ‘Personal Coordinatorʼ is a project initiated by Bräcke Diakonia in Gothenburg in cooperation with the Swedish National Associa</w:t>
            </w:r>
            <w:r w:rsidRPr="00F83C64">
              <w:rPr>
                <w:rFonts w:asciiTheme="minorHAnsi" w:eastAsiaTheme="minorHAnsi" w:cs="Arial"/>
                <w:sz w:val="20"/>
                <w:szCs w:val="20"/>
              </w:rPr>
              <w:softHyphen/>
              <w:t>tion for Disabled Children and Young People. It aims to coordinate services for families with children with physical or multiple dis</w:t>
            </w:r>
            <w:r w:rsidRPr="00F83C64">
              <w:rPr>
                <w:rFonts w:asciiTheme="minorHAnsi" w:eastAsiaTheme="minorHAnsi" w:cs="Arial"/>
                <w:sz w:val="20"/>
                <w:szCs w:val="20"/>
              </w:rPr>
              <w:softHyphen/>
              <w:t>abilities who are heavily burdened with child care. The project is financed by the Swedish Inheritance Fund Commission (Allmänna Arvsfonden), and was in trial phase until 2014. It was established in response to a report on the public authorities’ coordination of assistance to children and young people with disabilities. The re</w:t>
            </w:r>
            <w:r w:rsidRPr="00F83C64">
              <w:rPr>
                <w:rFonts w:asciiTheme="minorHAnsi" w:eastAsiaTheme="minorHAnsi" w:cs="Arial"/>
                <w:sz w:val="20"/>
                <w:szCs w:val="20"/>
              </w:rPr>
              <w:softHyphen/>
              <w:t xml:space="preserve">port showed that societal support for parents with children with disabilities involves several stakeholders, but that nobody had the mandate of coordinating the available support. </w:t>
            </w:r>
          </w:p>
        </w:tc>
        <w:tc>
          <w:tcPr>
            <w:tcW w:w="2500" w:type="dxa"/>
            <w:shd w:val="clear" w:color="auto" w:fill="E7E6E6" w:themeFill="background2"/>
          </w:tcPr>
          <w:p w:rsidR="009A0D77" w:rsidRPr="00F83C64" w:rsidRDefault="009A0D77" w:rsidP="009A0D77">
            <w:pPr>
              <w:pStyle w:val="Pa31"/>
              <w:rPr>
                <w:rFonts w:asciiTheme="minorHAnsi" w:eastAsiaTheme="minorHAnsi" w:cs="Arial"/>
                <w:sz w:val="20"/>
                <w:szCs w:val="20"/>
              </w:rPr>
            </w:pPr>
            <w:r w:rsidRPr="00F83C64">
              <w:rPr>
                <w:rFonts w:asciiTheme="minorHAnsi" w:eastAsiaTheme="minorHAnsi" w:cs="Arial"/>
                <w:sz w:val="20"/>
                <w:szCs w:val="20"/>
              </w:rPr>
              <w:t xml:space="preserve">Sweden, Bräcke Diakonia Gothenburg, see: </w:t>
            </w:r>
          </w:p>
          <w:p w:rsidR="00D01F13" w:rsidRPr="00F83C64" w:rsidRDefault="006648E4" w:rsidP="00D01F13">
            <w:pPr>
              <w:widowControl w:val="0"/>
              <w:spacing w:after="100"/>
              <w:rPr>
                <w:rFonts w:cs="Arial"/>
                <w:sz w:val="20"/>
                <w:szCs w:val="20"/>
              </w:rPr>
            </w:pPr>
            <w:hyperlink r:id="rId23" w:history="1">
              <w:r w:rsidR="009A0D77" w:rsidRPr="00F83C64">
                <w:rPr>
                  <w:rStyle w:val="Hyperlink"/>
                  <w:rFonts w:cs="Arial"/>
                  <w:sz w:val="20"/>
                  <w:szCs w:val="20"/>
                </w:rPr>
                <w:t>https://www.brackediakoni.se/personlig-koordinator</w:t>
              </w:r>
            </w:hyperlink>
          </w:p>
          <w:p w:rsidR="009A0D77" w:rsidRPr="00F83C64" w:rsidRDefault="009A0D77" w:rsidP="00D01F13">
            <w:pPr>
              <w:widowControl w:val="0"/>
              <w:spacing w:after="100"/>
              <w:rPr>
                <w:rFonts w:cs="Arial"/>
                <w:sz w:val="20"/>
                <w:szCs w:val="20"/>
              </w:rPr>
            </w:pPr>
          </w:p>
        </w:tc>
      </w:tr>
    </w:tbl>
    <w:p w:rsidR="00D01F13" w:rsidRPr="00D01F13" w:rsidRDefault="00D01F13" w:rsidP="00D01F13">
      <w:pPr>
        <w:widowControl w:val="0"/>
        <w:pBdr>
          <w:top w:val="nil"/>
          <w:left w:val="nil"/>
          <w:bottom w:val="nil"/>
          <w:right w:val="nil"/>
          <w:between w:val="nil"/>
        </w:pBdr>
        <w:spacing w:after="100"/>
        <w:rPr>
          <w:rFonts w:ascii="Helvetica" w:eastAsia="Helvetica" w:hAnsi="Helvetica" w:cs="Helvetica"/>
          <w:color w:val="000000"/>
          <w:sz w:val="18"/>
          <w:szCs w:val="18"/>
        </w:rPr>
      </w:pPr>
    </w:p>
    <w:sectPr w:rsidR="00D01F13" w:rsidRPr="00D01F13" w:rsidSect="00B44637">
      <w:headerReference w:type="default" r:id="rId24"/>
      <w:footerReference w:type="default" r:id="rId2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FF1" w:rsidRDefault="002E3FF1" w:rsidP="002E3FF1">
      <w:pPr>
        <w:spacing w:after="0" w:line="240" w:lineRule="auto"/>
      </w:pPr>
      <w:r>
        <w:separator/>
      </w:r>
    </w:p>
  </w:endnote>
  <w:endnote w:type="continuationSeparator" w:id="0">
    <w:p w:rsidR="002E3FF1" w:rsidRDefault="002E3FF1" w:rsidP="002E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DaxlinePro-Bold">
    <w:altName w:val="MS Gothic"/>
    <w:panose1 w:val="00000000000000000000"/>
    <w:charset w:val="80"/>
    <w:family w:val="swiss"/>
    <w:notTrueType/>
    <w:pitch w:val="default"/>
    <w:sig w:usb0="00000000" w:usb1="08070000" w:usb2="00000010" w:usb3="00000000" w:csb0="0002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72643"/>
      <w:docPartObj>
        <w:docPartGallery w:val="Page Numbers (Bottom of Page)"/>
        <w:docPartUnique/>
      </w:docPartObj>
    </w:sdtPr>
    <w:sdtEndPr>
      <w:rPr>
        <w:noProof/>
      </w:rPr>
    </w:sdtEndPr>
    <w:sdtContent>
      <w:p w:rsidR="002E3FF1" w:rsidRDefault="002E3FF1">
        <w:pPr>
          <w:pStyle w:val="Footer"/>
          <w:jc w:val="right"/>
        </w:pPr>
        <w:r>
          <w:fldChar w:fldCharType="begin"/>
        </w:r>
        <w:r>
          <w:instrText xml:space="preserve"> PAGE   \* MERGEFORMAT </w:instrText>
        </w:r>
        <w:r>
          <w:fldChar w:fldCharType="separate"/>
        </w:r>
        <w:r w:rsidR="006648E4">
          <w:rPr>
            <w:noProof/>
          </w:rPr>
          <w:t>1</w:t>
        </w:r>
        <w:r>
          <w:rPr>
            <w:noProof/>
          </w:rPr>
          <w:fldChar w:fldCharType="end"/>
        </w:r>
      </w:p>
    </w:sdtContent>
  </w:sdt>
  <w:p w:rsidR="002E3FF1" w:rsidRDefault="002E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FF1" w:rsidRDefault="002E3FF1" w:rsidP="002E3FF1">
      <w:pPr>
        <w:spacing w:after="0" w:line="240" w:lineRule="auto"/>
      </w:pPr>
      <w:r>
        <w:separator/>
      </w:r>
    </w:p>
  </w:footnote>
  <w:footnote w:type="continuationSeparator" w:id="0">
    <w:p w:rsidR="002E3FF1" w:rsidRDefault="002E3FF1" w:rsidP="002E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637" w:rsidRDefault="00B44637" w:rsidP="00B44637">
    <w:pPr>
      <w:pStyle w:val="Header"/>
      <w:jc w:val="right"/>
    </w:pPr>
    <w:r>
      <w:rPr>
        <w:noProof/>
        <w:lang w:eastAsia="en-GB"/>
      </w:rPr>
      <w:drawing>
        <wp:inline distT="0" distB="0" distL="0" distR="0" wp14:anchorId="19FE0A57" wp14:editId="41DF6CCB">
          <wp:extent cx="1756800" cy="720000"/>
          <wp:effectExtent l="0" t="0" r="0" b="4445"/>
          <wp:docPr id="4" name="Picture 4" descr="C:\Users\LSchwartz\AppData\Local\Microsoft\Windows\INetCache\Content.Word\FRA_cmyk smal-bor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chwartz\AppData\Local\Microsoft\Windows\INetCache\Content.Word\FRA_cmyk smal-bord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800" cy="720000"/>
                  </a:xfrm>
                  <a:prstGeom prst="rect">
                    <a:avLst/>
                  </a:prstGeom>
                  <a:noFill/>
                  <a:ln>
                    <a:noFill/>
                  </a:ln>
                </pic:spPr>
              </pic:pic>
            </a:graphicData>
          </a:graphic>
        </wp:inline>
      </w:drawing>
    </w:r>
  </w:p>
  <w:p w:rsidR="00B44637" w:rsidRDefault="00B44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36BEB"/>
    <w:multiLevelType w:val="hybridMultilevel"/>
    <w:tmpl w:val="7940EE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54A54"/>
    <w:multiLevelType w:val="hybridMultilevel"/>
    <w:tmpl w:val="9E280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A0"/>
    <w:rsid w:val="00051DD9"/>
    <w:rsid w:val="001868E9"/>
    <w:rsid w:val="00190D49"/>
    <w:rsid w:val="001E05AD"/>
    <w:rsid w:val="002C0488"/>
    <w:rsid w:val="002E3FF1"/>
    <w:rsid w:val="004852E8"/>
    <w:rsid w:val="004E3985"/>
    <w:rsid w:val="006648E4"/>
    <w:rsid w:val="006E19F7"/>
    <w:rsid w:val="00781889"/>
    <w:rsid w:val="008274EB"/>
    <w:rsid w:val="00881E8A"/>
    <w:rsid w:val="008B22DC"/>
    <w:rsid w:val="009A0D77"/>
    <w:rsid w:val="00A127E5"/>
    <w:rsid w:val="00B44637"/>
    <w:rsid w:val="00B7287E"/>
    <w:rsid w:val="00C662A0"/>
    <w:rsid w:val="00D01F13"/>
    <w:rsid w:val="00D47093"/>
    <w:rsid w:val="00E73265"/>
    <w:rsid w:val="00F83C64"/>
    <w:rsid w:val="00FA106D"/>
    <w:rsid w:val="00FA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D863C-3902-4BF2-AD64-7D191D41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2A0"/>
    <w:rPr>
      <w:rFonts w:ascii="Times New Roman" w:hAnsi="Times New Roman" w:cs="Times New Roman"/>
      <w:sz w:val="24"/>
      <w:szCs w:val="24"/>
    </w:rPr>
  </w:style>
  <w:style w:type="character" w:styleId="Hyperlink">
    <w:name w:val="Hyperlink"/>
    <w:basedOn w:val="DefaultParagraphFont"/>
    <w:uiPriority w:val="99"/>
    <w:unhideWhenUsed/>
    <w:rsid w:val="00C662A0"/>
    <w:rPr>
      <w:color w:val="0563C1" w:themeColor="hyperlink"/>
      <w:u w:val="single"/>
    </w:rPr>
  </w:style>
  <w:style w:type="paragraph" w:customStyle="1" w:styleId="Default">
    <w:name w:val="Default"/>
    <w:rsid w:val="006E19F7"/>
    <w:pPr>
      <w:autoSpaceDE w:val="0"/>
      <w:autoSpaceDN w:val="0"/>
      <w:adjustRightInd w:val="0"/>
      <w:spacing w:after="0" w:line="240" w:lineRule="auto"/>
    </w:pPr>
    <w:rPr>
      <w:rFonts w:ascii="DaxlinePro-Regular" w:hAnsi="DaxlinePro-Regular" w:cs="DaxlinePro-Regular"/>
      <w:color w:val="000000"/>
      <w:sz w:val="24"/>
      <w:szCs w:val="24"/>
    </w:rPr>
  </w:style>
  <w:style w:type="paragraph" w:styleId="ListParagraph">
    <w:name w:val="List Paragraph"/>
    <w:basedOn w:val="Normal"/>
    <w:uiPriority w:val="34"/>
    <w:qFormat/>
    <w:rsid w:val="008274EB"/>
    <w:pPr>
      <w:ind w:left="720"/>
      <w:contextualSpacing/>
    </w:pPr>
  </w:style>
  <w:style w:type="table" w:styleId="TableGrid">
    <w:name w:val="Table Grid"/>
    <w:basedOn w:val="TableNormal"/>
    <w:uiPriority w:val="39"/>
    <w:rsid w:val="0048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Default"/>
    <w:next w:val="Default"/>
    <w:uiPriority w:val="99"/>
    <w:rsid w:val="004852E8"/>
    <w:pPr>
      <w:spacing w:line="185" w:lineRule="atLeast"/>
    </w:pPr>
    <w:rPr>
      <w:rFonts w:ascii="DaxlinePro-Bold" w:eastAsia="DaxlinePro-Bold" w:hAnsiTheme="minorHAnsi" w:cstheme="minorBidi"/>
      <w:color w:val="auto"/>
    </w:rPr>
  </w:style>
  <w:style w:type="character" w:customStyle="1" w:styleId="A20">
    <w:name w:val="A20"/>
    <w:uiPriority w:val="99"/>
    <w:rsid w:val="004852E8"/>
    <w:rPr>
      <w:rFonts w:cs="DaxlinePro-Bold"/>
      <w:color w:val="000000"/>
      <w:sz w:val="17"/>
      <w:szCs w:val="17"/>
    </w:rPr>
  </w:style>
  <w:style w:type="paragraph" w:customStyle="1" w:styleId="Pa10">
    <w:name w:val="Pa10"/>
    <w:basedOn w:val="Default"/>
    <w:next w:val="Default"/>
    <w:uiPriority w:val="99"/>
    <w:rsid w:val="004852E8"/>
    <w:pPr>
      <w:spacing w:line="185" w:lineRule="atLeast"/>
    </w:pPr>
    <w:rPr>
      <w:rFonts w:ascii="DaxlinePro-Bold" w:eastAsia="DaxlinePro-Bold" w:hAnsiTheme="minorHAnsi" w:cstheme="minorBidi"/>
      <w:color w:val="auto"/>
    </w:rPr>
  </w:style>
  <w:style w:type="paragraph" w:customStyle="1" w:styleId="Pa12">
    <w:name w:val="Pa12"/>
    <w:basedOn w:val="Default"/>
    <w:next w:val="Default"/>
    <w:uiPriority w:val="99"/>
    <w:rsid w:val="00881E8A"/>
    <w:pPr>
      <w:spacing w:line="185" w:lineRule="atLeast"/>
    </w:pPr>
    <w:rPr>
      <w:rFonts w:cstheme="minorBidi"/>
      <w:color w:val="auto"/>
    </w:rPr>
  </w:style>
  <w:style w:type="paragraph" w:styleId="Header">
    <w:name w:val="header"/>
    <w:basedOn w:val="Normal"/>
    <w:link w:val="HeaderChar"/>
    <w:uiPriority w:val="99"/>
    <w:unhideWhenUsed/>
    <w:rsid w:val="002E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FF1"/>
  </w:style>
  <w:style w:type="paragraph" w:styleId="Footer">
    <w:name w:val="footer"/>
    <w:basedOn w:val="Normal"/>
    <w:link w:val="FooterChar"/>
    <w:uiPriority w:val="99"/>
    <w:unhideWhenUsed/>
    <w:rsid w:val="002E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31700">
      <w:bodyDiv w:val="1"/>
      <w:marLeft w:val="0"/>
      <w:marRight w:val="0"/>
      <w:marTop w:val="0"/>
      <w:marBottom w:val="0"/>
      <w:divBdr>
        <w:top w:val="none" w:sz="0" w:space="0" w:color="auto"/>
        <w:left w:val="none" w:sz="0" w:space="0" w:color="auto"/>
        <w:bottom w:val="none" w:sz="0" w:space="0" w:color="auto"/>
        <w:right w:val="none" w:sz="0" w:space="0" w:color="auto"/>
      </w:divBdr>
    </w:div>
    <w:div w:id="1597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europa.eu/en" TargetMode="External"/><Relationship Id="rId13" Type="http://schemas.openxmlformats.org/officeDocument/2006/relationships/hyperlink" Target="http://www.kezenfogva.hu/" TargetMode="External"/><Relationship Id="rId18" Type="http://schemas.openxmlformats.org/officeDocument/2006/relationships/hyperlink" Target="https://www.disabilitymatters.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edarfoundation.org/en/" TargetMode="External"/><Relationship Id="rId7" Type="http://schemas.openxmlformats.org/officeDocument/2006/relationships/endnotes" Target="endnotes.xml"/><Relationship Id="rId12" Type="http://schemas.openxmlformats.org/officeDocument/2006/relationships/hyperlink" Target="https://emma-unantastbar.med.uni-rostock.de/" TargetMode="External"/><Relationship Id="rId17" Type="http://schemas.openxmlformats.org/officeDocument/2006/relationships/hyperlink" Target="http://www.yhd-drustvo.si/bontoncek-166.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nable.org.uk/" TargetMode="External"/><Relationship Id="rId20" Type="http://schemas.openxmlformats.org/officeDocument/2006/relationships/hyperlink" Target="https://www.rockandwaterprogram.com/"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ti.gov.lv/lat/draudziga_skola/" TargetMode="External"/><Relationship Id="rId23" Type="http://schemas.openxmlformats.org/officeDocument/2006/relationships/hyperlink" Target="https://www.brackediakoni.se/personlig-koordinator" TargetMode="External"/><Relationship Id="rId28" Type="http://schemas.openxmlformats.org/officeDocument/2006/relationships/customXml" Target="../customXml/item2.xml"/><Relationship Id="rId10" Type="http://schemas.openxmlformats.org/officeDocument/2006/relationships/hyperlink" Target="http://fra.europa.eu/en/publication/2015/children-disabilities-violence" TargetMode="External"/><Relationship Id="rId19" Type="http://schemas.openxmlformats.org/officeDocument/2006/relationships/hyperlink" Target="http://www.inclusion-europe.com/topside/index.php" TargetMode="External"/><Relationship Id="rId4" Type="http://schemas.openxmlformats.org/officeDocument/2006/relationships/settings" Target="settings.xml"/><Relationship Id="rId9" Type="http://schemas.openxmlformats.org/officeDocument/2006/relationships/hyperlink" Target="http://fra.europa.eu/en/publication/2015/children-disabilities-violence" TargetMode="External"/><Relationship Id="rId14" Type="http://schemas.openxmlformats.org/officeDocument/2006/relationships/hyperlink" Target="http://www.staysafe.ie/" TargetMode="External"/><Relationship Id="rId22" Type="http://schemas.openxmlformats.org/officeDocument/2006/relationships/hyperlink" Target="https://www.dgs.pt/ms/12/default.aspx?id=5525"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DD06B1-4287-422B-A05D-2406F0DD1467}">
  <ds:schemaRefs>
    <ds:schemaRef ds:uri="http://schemas.openxmlformats.org/officeDocument/2006/bibliography"/>
  </ds:schemaRefs>
</ds:datastoreItem>
</file>

<file path=customXml/itemProps2.xml><?xml version="1.0" encoding="utf-8"?>
<ds:datastoreItem xmlns:ds="http://schemas.openxmlformats.org/officeDocument/2006/customXml" ds:itemID="{6EDC45F7-98AB-4315-88ED-8987F7104186}"/>
</file>

<file path=customXml/itemProps3.xml><?xml version="1.0" encoding="utf-8"?>
<ds:datastoreItem xmlns:ds="http://schemas.openxmlformats.org/officeDocument/2006/customXml" ds:itemID="{11E819E0-1F80-4AAD-BEDD-995B9C8E82B7}"/>
</file>

<file path=customXml/itemProps4.xml><?xml version="1.0" encoding="utf-8"?>
<ds:datastoreItem xmlns:ds="http://schemas.openxmlformats.org/officeDocument/2006/customXml" ds:itemID="{CE742B6D-2EA9-4094-B194-06477775C159}"/>
</file>

<file path=docProps/app.xml><?xml version="1.0" encoding="utf-8"?>
<Properties xmlns="http://schemas.openxmlformats.org/officeDocument/2006/extended-properties" xmlns:vt="http://schemas.openxmlformats.org/officeDocument/2006/docPropsVTypes">
  <Template>Normal.dotm</Template>
  <TotalTime>1</TotalTime>
  <Pages>4</Pages>
  <Words>1831</Words>
  <Characters>10440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EU Agency for Fundamental Rights</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MATYOK Fanni (FRA)</dc:creator>
  <cp:keywords/>
  <dc:description/>
  <cp:lastModifiedBy>OHCHR Child Rights</cp:lastModifiedBy>
  <cp:revision>2</cp:revision>
  <dcterms:created xsi:type="dcterms:W3CDTF">2018-10-10T12:54:00Z</dcterms:created>
  <dcterms:modified xsi:type="dcterms:W3CDTF">2018-10-10T12:54:00Z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