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BD390" w14:textId="4AF7DA4C" w:rsidR="00E16777" w:rsidRPr="0009709E" w:rsidRDefault="003F1990" w:rsidP="007A6A50">
      <w:pPr>
        <w:pStyle w:val="Ttulo1"/>
        <w:jc w:val="center"/>
        <w:rPr>
          <w:b/>
          <w:bCs/>
          <w:sz w:val="28"/>
          <w:szCs w:val="28"/>
        </w:rPr>
      </w:pPr>
      <w:r w:rsidRPr="0009709E">
        <w:rPr>
          <w:b/>
          <w:bCs/>
          <w:sz w:val="28"/>
          <w:szCs w:val="28"/>
        </w:rPr>
        <w:t xml:space="preserve">Contribuciones al </w:t>
      </w:r>
      <w:r w:rsidR="00E16777" w:rsidRPr="0009709E">
        <w:rPr>
          <w:b/>
          <w:bCs/>
          <w:sz w:val="28"/>
          <w:szCs w:val="28"/>
        </w:rPr>
        <w:t xml:space="preserve">Cuestionario </w:t>
      </w:r>
      <w:r w:rsidR="0009709E" w:rsidRPr="0009709E">
        <w:rPr>
          <w:b/>
          <w:bCs/>
          <w:sz w:val="28"/>
          <w:szCs w:val="28"/>
        </w:rPr>
        <w:t>sobre Derechos Humanos y Cambio Climático</w:t>
      </w:r>
    </w:p>
    <w:p w14:paraId="0FD02F4E" w14:textId="77777777" w:rsidR="00E16777" w:rsidRDefault="00E16777" w:rsidP="004A2E51">
      <w:pPr>
        <w:pStyle w:val="Sinespaciado"/>
      </w:pPr>
    </w:p>
    <w:p w14:paraId="40B37DB5" w14:textId="77777777" w:rsidR="007A6A50" w:rsidRDefault="007A6A50" w:rsidP="00661C2A">
      <w:pPr>
        <w:pStyle w:val="Sinespaciado"/>
        <w:spacing w:after="0"/>
        <w:jc w:val="center"/>
        <w:rPr>
          <w:i/>
          <w:iCs/>
        </w:rPr>
      </w:pPr>
      <w:r w:rsidRPr="007A6A50">
        <w:rPr>
          <w:i/>
          <w:iCs/>
        </w:rPr>
        <w:t>Oficina del Alto Comisionado de las Naciones Unidas para los Derechos Humanos</w:t>
      </w:r>
    </w:p>
    <w:p w14:paraId="40EA4F56" w14:textId="09EB2770" w:rsidR="007A6A50" w:rsidRPr="007A6A50" w:rsidRDefault="0009709E" w:rsidP="00661C2A">
      <w:pPr>
        <w:pStyle w:val="Sinespaciado"/>
        <w:spacing w:after="0"/>
        <w:jc w:val="center"/>
        <w:rPr>
          <w:i/>
          <w:iCs/>
        </w:rPr>
      </w:pPr>
      <w:r>
        <w:rPr>
          <w:i/>
          <w:iCs/>
        </w:rPr>
        <w:t>p</w:t>
      </w:r>
      <w:r w:rsidR="007A6A50" w:rsidRPr="007A6A50">
        <w:rPr>
          <w:i/>
          <w:iCs/>
        </w:rPr>
        <w:t>ara el Informe que presenta</w:t>
      </w:r>
      <w:r w:rsidR="003F1990">
        <w:rPr>
          <w:i/>
          <w:iCs/>
        </w:rPr>
        <w:t>rse</w:t>
      </w:r>
      <w:r w:rsidR="007A6A50" w:rsidRPr="007A6A50">
        <w:rPr>
          <w:i/>
          <w:iCs/>
        </w:rPr>
        <w:t xml:space="preserve"> en </w:t>
      </w:r>
      <w:r w:rsidR="007A6A50">
        <w:rPr>
          <w:i/>
          <w:iCs/>
        </w:rPr>
        <w:t>la</w:t>
      </w:r>
      <w:r w:rsidR="007A6A50" w:rsidRPr="007A6A50">
        <w:rPr>
          <w:i/>
          <w:iCs/>
        </w:rPr>
        <w:t xml:space="preserve"> 44° sesi</w:t>
      </w:r>
      <w:r w:rsidR="007A6A50">
        <w:rPr>
          <w:i/>
          <w:iCs/>
        </w:rPr>
        <w:t>ón</w:t>
      </w:r>
      <w:r w:rsidR="007A6A50" w:rsidRPr="007A6A50">
        <w:rPr>
          <w:i/>
          <w:iCs/>
        </w:rPr>
        <w:t xml:space="preserve"> del</w:t>
      </w:r>
      <w:r w:rsidR="003F1990">
        <w:rPr>
          <w:i/>
          <w:iCs/>
        </w:rPr>
        <w:t xml:space="preserve"> </w:t>
      </w:r>
      <w:r w:rsidR="007A6A50" w:rsidRPr="007A6A50">
        <w:rPr>
          <w:i/>
          <w:iCs/>
        </w:rPr>
        <w:t>Consejo de Derechos Humanos</w:t>
      </w:r>
    </w:p>
    <w:p w14:paraId="72A9A829" w14:textId="77777777" w:rsidR="004A2E51" w:rsidRDefault="004A2E51" w:rsidP="00661C2A">
      <w:pPr>
        <w:pStyle w:val="Sinespaciado"/>
      </w:pPr>
    </w:p>
    <w:p w14:paraId="2B5DE052" w14:textId="75C71E4C" w:rsidR="003F1990" w:rsidRDefault="003F1990" w:rsidP="00661C2A">
      <w:pPr>
        <w:pStyle w:val="Sinespaciado"/>
      </w:pPr>
      <w:r>
        <w:t xml:space="preserve">El presente documento constituye la </w:t>
      </w:r>
      <w:r w:rsidR="007A6A50" w:rsidRPr="007A6A50">
        <w:t>respuesta</w:t>
      </w:r>
      <w:r>
        <w:t xml:space="preserve"> del </w:t>
      </w:r>
      <w:r w:rsidRPr="003F1990">
        <w:t>Estado de Honduras</w:t>
      </w:r>
      <w:r w:rsidR="007A6A50" w:rsidRPr="007A6A50">
        <w:t xml:space="preserve"> al </w:t>
      </w:r>
      <w:r>
        <w:t>C</w:t>
      </w:r>
      <w:r w:rsidR="007A6A50" w:rsidRPr="007A6A50">
        <w:t xml:space="preserve">uestionario </w:t>
      </w:r>
      <w:r w:rsidRPr="003F1990">
        <w:t>sobre derechos humanos y cambio climático en relació</w:t>
      </w:r>
      <w:bookmarkStart w:id="0" w:name="_GoBack"/>
      <w:bookmarkEnd w:id="0"/>
      <w:r w:rsidRPr="003F1990">
        <w:t>n con la Resolución del Consejo de Derechos Humanos A/HRC/RES/41/21</w:t>
      </w:r>
      <w:r w:rsidR="00B23F63">
        <w:t>.</w:t>
      </w:r>
    </w:p>
    <w:p w14:paraId="72E24C48" w14:textId="77777777" w:rsidR="003D6F99" w:rsidRDefault="003D6F99" w:rsidP="00661C2A">
      <w:pPr>
        <w:pStyle w:val="Sinespaciado"/>
      </w:pPr>
    </w:p>
    <w:p w14:paraId="3463E9A2" w14:textId="77777777" w:rsidR="0009709E" w:rsidRDefault="0009709E" w:rsidP="00661C2A">
      <w:pPr>
        <w:pStyle w:val="Ttulo2"/>
      </w:pPr>
      <w:r w:rsidRPr="0009709E">
        <w:t>S</w:t>
      </w:r>
      <w:r w:rsidR="000F5862" w:rsidRPr="0009709E">
        <w:t xml:space="preserve">obre </w:t>
      </w:r>
      <w:r w:rsidR="00E16777" w:rsidRPr="0009709E">
        <w:t>los impactos de los efectos adversos del cambio climático en el disfrute pleno y efectivo de los derechos humanos de las personas con discapacidad</w:t>
      </w:r>
      <w:r w:rsidRPr="0009709E">
        <w:t>.</w:t>
      </w:r>
    </w:p>
    <w:p w14:paraId="6FC92D7A" w14:textId="67D35F7C" w:rsidR="0009709E" w:rsidRPr="004A2E51" w:rsidRDefault="0009709E" w:rsidP="00661C2A">
      <w:pPr>
        <w:pStyle w:val="Sinespaciado"/>
      </w:pPr>
      <w:r w:rsidRPr="004A2E51">
        <w:t>De acuerdo a la información proporcionada por la Comisión Permanente de Contingencias (COPECO)</w:t>
      </w:r>
      <w:r w:rsidR="00EA5CED" w:rsidRPr="004A2E51">
        <w:t xml:space="preserve"> </w:t>
      </w:r>
      <w:r w:rsidRPr="004A2E51">
        <w:t>e</w:t>
      </w:r>
      <w:r w:rsidR="00EA5CED" w:rsidRPr="004A2E51">
        <w:t xml:space="preserve">n </w:t>
      </w:r>
      <w:r w:rsidR="00B44448" w:rsidRPr="004A2E51">
        <w:t>Honduras el 50% de los desastres están asociados a eventos hidrometeorológicos</w:t>
      </w:r>
      <w:r w:rsidR="00B23F63" w:rsidRPr="004A2E51">
        <w:t xml:space="preserve">, </w:t>
      </w:r>
      <w:r w:rsidR="00B44448" w:rsidRPr="004A2E51">
        <w:t xml:space="preserve">y </w:t>
      </w:r>
      <w:r w:rsidR="00B23F63" w:rsidRPr="004A2E51">
        <w:t xml:space="preserve">se presentan </w:t>
      </w:r>
      <w:r w:rsidR="009B23FF" w:rsidRPr="004A2E51">
        <w:t>con mayor frecuencia tormentas</w:t>
      </w:r>
      <w:r w:rsidR="00BA2356" w:rsidRPr="004A2E51">
        <w:t xml:space="preserve"> tropicales/</w:t>
      </w:r>
      <w:r w:rsidR="009B23FF" w:rsidRPr="004A2E51">
        <w:t>huracanes</w:t>
      </w:r>
      <w:r w:rsidR="00BA2356" w:rsidRPr="004A2E51">
        <w:t>,</w:t>
      </w:r>
      <w:r w:rsidR="009B23FF" w:rsidRPr="004A2E51">
        <w:t xml:space="preserve"> inundaciones</w:t>
      </w:r>
      <w:r w:rsidR="00B23F63" w:rsidRPr="004A2E51">
        <w:t>,</w:t>
      </w:r>
      <w:r w:rsidR="009B23FF" w:rsidRPr="004A2E51">
        <w:t xml:space="preserve"> deslizamientos,</w:t>
      </w:r>
      <w:r w:rsidR="00B44448" w:rsidRPr="004A2E51">
        <w:t xml:space="preserve"> además de </w:t>
      </w:r>
      <w:r w:rsidR="009B23FF" w:rsidRPr="004A2E51">
        <w:t xml:space="preserve">sequias e incendios forestales. </w:t>
      </w:r>
      <w:r w:rsidR="00B44448" w:rsidRPr="004A2E51">
        <w:t>Los eventos que</w:t>
      </w:r>
      <w:r w:rsidR="00EA5CED" w:rsidRPr="004A2E51">
        <w:t xml:space="preserve"> han </w:t>
      </w:r>
      <w:r w:rsidR="00B44448" w:rsidRPr="004A2E51">
        <w:t>registra</w:t>
      </w:r>
      <w:r w:rsidR="00EA5CED" w:rsidRPr="004A2E51">
        <w:t>do</w:t>
      </w:r>
      <w:r w:rsidR="00B44448" w:rsidRPr="004A2E51">
        <w:t xml:space="preserve"> mayor </w:t>
      </w:r>
      <w:r w:rsidR="00EA5CED" w:rsidRPr="004A2E51">
        <w:t>número</w:t>
      </w:r>
      <w:r w:rsidR="00B44448" w:rsidRPr="004A2E51">
        <w:t xml:space="preserve"> de perdida de vida son la inundaciones y tormentas tropicales en un 90% de ocurrencia y más del 80% de viviendas destruidas se</w:t>
      </w:r>
      <w:r w:rsidR="00EA5CED" w:rsidRPr="004A2E51">
        <w:t xml:space="preserve"> han</w:t>
      </w:r>
      <w:r w:rsidR="00B44448" w:rsidRPr="004A2E51">
        <w:t xml:space="preserve"> registra</w:t>
      </w:r>
      <w:r w:rsidR="00EA5CED" w:rsidRPr="004A2E51">
        <w:t>do durante</w:t>
      </w:r>
      <w:r w:rsidR="00B44448" w:rsidRPr="004A2E51">
        <w:t xml:space="preserve"> las inundaciones</w:t>
      </w:r>
      <w:r w:rsidR="00B44448" w:rsidRPr="004A2E51">
        <w:rPr>
          <w:rStyle w:val="Refdenotaalpie"/>
        </w:rPr>
        <w:footnoteReference w:id="1"/>
      </w:r>
      <w:r w:rsidR="00B44448" w:rsidRPr="004A2E51">
        <w:t>.</w:t>
      </w:r>
    </w:p>
    <w:p w14:paraId="163998D0" w14:textId="50B1FD42" w:rsidR="0009709E" w:rsidRPr="004A2E51" w:rsidRDefault="004A2E51" w:rsidP="00661C2A">
      <w:pPr>
        <w:pStyle w:val="Sinespaciado"/>
      </w:pPr>
      <w:r w:rsidRPr="004A2E51">
        <w:t>L</w:t>
      </w:r>
      <w:r w:rsidR="0009709E" w:rsidRPr="004A2E51">
        <w:t xml:space="preserve">as lluvias y sequías extendidas por periodos de tiempo inusuales han afectado tanto a la población urbana y rural, afectando </w:t>
      </w:r>
      <w:r w:rsidRPr="004A2E51">
        <w:t xml:space="preserve">principalmente el derecho a la vida, </w:t>
      </w:r>
      <w:r w:rsidR="0009709E" w:rsidRPr="004A2E51">
        <w:t>el acceso al agua, la seguridad alimentaria, la salud</w:t>
      </w:r>
      <w:r w:rsidRPr="004A2E51">
        <w:t xml:space="preserve"> y </w:t>
      </w:r>
      <w:r w:rsidR="0009709E" w:rsidRPr="004A2E51">
        <w:t xml:space="preserve">la vivienda, </w:t>
      </w:r>
      <w:r w:rsidRPr="004A2E51">
        <w:t xml:space="preserve">frente a estas situaciones resultan </w:t>
      </w:r>
      <w:r w:rsidR="0009709E" w:rsidRPr="004A2E51">
        <w:t xml:space="preserve">especialmente </w:t>
      </w:r>
      <w:r w:rsidRPr="004A2E51">
        <w:t xml:space="preserve">vulnerables los </w:t>
      </w:r>
      <w:r w:rsidR="0009709E" w:rsidRPr="004A2E51">
        <w:t>niños, personas con discapacidad y adultos mayores</w:t>
      </w:r>
      <w:r w:rsidRPr="004A2E51">
        <w:t>.</w:t>
      </w:r>
    </w:p>
    <w:p w14:paraId="29DE9EB8" w14:textId="1521946D" w:rsidR="00BC663A" w:rsidRDefault="004A2E51" w:rsidP="00661C2A">
      <w:pPr>
        <w:spacing w:line="276" w:lineRule="auto"/>
        <w:jc w:val="both"/>
        <w:rPr>
          <w:iCs/>
        </w:rPr>
      </w:pPr>
      <w:r>
        <w:rPr>
          <w:iCs/>
        </w:rPr>
        <w:t>E</w:t>
      </w:r>
      <w:r w:rsidR="00A12DF0" w:rsidRPr="00A12DF0">
        <w:rPr>
          <w:iCs/>
        </w:rPr>
        <w:t xml:space="preserve">n cuanto a la seguridad alimentaria, esta también se ve limitada a consecuencia de </w:t>
      </w:r>
      <w:r w:rsidR="00EA5CED" w:rsidRPr="00A12DF0">
        <w:rPr>
          <w:iCs/>
        </w:rPr>
        <w:t>las inundaciones</w:t>
      </w:r>
      <w:r w:rsidR="00A12DF0" w:rsidRPr="00A12DF0">
        <w:rPr>
          <w:iCs/>
        </w:rPr>
        <w:t xml:space="preserve"> </w:t>
      </w:r>
      <w:r w:rsidR="00EA5CED">
        <w:rPr>
          <w:iCs/>
        </w:rPr>
        <w:t xml:space="preserve">o las sequias </w:t>
      </w:r>
      <w:r w:rsidR="00A12DF0" w:rsidRPr="00A12DF0">
        <w:rPr>
          <w:iCs/>
        </w:rPr>
        <w:t xml:space="preserve">que </w:t>
      </w:r>
      <w:r>
        <w:rPr>
          <w:iCs/>
        </w:rPr>
        <w:t xml:space="preserve">afectan </w:t>
      </w:r>
      <w:r w:rsidR="00A12DF0" w:rsidRPr="00A12DF0">
        <w:rPr>
          <w:iCs/>
        </w:rPr>
        <w:t xml:space="preserve">la región, </w:t>
      </w:r>
      <w:r w:rsidR="00EA5CED">
        <w:rPr>
          <w:iCs/>
        </w:rPr>
        <w:t xml:space="preserve">lo que implica en la </w:t>
      </w:r>
      <w:r w:rsidR="00A12DF0" w:rsidRPr="00A12DF0">
        <w:rPr>
          <w:iCs/>
        </w:rPr>
        <w:t>disminu</w:t>
      </w:r>
      <w:r w:rsidR="00EA5CED">
        <w:rPr>
          <w:iCs/>
        </w:rPr>
        <w:t>ción</w:t>
      </w:r>
      <w:r w:rsidR="00A12DF0" w:rsidRPr="00A12DF0">
        <w:rPr>
          <w:iCs/>
        </w:rPr>
        <w:t xml:space="preserve"> o pierde en su totalidad </w:t>
      </w:r>
      <w:r w:rsidR="00EA5CED">
        <w:rPr>
          <w:iCs/>
        </w:rPr>
        <w:t xml:space="preserve">de </w:t>
      </w:r>
      <w:r w:rsidR="00A12DF0" w:rsidRPr="00A12DF0">
        <w:rPr>
          <w:iCs/>
        </w:rPr>
        <w:t xml:space="preserve">la productividad agrícola, que </w:t>
      </w:r>
      <w:r>
        <w:rPr>
          <w:iCs/>
        </w:rPr>
        <w:t xml:space="preserve">afecta negativamente la población rural del país que se dedica al campo, respecto del </w:t>
      </w:r>
      <w:r w:rsidR="00A12DF0" w:rsidRPr="004A2E51">
        <w:rPr>
          <w:iCs/>
        </w:rPr>
        <w:t xml:space="preserve">acceso al agua potable </w:t>
      </w:r>
      <w:r>
        <w:rPr>
          <w:iCs/>
        </w:rPr>
        <w:t xml:space="preserve">esta ha </w:t>
      </w:r>
      <w:r w:rsidR="00A12DF0" w:rsidRPr="004A2E51">
        <w:rPr>
          <w:iCs/>
        </w:rPr>
        <w:t>disminuido, producto de la contaminación de las fuentes</w:t>
      </w:r>
      <w:r w:rsidR="00EA5CED" w:rsidRPr="004A2E51">
        <w:rPr>
          <w:iCs/>
        </w:rPr>
        <w:t xml:space="preserve"> acuíferas</w:t>
      </w:r>
      <w:r w:rsidR="00A12DF0" w:rsidRPr="004A2E51">
        <w:rPr>
          <w:iCs/>
        </w:rPr>
        <w:t xml:space="preserve">, los eventos climatológicos extremos como prolongadas sequias, y el aumento de la población. </w:t>
      </w:r>
      <w:r>
        <w:rPr>
          <w:iCs/>
        </w:rPr>
        <w:t>Las recientes sequias en la capital han afectado de manera desproporcionada a l</w:t>
      </w:r>
      <w:r w:rsidR="00A12DF0" w:rsidRPr="004A2E51">
        <w:rPr>
          <w:iCs/>
        </w:rPr>
        <w:t>as personas en situación de pobreza</w:t>
      </w:r>
      <w:r w:rsidR="0094275C">
        <w:rPr>
          <w:iCs/>
        </w:rPr>
        <w:t>.</w:t>
      </w:r>
    </w:p>
    <w:p w14:paraId="5C7BBC3E" w14:textId="75CE09C6" w:rsidR="00A12DF0" w:rsidRDefault="0094275C" w:rsidP="00661C2A">
      <w:pPr>
        <w:spacing w:line="276" w:lineRule="auto"/>
        <w:jc w:val="both"/>
        <w:rPr>
          <w:iCs/>
        </w:rPr>
      </w:pPr>
      <w:r>
        <w:rPr>
          <w:iCs/>
        </w:rPr>
        <w:t xml:space="preserve">Un ambiente deteriorado y con escasez de agua expone gravemente </w:t>
      </w:r>
      <w:r w:rsidR="00A12DF0" w:rsidRPr="0094275C">
        <w:rPr>
          <w:iCs/>
        </w:rPr>
        <w:t xml:space="preserve">a la </w:t>
      </w:r>
      <w:r>
        <w:rPr>
          <w:iCs/>
        </w:rPr>
        <w:t xml:space="preserve">población a la </w:t>
      </w:r>
      <w:r w:rsidR="00A12DF0" w:rsidRPr="0094275C">
        <w:rPr>
          <w:iCs/>
        </w:rPr>
        <w:t>transmisión de patógenos, los cuales son los principales detonadores de enfermedades infecciosas o epidemias.</w:t>
      </w:r>
    </w:p>
    <w:p w14:paraId="7E86F692" w14:textId="3E8B2F2C" w:rsidR="009E00E5" w:rsidRPr="0094275C" w:rsidRDefault="0094275C" w:rsidP="00661C2A">
      <w:pPr>
        <w:pStyle w:val="Ttulo2"/>
      </w:pPr>
      <w:r w:rsidRPr="0094275C">
        <w:lastRenderedPageBreak/>
        <w:t xml:space="preserve">Sobre </w:t>
      </w:r>
      <w:r w:rsidR="000A235C" w:rsidRPr="0094275C">
        <w:t>la legislación, las políticas y otras medidas relevantes m</w:t>
      </w:r>
      <w:r w:rsidR="000A4A5D" w:rsidRPr="0094275C">
        <w:t>itigar</w:t>
      </w:r>
      <w:r w:rsidR="000A235C" w:rsidRPr="0094275C">
        <w:t xml:space="preserve"> y adaptarse al cambio climático que garantice el disfrute pleno y efectivo de los derechos</w:t>
      </w:r>
    </w:p>
    <w:p w14:paraId="404C6448" w14:textId="78FFBF9B" w:rsidR="00AA4A2D" w:rsidRPr="0094275C" w:rsidRDefault="00A57C1C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94275C">
        <w:t xml:space="preserve">La </w:t>
      </w:r>
      <w:r w:rsidR="00AA4A2D" w:rsidRPr="0094275C">
        <w:t>Ley General del Ambiente</w:t>
      </w:r>
      <w:r w:rsidR="00F664A3">
        <w:t>,</w:t>
      </w:r>
    </w:p>
    <w:p w14:paraId="45BE8D71" w14:textId="6FAA72B7" w:rsidR="0094275C" w:rsidRDefault="0094275C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>Ley de Cambio Climático</w:t>
      </w:r>
      <w:r w:rsidR="009C6FCE">
        <w:rPr>
          <w:rStyle w:val="Refdenotaalpie"/>
        </w:rPr>
        <w:footnoteReference w:id="2"/>
      </w:r>
      <w:r w:rsidR="00F664A3">
        <w:t>,</w:t>
      </w:r>
    </w:p>
    <w:p w14:paraId="74BDECCE" w14:textId="02F44291" w:rsidR="0069317F" w:rsidRDefault="0069317F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94275C">
        <w:t>Ley de Visión de País (2010-2038) y el Plan de Nación (2010-2022)</w:t>
      </w:r>
      <w:r w:rsidRPr="0094275C">
        <w:rPr>
          <w:rStyle w:val="Refdenotaalpie"/>
        </w:rPr>
        <w:footnoteReference w:id="3"/>
      </w:r>
      <w:r w:rsidR="00F664A3">
        <w:t>,</w:t>
      </w:r>
    </w:p>
    <w:p w14:paraId="35328011" w14:textId="7FEE95A7" w:rsidR="00F105D9" w:rsidRDefault="00F105D9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>Ley de</w:t>
      </w:r>
      <w:r w:rsidR="003B6DC3">
        <w:t>l</w:t>
      </w:r>
      <w:r>
        <w:t xml:space="preserve"> </w:t>
      </w:r>
      <w:r w:rsidR="003B6DC3" w:rsidRPr="003B6DC3">
        <w:t>Sistema Nacional de Gestión Integral de Riesgos (SINAGER)</w:t>
      </w:r>
      <w:r w:rsidR="00A709FE">
        <w:rPr>
          <w:rStyle w:val="Refdenotaalpie"/>
        </w:rPr>
        <w:footnoteReference w:id="4"/>
      </w:r>
      <w:r w:rsidR="00F664A3">
        <w:t>,</w:t>
      </w:r>
    </w:p>
    <w:p w14:paraId="6D67CEEF" w14:textId="573A770F" w:rsidR="00C77EEA" w:rsidRDefault="00C77EEA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94275C">
        <w:t>Ley de Equidad y Desarrollo Integral para las Personas con Discapacidad</w:t>
      </w:r>
      <w:r w:rsidR="0094275C">
        <w:rPr>
          <w:rStyle w:val="Refdenotaalpie"/>
        </w:rPr>
        <w:footnoteReference w:id="5"/>
      </w:r>
      <w:r w:rsidR="00F664A3">
        <w:t>,</w:t>
      </w:r>
    </w:p>
    <w:p w14:paraId="427AA0F5" w14:textId="6A5A263E" w:rsidR="0069317F" w:rsidRDefault="0094275C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 xml:space="preserve">El </w:t>
      </w:r>
      <w:r w:rsidR="001B7DAC">
        <w:t xml:space="preserve">Sistema de la Integración Centroamericana aprobó </w:t>
      </w:r>
      <w:r w:rsidR="00F664A3">
        <w:t>l</w:t>
      </w:r>
      <w:r w:rsidR="001B7DAC" w:rsidRPr="0094275C">
        <w:t>a Política Centroamericana de Gestión Integral de Riesgo de Desastres</w:t>
      </w:r>
      <w:r w:rsidR="00F664A3">
        <w:t>,</w:t>
      </w:r>
    </w:p>
    <w:p w14:paraId="7B6CBA8C" w14:textId="7A783869" w:rsidR="00F664A3" w:rsidRDefault="00F664A3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F664A3">
        <w:t>La Política Pública y Plan Nacional de Acción en Derechos Humanos (2013-2022)</w:t>
      </w:r>
      <w:r w:rsidR="002E4E2A">
        <w:rPr>
          <w:rStyle w:val="Refdenotaalpie"/>
        </w:rPr>
        <w:footnoteReference w:id="6"/>
      </w:r>
      <w:r>
        <w:t>,</w:t>
      </w:r>
    </w:p>
    <w:p w14:paraId="7A14A62A" w14:textId="6A12131E" w:rsidR="00F664A3" w:rsidRDefault="00F664A3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94275C">
        <w:t>La Agenda Nacional ODS</w:t>
      </w:r>
      <w:r>
        <w:rPr>
          <w:rStyle w:val="Refdenotaalpie"/>
        </w:rPr>
        <w:footnoteReference w:id="7"/>
      </w:r>
      <w:r w:rsidR="002E4E2A">
        <w:t>,</w:t>
      </w:r>
    </w:p>
    <w:p w14:paraId="757DB3D6" w14:textId="41CD48C0" w:rsidR="003B6DC3" w:rsidRPr="0094275C" w:rsidRDefault="00A57C1C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94275C">
        <w:t xml:space="preserve">Estrategia Nacional de </w:t>
      </w:r>
      <w:r w:rsidR="0094275C" w:rsidRPr="0094275C">
        <w:t xml:space="preserve">Cambio </w:t>
      </w:r>
      <w:r w:rsidRPr="0094275C">
        <w:t>Climático</w:t>
      </w:r>
      <w:r w:rsidR="0094275C">
        <w:rPr>
          <w:rStyle w:val="Refdenotaalpie"/>
        </w:rPr>
        <w:footnoteReference w:id="8"/>
      </w:r>
      <w:r w:rsidR="0094275C">
        <w:t>,</w:t>
      </w:r>
    </w:p>
    <w:p w14:paraId="453C6A3E" w14:textId="340064A6" w:rsidR="00524C68" w:rsidRDefault="00A8560E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>P</w:t>
      </w:r>
      <w:r w:rsidR="003B6DC3" w:rsidRPr="003B6DC3">
        <w:t>olítica</w:t>
      </w:r>
      <w:r w:rsidR="009F6407">
        <w:t xml:space="preserve"> de Estado</w:t>
      </w:r>
      <w:r w:rsidR="00524C68">
        <w:t xml:space="preserve"> </w:t>
      </w:r>
      <w:r w:rsidR="00F664A3">
        <w:t xml:space="preserve">y Plan </w:t>
      </w:r>
      <w:r w:rsidR="003B6DC3" w:rsidRPr="003B6DC3">
        <w:t>para la Gestión Integral del Riesgo</w:t>
      </w:r>
      <w:r w:rsidR="00524C68">
        <w:t xml:space="preserve"> en Honduras</w:t>
      </w:r>
      <w:r w:rsidR="00087196">
        <w:t xml:space="preserve"> (2017-2030)</w:t>
      </w:r>
      <w:r w:rsidR="002E4E2A">
        <w:rPr>
          <w:rStyle w:val="Refdenotaalpie"/>
        </w:rPr>
        <w:footnoteReference w:id="9"/>
      </w:r>
      <w:r w:rsidR="00087196">
        <w:t xml:space="preserve"> </w:t>
      </w:r>
      <w:r w:rsidR="00087196" w:rsidRPr="00087196">
        <w:t>armonizada con el Marco de SENDAI</w:t>
      </w:r>
      <w:r w:rsidR="00087196">
        <w:t>,</w:t>
      </w:r>
    </w:p>
    <w:p w14:paraId="5C09684E" w14:textId="77777777" w:rsidR="002E4E2A" w:rsidRDefault="002E4E2A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F664A3">
        <w:t>Política Pública para el Ejercicio de los Derechos de las Personas con Discapacidad y su Inclusión Social en Honduras</w:t>
      </w:r>
      <w:r>
        <w:rPr>
          <w:rStyle w:val="Refdenotaalpie"/>
        </w:rPr>
        <w:footnoteReference w:id="10"/>
      </w:r>
      <w:r>
        <w:t>.</w:t>
      </w:r>
    </w:p>
    <w:p w14:paraId="3DA3235D" w14:textId="72161DC1" w:rsidR="002E4E2A" w:rsidRDefault="002E4E2A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>Política de Seguridad Alimentaria y Nutricional</w:t>
      </w:r>
      <w:r>
        <w:rPr>
          <w:rStyle w:val="Refdenotaalpie"/>
        </w:rPr>
        <w:footnoteReference w:id="11"/>
      </w:r>
    </w:p>
    <w:p w14:paraId="05C2F4CA" w14:textId="2616395B" w:rsidR="00F664A3" w:rsidRDefault="00F664A3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 w:rsidRPr="004A2E51">
        <w:t>Estrategia Nacional de Adaptación al Cambio Climático para el Sector Agroalimentario</w:t>
      </w:r>
      <w:r>
        <w:t>,</w:t>
      </w:r>
    </w:p>
    <w:p w14:paraId="6B4D1377" w14:textId="2F352C4D" w:rsidR="00F664A3" w:rsidRDefault="00F664A3" w:rsidP="00661C2A">
      <w:pPr>
        <w:pStyle w:val="Prrafodelista"/>
        <w:numPr>
          <w:ilvl w:val="0"/>
          <w:numId w:val="8"/>
        </w:numPr>
        <w:spacing w:line="276" w:lineRule="auto"/>
        <w:ind w:left="709" w:hanging="425"/>
        <w:jc w:val="both"/>
      </w:pPr>
      <w:r>
        <w:t>Estrategia Nacional de Agricultura Familiar de Honduras 2017-2030</w:t>
      </w:r>
      <w:r w:rsidR="00BE7790">
        <w:t>.</w:t>
      </w:r>
    </w:p>
    <w:p w14:paraId="1B5D39B0" w14:textId="77777777" w:rsidR="00012281" w:rsidRDefault="00012281" w:rsidP="00661C2A">
      <w:pPr>
        <w:spacing w:line="276" w:lineRule="auto"/>
        <w:jc w:val="both"/>
      </w:pPr>
    </w:p>
    <w:p w14:paraId="320AC5E4" w14:textId="045432F3" w:rsidR="00FA5B31" w:rsidRDefault="00F664A3" w:rsidP="00661C2A">
      <w:pPr>
        <w:spacing w:line="276" w:lineRule="auto"/>
        <w:jc w:val="both"/>
      </w:pPr>
      <w:r>
        <w:t xml:space="preserve">Los mecanismos encargados del cumplimiento de estas normativas se encuentran alojados </w:t>
      </w:r>
      <w:r w:rsidR="002E4E2A">
        <w:t xml:space="preserve">principalmente </w:t>
      </w:r>
      <w:r>
        <w:t xml:space="preserve">en el Poder </w:t>
      </w:r>
      <w:r w:rsidR="002E4E2A">
        <w:t xml:space="preserve">Ejecutivo </w:t>
      </w:r>
      <w:r>
        <w:t xml:space="preserve">y se destacan </w:t>
      </w:r>
      <w:r w:rsidR="00DD719B" w:rsidRPr="00DD719B">
        <w:t>el Consejo Presidencial del Cambio Climático (Clima+)</w:t>
      </w:r>
      <w:r>
        <w:rPr>
          <w:rStyle w:val="Refdenotaalpie"/>
        </w:rPr>
        <w:footnoteReference w:id="12"/>
      </w:r>
      <w:r>
        <w:t xml:space="preserve"> y la Comisión Nacional de ODS</w:t>
      </w:r>
      <w:r w:rsidR="00691C79">
        <w:t xml:space="preserve"> (CN-ODS). A</w:t>
      </w:r>
      <w:r>
        <w:t xml:space="preserve">parte de estas instancias </w:t>
      </w:r>
      <w:r>
        <w:lastRenderedPageBreak/>
        <w:t>coordinadoras</w:t>
      </w:r>
      <w:r w:rsidR="00691C79">
        <w:t>,</w:t>
      </w:r>
      <w:r>
        <w:t xml:space="preserve"> las entidades ejecutoras se encuentran concentradas en la Secretaria de Agricultura y Ganadería, </w:t>
      </w:r>
      <w:r w:rsidR="00691C79">
        <w:t xml:space="preserve">la </w:t>
      </w:r>
      <w:r>
        <w:t>Secretaría de Recursos Naturales y Ambiente y</w:t>
      </w:r>
      <w:r w:rsidR="00691C79">
        <w:t>,</w:t>
      </w:r>
      <w:r>
        <w:t xml:space="preserve"> </w:t>
      </w:r>
      <w:r w:rsidR="00E435F7" w:rsidRPr="00E435F7">
        <w:t>la Comisión Permanente de Contingencias (COPECO)</w:t>
      </w:r>
      <w:r w:rsidR="00E435F7">
        <w:t xml:space="preserve"> para lo cual cuenta con </w:t>
      </w:r>
      <w:r w:rsidR="00691C79">
        <w:t xml:space="preserve">los </w:t>
      </w:r>
      <w:r w:rsidR="00691C79" w:rsidRPr="00691C79">
        <w:t>Comités de Emergencia Local (CODEL) y Comité de Emergencia Municipal (CODEM). En 2019 conformó y capacit</w:t>
      </w:r>
      <w:r w:rsidR="00691C79">
        <w:t>ó</w:t>
      </w:r>
      <w:r w:rsidR="00691C79" w:rsidRPr="00691C79">
        <w:t xml:space="preserve"> a 169 Comités CODEL, integrados por 1,859 personas.</w:t>
      </w:r>
      <w:r w:rsidR="00E435F7">
        <w:t xml:space="preserve"> </w:t>
      </w:r>
    </w:p>
    <w:p w14:paraId="2D3346A1" w14:textId="19707070" w:rsidR="004551D7" w:rsidRDefault="004551D7" w:rsidP="00661C2A">
      <w:pPr>
        <w:spacing w:line="276" w:lineRule="auto"/>
        <w:jc w:val="both"/>
      </w:pPr>
      <w:r>
        <w:t xml:space="preserve">Además, en </w:t>
      </w:r>
      <w:r w:rsidRPr="004551D7">
        <w:t>2016 entr</w:t>
      </w:r>
      <w:r>
        <w:t>ó</w:t>
      </w:r>
      <w:r w:rsidRPr="004551D7">
        <w:t xml:space="preserve"> en funcionamiento el Centro Nacional de Estudios Atmosféricos, Oceanográficos y Sísmicos (CENAOS) de COPECO</w:t>
      </w:r>
      <w:r>
        <w:t>.</w:t>
      </w:r>
    </w:p>
    <w:p w14:paraId="09963FF3" w14:textId="77777777" w:rsidR="004551D7" w:rsidRDefault="004551D7" w:rsidP="00497D28">
      <w:pPr>
        <w:jc w:val="both"/>
      </w:pPr>
    </w:p>
    <w:p w14:paraId="76BBC32F" w14:textId="2579D412" w:rsidR="00FA5B31" w:rsidRDefault="00FA5B31" w:rsidP="00661C2A">
      <w:pPr>
        <w:spacing w:line="276" w:lineRule="auto"/>
        <w:jc w:val="both"/>
        <w:rPr>
          <w:b/>
          <w:bCs/>
          <w:i/>
          <w:iCs/>
        </w:rPr>
      </w:pPr>
      <w:r w:rsidRPr="00FA5B31">
        <w:rPr>
          <w:b/>
          <w:bCs/>
          <w:i/>
          <w:iCs/>
        </w:rPr>
        <w:t xml:space="preserve">Respecto de los </w:t>
      </w:r>
      <w:r w:rsidR="003072C5" w:rsidRPr="00FA5B31">
        <w:rPr>
          <w:b/>
          <w:bCs/>
          <w:i/>
          <w:iCs/>
        </w:rPr>
        <w:t>ejemplos de buenas prácticas en la promoción, protección y cumplimiento de los derechos humanos de las personas con discapacidad en el contexto de los efectos adversos del cambio climático</w:t>
      </w:r>
      <w:r w:rsidRPr="00FA5B31">
        <w:rPr>
          <w:b/>
          <w:bCs/>
          <w:i/>
          <w:iCs/>
        </w:rPr>
        <w:t>.</w:t>
      </w:r>
    </w:p>
    <w:p w14:paraId="4E5FAE1A" w14:textId="47A6ED44" w:rsidR="00FA5B31" w:rsidRDefault="00FA5B31" w:rsidP="00661C2A">
      <w:pPr>
        <w:spacing w:line="276" w:lineRule="auto"/>
        <w:jc w:val="both"/>
      </w:pPr>
      <w:r>
        <w:t>D</w:t>
      </w:r>
      <w:r w:rsidR="000C3918">
        <w:t>e acuerdo a los datos recopilados</w:t>
      </w:r>
      <w:r>
        <w:t xml:space="preserve"> por COPECO</w:t>
      </w:r>
      <w:r w:rsidR="000C3918">
        <w:t xml:space="preserve">, se estima que </w:t>
      </w:r>
      <w:r w:rsidR="00F105D9">
        <w:t>las muertes generadas en emergencias se han</w:t>
      </w:r>
      <w:r w:rsidR="000C3918">
        <w:t xml:space="preserve"> reducido en un 70%,</w:t>
      </w:r>
      <w:r w:rsidR="00524C68">
        <w:rPr>
          <w:rStyle w:val="Refdenotaalpie"/>
        </w:rPr>
        <w:footnoteReference w:id="13"/>
      </w:r>
      <w:r w:rsidR="000C3918">
        <w:t xml:space="preserve"> a pesar del </w:t>
      </w:r>
      <w:r w:rsidR="00F105D9">
        <w:t>incremento en la recurrencia de los fenómenos año con año.</w:t>
      </w:r>
    </w:p>
    <w:p w14:paraId="229C2A43" w14:textId="77777777" w:rsidR="0048445E" w:rsidRDefault="00FA5B31" w:rsidP="00661C2A">
      <w:pPr>
        <w:spacing w:line="276" w:lineRule="auto"/>
        <w:jc w:val="both"/>
      </w:pPr>
      <w:r>
        <w:t xml:space="preserve">Esto se ha logrado gracias al </w:t>
      </w:r>
      <w:r w:rsidR="00F105D9">
        <w:t>proceso de Modernización Institucional (2011-2014) de COPECO</w:t>
      </w:r>
      <w:r w:rsidR="000C3918">
        <w:t xml:space="preserve"> </w:t>
      </w:r>
      <w:r w:rsidR="00F105D9">
        <w:t>que abarcó todo el territorio nacional en todos los ámbitos de la Gestión Integral de Riesgos, mejorando la capacidad de respuesta, aumentando su presencia</w:t>
      </w:r>
      <w:r>
        <w:t xml:space="preserve"> territorial</w:t>
      </w:r>
      <w:r w:rsidR="00F105D9">
        <w:t xml:space="preserve">, modernizando el </w:t>
      </w:r>
      <w:r>
        <w:t xml:space="preserve">sistema de monitoreo y vigilancia </w:t>
      </w:r>
      <w:r w:rsidR="00F105D9">
        <w:t>con radares y estaciones telemétricas</w:t>
      </w:r>
      <w:r w:rsidR="003B0BEC">
        <w:t>, implementando el Sistema de Alerta Temprana (SAT) en varios municipios</w:t>
      </w:r>
      <w:r>
        <w:t>.</w:t>
      </w:r>
      <w:r w:rsidR="003B0BEC">
        <w:t xml:space="preserve"> Especialmente </w:t>
      </w:r>
      <w:r w:rsidR="00F105D9">
        <w:t>se fortaleció la Dirección de Gestión de la Prevención con equipamiento para realizar estudios y análisis para medir la vulnerabilidad y el riesgo. Además, COPECO logr</w:t>
      </w:r>
      <w:r w:rsidR="00947469">
        <w:t>ó</w:t>
      </w:r>
      <w:r w:rsidR="00F105D9">
        <w:t xml:space="preserve"> la </w:t>
      </w:r>
      <w:r w:rsidR="00957D90">
        <w:t>ampliación de sus bodegas y posee actualmente 35 mil mts2</w:t>
      </w:r>
      <w:r w:rsidR="00F105D9">
        <w:t xml:space="preserve">, y </w:t>
      </w:r>
      <w:r w:rsidR="00957D90">
        <w:t>1,773 miembros a nivel nacional para la protección civil</w:t>
      </w:r>
      <w:r w:rsidR="0048445E">
        <w:t>.</w:t>
      </w:r>
    </w:p>
    <w:p w14:paraId="30233BC9" w14:textId="5E5382AD" w:rsidR="0048445E" w:rsidRPr="0048445E" w:rsidRDefault="0048445E" w:rsidP="00661C2A">
      <w:pPr>
        <w:spacing w:line="276" w:lineRule="auto"/>
        <w:jc w:val="both"/>
      </w:pPr>
      <w:r w:rsidRPr="0048445E">
        <w:t>COPECO</w:t>
      </w:r>
      <w:r>
        <w:t xml:space="preserve"> ejecuta </w:t>
      </w:r>
      <w:r w:rsidRPr="0048445E">
        <w:t>la Política para la Gestión Integral del Riesgo en Honduras y el Plan Nacional de Gestión Integral del Riesgo</w:t>
      </w:r>
      <w:r w:rsidR="00970256">
        <w:t>, cuyos objetivos y ejes</w:t>
      </w:r>
      <w:r>
        <w:t xml:space="preserve"> se encuentran </w:t>
      </w:r>
      <w:r w:rsidRPr="0048445E">
        <w:t>vinculadas con las prioridades de la SENDAI</w:t>
      </w:r>
      <w:r>
        <w:t xml:space="preserve"> y </w:t>
      </w:r>
      <w:r w:rsidR="003B0BEC">
        <w:t>los Objetivos de Desarrollo Sostenible (ODS 1, ODS 11 y ODS 13)</w:t>
      </w:r>
      <w:r w:rsidRPr="0048445E">
        <w:t>.</w:t>
      </w:r>
    </w:p>
    <w:p w14:paraId="3EB4E90F" w14:textId="77777777" w:rsidR="003B0BEC" w:rsidRPr="003B0BEC" w:rsidRDefault="003B0BEC" w:rsidP="00661C2A">
      <w:pPr>
        <w:spacing w:line="276" w:lineRule="auto"/>
        <w:jc w:val="both"/>
        <w:rPr>
          <w:b/>
          <w:bCs/>
        </w:rPr>
      </w:pPr>
      <w:r>
        <w:t xml:space="preserve">A nivel municipal, se ha identificado 186 municipios en nivel de riesgo medio y alto, logrando intervenir 135 por COPECO, los cuales cuentan con </w:t>
      </w:r>
      <w:r w:rsidRPr="003B0BEC">
        <w:t>Planes Municipales de Gestión del Riesgo con Enfoque de Ordenamiento Territorial, Planes de Prevención y Respuesta, y Mapeo de amenazas.</w:t>
      </w:r>
      <w:r>
        <w:t xml:space="preserve"> </w:t>
      </w:r>
    </w:p>
    <w:p w14:paraId="7294E23C" w14:textId="6040C210" w:rsidR="003B0BEC" w:rsidRPr="003B0BEC" w:rsidRDefault="003B0BEC" w:rsidP="00661C2A">
      <w:pPr>
        <w:spacing w:line="276" w:lineRule="auto"/>
        <w:jc w:val="both"/>
        <w:rPr>
          <w:b/>
          <w:bCs/>
        </w:rPr>
      </w:pPr>
      <w:r>
        <w:lastRenderedPageBreak/>
        <w:t>Asimismo, como resultado de la incorporación de la prevención del riesgo en los procesos de educación se elaboró la “</w:t>
      </w:r>
      <w:r w:rsidRPr="003B0BEC">
        <w:rPr>
          <w:i/>
          <w:iCs/>
        </w:rPr>
        <w:t>Guía Metodológica para la Incorporación de la GIRD en la Curricula Educativa”</w:t>
      </w:r>
      <w:r w:rsidR="0048445E">
        <w:rPr>
          <w:rStyle w:val="Refdenotaalpie"/>
          <w:i/>
          <w:iCs/>
        </w:rPr>
        <w:footnoteReference w:id="14"/>
      </w:r>
      <w:r w:rsidRPr="003B0BEC">
        <w:rPr>
          <w:i/>
          <w:iCs/>
        </w:rPr>
        <w:t xml:space="preserve">, </w:t>
      </w:r>
      <w:r>
        <w:t xml:space="preserve">en los niveles de Pre- básica, Básica y Media. </w:t>
      </w:r>
    </w:p>
    <w:p w14:paraId="58704F3F" w14:textId="0C1CC568" w:rsidR="00A8560E" w:rsidRPr="003B0BEC" w:rsidRDefault="000C3918" w:rsidP="00661C2A">
      <w:pPr>
        <w:spacing w:line="276" w:lineRule="auto"/>
        <w:jc w:val="both"/>
        <w:rPr>
          <w:b/>
          <w:bCs/>
        </w:rPr>
      </w:pPr>
      <w:r>
        <w:t xml:space="preserve">Otra de las buenas prácticas es el avance en el manejo y gestión de las emergencias del Sistema Nacional de Emergencias 911, donde se atienden las contingencias por fenómenos naturales, requiriendo asistencia humanitaria y de servicios </w:t>
      </w:r>
      <w:r w:rsidR="00F105D9">
        <w:t>prehospitalarios</w:t>
      </w:r>
      <w:r>
        <w:t>.</w:t>
      </w:r>
    </w:p>
    <w:p w14:paraId="33B13161" w14:textId="77777777" w:rsidR="00BE7790" w:rsidRDefault="00BE7790" w:rsidP="00661C2A">
      <w:pPr>
        <w:spacing w:line="276" w:lineRule="auto"/>
        <w:jc w:val="both"/>
        <w:rPr>
          <w:b/>
          <w:bCs/>
          <w:i/>
          <w:iCs/>
        </w:rPr>
      </w:pPr>
    </w:p>
    <w:p w14:paraId="5DFC5A02" w14:textId="641FF6C9" w:rsidR="003B0BEC" w:rsidRPr="003B0BEC" w:rsidRDefault="003B0BEC" w:rsidP="00661C2A">
      <w:pPr>
        <w:spacing w:line="276" w:lineRule="auto"/>
        <w:jc w:val="both"/>
        <w:rPr>
          <w:b/>
          <w:bCs/>
          <w:i/>
          <w:iCs/>
        </w:rPr>
      </w:pPr>
      <w:r w:rsidRPr="003B0BEC">
        <w:rPr>
          <w:b/>
          <w:bCs/>
          <w:i/>
          <w:iCs/>
        </w:rPr>
        <w:t xml:space="preserve">Sobre </w:t>
      </w:r>
      <w:r w:rsidR="00535C7F" w:rsidRPr="003B0BEC">
        <w:rPr>
          <w:b/>
          <w:bCs/>
          <w:i/>
          <w:iCs/>
        </w:rPr>
        <w:t xml:space="preserve">los desafíos </w:t>
      </w:r>
      <w:r w:rsidRPr="003B0BEC">
        <w:rPr>
          <w:b/>
          <w:bCs/>
          <w:i/>
          <w:iCs/>
        </w:rPr>
        <w:t>actuales.</w:t>
      </w:r>
    </w:p>
    <w:p w14:paraId="19D5BA06" w14:textId="06BA3335" w:rsidR="00140A68" w:rsidRDefault="003B0BEC" w:rsidP="00661C2A">
      <w:pPr>
        <w:spacing w:line="276" w:lineRule="auto"/>
        <w:jc w:val="both"/>
      </w:pPr>
      <w:r>
        <w:t xml:space="preserve">Se </w:t>
      </w:r>
      <w:r w:rsidR="00012281">
        <w:t>d</w:t>
      </w:r>
      <w:r>
        <w:t>e</w:t>
      </w:r>
      <w:r w:rsidR="00012281">
        <w:t>b</w:t>
      </w:r>
      <w:r>
        <w:t xml:space="preserve">e continuar avanzando en el </w:t>
      </w:r>
      <w:r w:rsidR="00535C7F">
        <w:t>ordenamiento territorial y análisis de la inversión para evitar generar más riesgos</w:t>
      </w:r>
      <w:r>
        <w:t xml:space="preserve">, lo cual </w:t>
      </w:r>
      <w:r w:rsidR="00012281">
        <w:t>ya se realizará</w:t>
      </w:r>
      <w:r>
        <w:t xml:space="preserve"> con la </w:t>
      </w:r>
      <w:r w:rsidR="00281E64" w:rsidRPr="003B0BEC">
        <w:rPr>
          <w:i/>
          <w:iCs/>
        </w:rPr>
        <w:t xml:space="preserve">“Guía </w:t>
      </w:r>
      <w:bookmarkStart w:id="2" w:name="_Hlk27741412"/>
      <w:r w:rsidR="00947469" w:rsidRPr="003B0BEC">
        <w:rPr>
          <w:i/>
          <w:iCs/>
        </w:rPr>
        <w:t>M</w:t>
      </w:r>
      <w:r w:rsidR="00281E64" w:rsidRPr="003B0BEC">
        <w:rPr>
          <w:i/>
          <w:iCs/>
        </w:rPr>
        <w:t>etodológica</w:t>
      </w:r>
      <w:bookmarkEnd w:id="2"/>
      <w:r w:rsidR="00281E64" w:rsidRPr="003B0BEC">
        <w:rPr>
          <w:i/>
          <w:iCs/>
        </w:rPr>
        <w:t xml:space="preserve"> y </w:t>
      </w:r>
      <w:r w:rsidR="00947469" w:rsidRPr="003B0BEC">
        <w:rPr>
          <w:i/>
          <w:iCs/>
        </w:rPr>
        <w:t>H</w:t>
      </w:r>
      <w:r w:rsidR="00281E64" w:rsidRPr="003B0BEC">
        <w:rPr>
          <w:i/>
          <w:iCs/>
        </w:rPr>
        <w:t>erramienta de Ordenamiento Territorial y Gestión de Riesgo”</w:t>
      </w:r>
      <w:r w:rsidR="00281E64">
        <w:t>.</w:t>
      </w:r>
      <w:r>
        <w:rPr>
          <w:b/>
          <w:bCs/>
        </w:rPr>
        <w:t xml:space="preserve"> </w:t>
      </w:r>
      <w:r w:rsidR="003D7C4E">
        <w:t xml:space="preserve">Otro desafío </w:t>
      </w:r>
      <w:r>
        <w:t xml:space="preserve">según los datos recopilados </w:t>
      </w:r>
      <w:r w:rsidR="003D7C4E">
        <w:t>es la inclusión del sector privado con la implementación de alianzas para la Gestión Integral de Riesgos</w:t>
      </w:r>
      <w:r w:rsidR="00012281">
        <w:t>, y</w:t>
      </w:r>
      <w:r>
        <w:t xml:space="preserve"> la instalación y funcionamiento de </w:t>
      </w:r>
      <w:r w:rsidR="003D7C4E">
        <w:t>la Unidad Médica de Emergencias a otras ciudades del país.</w:t>
      </w:r>
    </w:p>
    <w:p w14:paraId="27232964" w14:textId="5D347064" w:rsidR="003F1990" w:rsidRPr="003B0BEC" w:rsidRDefault="003B0BEC" w:rsidP="00661C2A">
      <w:pPr>
        <w:spacing w:line="276" w:lineRule="auto"/>
        <w:jc w:val="both"/>
      </w:pPr>
      <w:r>
        <w:t xml:space="preserve">También existe el desafío de </w:t>
      </w:r>
      <w:r w:rsidR="00140A68">
        <w:t xml:space="preserve">incorporar a la población con discapacidad, las organizaciones de y para personas con discapacidad y sus familias en todos los procesos que desde el Estado se implementan para la mitigación de los riesgos y efectos del cambio climático, </w:t>
      </w:r>
      <w:r>
        <w:t>así como visibilizar aún más a los diversos grupos colocados en situación de vulnerabilidad</w:t>
      </w:r>
      <w:r w:rsidR="00140A68">
        <w:t>.</w:t>
      </w:r>
    </w:p>
    <w:sectPr w:rsidR="003F1990" w:rsidRPr="003B0BEC" w:rsidSect="00497D28">
      <w:headerReference w:type="default" r:id="rId8"/>
      <w:footerReference w:type="default" r:id="rId9"/>
      <w:pgSz w:w="12240" w:h="15840" w:code="1"/>
      <w:pgMar w:top="1417" w:right="1701" w:bottom="1417" w:left="1701" w:header="141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24F68" w14:textId="77777777" w:rsidR="006810AE" w:rsidRDefault="006810AE" w:rsidP="009C6FCE">
      <w:pPr>
        <w:spacing w:after="0"/>
      </w:pPr>
      <w:r>
        <w:separator/>
      </w:r>
    </w:p>
  </w:endnote>
  <w:endnote w:type="continuationSeparator" w:id="0">
    <w:p w14:paraId="3FD51114" w14:textId="77777777" w:rsidR="006810AE" w:rsidRDefault="006810AE" w:rsidP="009C6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8F3DC" w14:textId="41844901" w:rsidR="00497D28" w:rsidRPr="00497D28" w:rsidRDefault="00497D28">
    <w:pPr>
      <w:tabs>
        <w:tab w:val="center" w:pos="4550"/>
        <w:tab w:val="left" w:pos="5818"/>
      </w:tabs>
      <w:ind w:right="260"/>
      <w:jc w:val="right"/>
      <w:rPr>
        <w:color w:val="171717" w:themeColor="background2" w:themeShade="1A"/>
        <w:sz w:val="18"/>
        <w:szCs w:val="18"/>
      </w:rPr>
    </w:pPr>
    <w:r w:rsidRPr="00497D28">
      <w:rPr>
        <w:i/>
        <w:iCs/>
        <w:color w:val="171717" w:themeColor="background2" w:themeShade="1A"/>
        <w:spacing w:val="60"/>
        <w:sz w:val="18"/>
        <w:szCs w:val="18"/>
        <w:lang w:val="es-ES"/>
      </w:rPr>
      <w:t>Oficio No. SEDH-0895-2019</w:t>
    </w:r>
    <w:r>
      <w:rPr>
        <w:color w:val="171717" w:themeColor="background2" w:themeShade="1A"/>
        <w:spacing w:val="60"/>
        <w:sz w:val="18"/>
        <w:szCs w:val="18"/>
        <w:lang w:val="es-ES"/>
      </w:rPr>
      <w:t xml:space="preserve">   </w:t>
    </w:r>
    <w:r w:rsidRPr="00497D28">
      <w:rPr>
        <w:color w:val="171717" w:themeColor="background2" w:themeShade="1A"/>
        <w:spacing w:val="60"/>
        <w:sz w:val="18"/>
        <w:szCs w:val="18"/>
        <w:lang w:val="es-ES"/>
      </w:rPr>
      <w:t>Página</w:t>
    </w:r>
    <w:r w:rsidRPr="00497D28">
      <w:rPr>
        <w:color w:val="171717" w:themeColor="background2" w:themeShade="1A"/>
        <w:sz w:val="18"/>
        <w:szCs w:val="18"/>
        <w:lang w:val="es-ES"/>
      </w:rPr>
      <w:t xml:space="preserve"> </w:t>
    </w:r>
    <w:r w:rsidRPr="00497D28">
      <w:rPr>
        <w:color w:val="171717" w:themeColor="background2" w:themeShade="1A"/>
        <w:sz w:val="18"/>
        <w:szCs w:val="18"/>
      </w:rPr>
      <w:fldChar w:fldCharType="begin"/>
    </w:r>
    <w:r w:rsidRPr="00497D28">
      <w:rPr>
        <w:color w:val="171717" w:themeColor="background2" w:themeShade="1A"/>
        <w:sz w:val="18"/>
        <w:szCs w:val="18"/>
      </w:rPr>
      <w:instrText>PAGE   \* MERGEFORMAT</w:instrText>
    </w:r>
    <w:r w:rsidRPr="00497D28">
      <w:rPr>
        <w:color w:val="171717" w:themeColor="background2" w:themeShade="1A"/>
        <w:sz w:val="18"/>
        <w:szCs w:val="18"/>
      </w:rPr>
      <w:fldChar w:fldCharType="separate"/>
    </w:r>
    <w:r w:rsidRPr="00497D28">
      <w:rPr>
        <w:color w:val="171717" w:themeColor="background2" w:themeShade="1A"/>
        <w:sz w:val="18"/>
        <w:szCs w:val="18"/>
        <w:lang w:val="es-ES"/>
      </w:rPr>
      <w:t>1</w:t>
    </w:r>
    <w:r w:rsidRPr="00497D28">
      <w:rPr>
        <w:color w:val="171717" w:themeColor="background2" w:themeShade="1A"/>
        <w:sz w:val="18"/>
        <w:szCs w:val="18"/>
      </w:rPr>
      <w:fldChar w:fldCharType="end"/>
    </w:r>
    <w:r w:rsidRPr="00497D28">
      <w:rPr>
        <w:color w:val="171717" w:themeColor="background2" w:themeShade="1A"/>
        <w:sz w:val="18"/>
        <w:szCs w:val="18"/>
        <w:lang w:val="es-ES"/>
      </w:rPr>
      <w:t xml:space="preserve"> </w:t>
    </w:r>
    <w:r>
      <w:rPr>
        <w:color w:val="171717" w:themeColor="background2" w:themeShade="1A"/>
        <w:sz w:val="18"/>
        <w:szCs w:val="18"/>
        <w:lang w:val="es-ES"/>
      </w:rPr>
      <w:t>/</w:t>
    </w:r>
    <w:r w:rsidRPr="00497D28">
      <w:rPr>
        <w:color w:val="171717" w:themeColor="background2" w:themeShade="1A"/>
        <w:sz w:val="18"/>
        <w:szCs w:val="18"/>
        <w:lang w:val="es-ES"/>
      </w:rPr>
      <w:t xml:space="preserve"> </w:t>
    </w:r>
    <w:r w:rsidRPr="00497D28">
      <w:rPr>
        <w:color w:val="171717" w:themeColor="background2" w:themeShade="1A"/>
        <w:sz w:val="18"/>
        <w:szCs w:val="18"/>
      </w:rPr>
      <w:fldChar w:fldCharType="begin"/>
    </w:r>
    <w:r w:rsidRPr="00497D28">
      <w:rPr>
        <w:color w:val="171717" w:themeColor="background2" w:themeShade="1A"/>
        <w:sz w:val="18"/>
        <w:szCs w:val="18"/>
      </w:rPr>
      <w:instrText>NUMPAGES  \* Arabic  \* MERGEFORMAT</w:instrText>
    </w:r>
    <w:r w:rsidRPr="00497D28">
      <w:rPr>
        <w:color w:val="171717" w:themeColor="background2" w:themeShade="1A"/>
        <w:sz w:val="18"/>
        <w:szCs w:val="18"/>
      </w:rPr>
      <w:fldChar w:fldCharType="separate"/>
    </w:r>
    <w:r w:rsidRPr="00497D28">
      <w:rPr>
        <w:color w:val="171717" w:themeColor="background2" w:themeShade="1A"/>
        <w:sz w:val="18"/>
        <w:szCs w:val="18"/>
        <w:lang w:val="es-ES"/>
      </w:rPr>
      <w:t>1</w:t>
    </w:r>
    <w:r w:rsidRPr="00497D28">
      <w:rPr>
        <w:color w:val="171717" w:themeColor="background2" w:themeShade="1A"/>
        <w:sz w:val="18"/>
        <w:szCs w:val="18"/>
      </w:rPr>
      <w:fldChar w:fldCharType="end"/>
    </w:r>
  </w:p>
  <w:p w14:paraId="622A5645" w14:textId="77777777" w:rsidR="00497D28" w:rsidRDefault="00497D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C5296" w14:textId="77777777" w:rsidR="006810AE" w:rsidRDefault="006810AE" w:rsidP="009C6FCE">
      <w:pPr>
        <w:spacing w:after="0"/>
      </w:pPr>
      <w:r>
        <w:separator/>
      </w:r>
    </w:p>
  </w:footnote>
  <w:footnote w:type="continuationSeparator" w:id="0">
    <w:p w14:paraId="52B74F22" w14:textId="77777777" w:rsidR="006810AE" w:rsidRDefault="006810AE" w:rsidP="009C6FCE">
      <w:pPr>
        <w:spacing w:after="0"/>
      </w:pPr>
      <w:r>
        <w:continuationSeparator/>
      </w:r>
    </w:p>
  </w:footnote>
  <w:footnote w:id="1">
    <w:p w14:paraId="4F611A3D" w14:textId="77777777" w:rsidR="00B44448" w:rsidRPr="00B44448" w:rsidRDefault="00B44448" w:rsidP="00B4444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44448">
        <w:t>COPECO</w:t>
      </w:r>
      <w:r>
        <w:t xml:space="preserve">: Memoria Anual de Labores 2018. Pág. 8 </w:t>
      </w:r>
    </w:p>
  </w:footnote>
  <w:footnote w:id="2">
    <w:p w14:paraId="5B3877CA" w14:textId="77777777" w:rsidR="009C6FCE" w:rsidRPr="009C6FCE" w:rsidRDefault="009C6FC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Decreto No. 297-2013 publicado en el Diario Oficial La Gaceta Núm. 33,577 del 10 de noviembre de 2014.</w:t>
      </w:r>
    </w:p>
  </w:footnote>
  <w:footnote w:id="3">
    <w:p w14:paraId="20587439" w14:textId="557F683F" w:rsidR="0069317F" w:rsidRPr="00AA4A2D" w:rsidRDefault="0069317F" w:rsidP="0069317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Decreto No. 286-2009 </w:t>
      </w:r>
      <w:r w:rsidRPr="00AA4A2D">
        <w:rPr>
          <w:lang w:val="es-MX"/>
        </w:rPr>
        <w:t xml:space="preserve">publicado en el Diario Oficial </w:t>
      </w:r>
      <w:r w:rsidR="00A709FE">
        <w:rPr>
          <w:lang w:val="es-MX"/>
        </w:rPr>
        <w:t xml:space="preserve">La Gaceta Núm. 32,129 </w:t>
      </w:r>
      <w:r>
        <w:rPr>
          <w:lang w:val="es-MX"/>
        </w:rPr>
        <w:t>de fecha 02 de febrero de 2010</w:t>
      </w:r>
      <w:r w:rsidRPr="00AA4A2D">
        <w:rPr>
          <w:lang w:val="es-MX"/>
        </w:rPr>
        <w:t>.</w:t>
      </w:r>
    </w:p>
  </w:footnote>
  <w:footnote w:id="4">
    <w:p w14:paraId="7EF020AC" w14:textId="000ED815" w:rsidR="00A709FE" w:rsidRPr="00A709FE" w:rsidRDefault="00A709F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bookmarkStart w:id="1" w:name="_Hlk28248204"/>
      <w:r>
        <w:rPr>
          <w:lang w:val="es-MX"/>
        </w:rPr>
        <w:t>Decreto No. 151-2009 publicado en el Diario Oficial La Gaceta Núm. 32,098 del 26 de diciembre de 2009.</w:t>
      </w:r>
      <w:bookmarkEnd w:id="1"/>
    </w:p>
  </w:footnote>
  <w:footnote w:id="5">
    <w:p w14:paraId="4126A568" w14:textId="69E01A74" w:rsidR="0094275C" w:rsidRPr="0094275C" w:rsidRDefault="0094275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4275C">
        <w:t>Decreto Legislativo No. 160-2005</w:t>
      </w:r>
    </w:p>
  </w:footnote>
  <w:footnote w:id="6">
    <w:p w14:paraId="71190655" w14:textId="71EE7764" w:rsidR="002E4E2A" w:rsidRPr="002E4E2A" w:rsidRDefault="002E4E2A" w:rsidP="002E4E2A">
      <w:pPr>
        <w:pStyle w:val="Textonotapie"/>
      </w:pPr>
      <w:r>
        <w:rPr>
          <w:rStyle w:val="Refdenotaalpie"/>
        </w:rPr>
        <w:footnoteRef/>
      </w:r>
      <w:r>
        <w:t xml:space="preserve"> Decreto Ejecutivo No. 003-2013</w:t>
      </w:r>
    </w:p>
  </w:footnote>
  <w:footnote w:id="7">
    <w:p w14:paraId="41B38DDB" w14:textId="77777777" w:rsidR="00F664A3" w:rsidRPr="0094275C" w:rsidRDefault="00F664A3" w:rsidP="00F664A3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94275C">
        <w:rPr>
          <w:lang w:val="es-MX"/>
        </w:rPr>
        <w:t xml:space="preserve"> </w:t>
      </w:r>
      <w:r>
        <w:rPr>
          <w:lang w:val="es-MX"/>
        </w:rPr>
        <w:t xml:space="preserve">Disponible en: </w:t>
      </w:r>
      <w:hyperlink r:id="rId1" w:history="1">
        <w:r w:rsidRPr="009C23B7">
          <w:rPr>
            <w:rStyle w:val="Hipervnculo"/>
            <w:lang w:val="es-MX"/>
          </w:rPr>
          <w:t>http://www.scgg.gob.hn/es/node/236</w:t>
        </w:r>
      </w:hyperlink>
      <w:r w:rsidRPr="0094275C">
        <w:rPr>
          <w:lang w:val="es-MX"/>
        </w:rPr>
        <w:t xml:space="preserve"> consulta</w:t>
      </w:r>
      <w:r>
        <w:rPr>
          <w:lang w:val="es-MX"/>
        </w:rPr>
        <w:t>do el 23 de diciembre de 2019</w:t>
      </w:r>
    </w:p>
  </w:footnote>
  <w:footnote w:id="8">
    <w:p w14:paraId="75F2F633" w14:textId="770C27D7" w:rsidR="0094275C" w:rsidRPr="0094275C" w:rsidRDefault="0094275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57C1C">
        <w:t>Decreto Ejecutivo No. PCM-046-2010</w:t>
      </w:r>
    </w:p>
  </w:footnote>
  <w:footnote w:id="9">
    <w:p w14:paraId="0E7F64A2" w14:textId="6BF1AF2E" w:rsidR="002E4E2A" w:rsidRPr="002E4E2A" w:rsidRDefault="002E4E2A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Disponible en: </w:t>
      </w:r>
      <w:hyperlink r:id="rId2" w:history="1">
        <w:r>
          <w:rPr>
            <w:rStyle w:val="Hipervnculo"/>
          </w:rPr>
          <w:t>http://www.pgrd-copeco.gob.hn/wp-content/uploads/2018/11/POLITICA-NACIONAL-GR.pdf</w:t>
        </w:r>
      </w:hyperlink>
      <w:r>
        <w:t xml:space="preserve"> consultado el 24 de diciembre de 2019</w:t>
      </w:r>
    </w:p>
  </w:footnote>
  <w:footnote w:id="10">
    <w:p w14:paraId="6FF35060" w14:textId="041FB838" w:rsidR="002E4E2A" w:rsidRPr="00F664A3" w:rsidRDefault="002E4E2A" w:rsidP="002E4E2A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Decreto Ejecutivo PCM No. 33-2013</w:t>
      </w:r>
      <w:r w:rsidR="003D17AC" w:rsidRPr="003D17AC">
        <w:t xml:space="preserve"> </w:t>
      </w:r>
      <w:r w:rsidR="003D17AC" w:rsidRPr="003D17AC">
        <w:rPr>
          <w:lang w:val="es-MX"/>
        </w:rPr>
        <w:t>publicado en el Diario Oficial La Gaceta Núm. 33,</w:t>
      </w:r>
      <w:r w:rsidR="003D17AC">
        <w:rPr>
          <w:lang w:val="es-MX"/>
        </w:rPr>
        <w:t>205</w:t>
      </w:r>
      <w:r w:rsidR="003D17AC" w:rsidRPr="003D17AC">
        <w:rPr>
          <w:lang w:val="es-MX"/>
        </w:rPr>
        <w:t xml:space="preserve"> del 1</w:t>
      </w:r>
      <w:r w:rsidR="003D17AC">
        <w:rPr>
          <w:lang w:val="es-MX"/>
        </w:rPr>
        <w:t>7</w:t>
      </w:r>
      <w:r w:rsidR="003D17AC" w:rsidRPr="003D17AC">
        <w:rPr>
          <w:lang w:val="es-MX"/>
        </w:rPr>
        <w:t xml:space="preserve"> de </w:t>
      </w:r>
      <w:r w:rsidR="003D17AC">
        <w:rPr>
          <w:lang w:val="es-MX"/>
        </w:rPr>
        <w:t>agosto</w:t>
      </w:r>
      <w:r w:rsidR="003D17AC" w:rsidRPr="003D17AC">
        <w:rPr>
          <w:lang w:val="es-MX"/>
        </w:rPr>
        <w:t xml:space="preserve"> de 201</w:t>
      </w:r>
      <w:r w:rsidR="003D17AC">
        <w:rPr>
          <w:lang w:val="es-MX"/>
        </w:rPr>
        <w:t>3</w:t>
      </w:r>
      <w:r w:rsidR="003D17AC" w:rsidRPr="003D17AC">
        <w:rPr>
          <w:lang w:val="es-MX"/>
        </w:rPr>
        <w:t>.</w:t>
      </w:r>
    </w:p>
  </w:footnote>
  <w:footnote w:id="11">
    <w:p w14:paraId="55805FE3" w14:textId="6F677444" w:rsidR="002E4E2A" w:rsidRPr="002E4E2A" w:rsidRDefault="002E4E2A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Disponible en: </w:t>
      </w:r>
      <w:hyperlink r:id="rId3" w:history="1">
        <w:r w:rsidRPr="009C23B7">
          <w:rPr>
            <w:rStyle w:val="Hipervnculo"/>
          </w:rPr>
          <w:t>http://www.ceniss.gob.hn/alianzacs/documentos/BORRADOR%20PYENSAN%202030%2018012019%20EC%20SL%20RM%203%20editado%20FINAL.pdf</w:t>
        </w:r>
      </w:hyperlink>
      <w:r>
        <w:t xml:space="preserve"> Consultado el 24 de diciembre de 2019</w:t>
      </w:r>
    </w:p>
  </w:footnote>
  <w:footnote w:id="12">
    <w:p w14:paraId="2CCA459D" w14:textId="335730F7" w:rsidR="00F664A3" w:rsidRPr="00F664A3" w:rsidRDefault="00F664A3" w:rsidP="00F664A3">
      <w:pPr>
        <w:jc w:val="both"/>
      </w:pPr>
      <w:r>
        <w:rPr>
          <w:rStyle w:val="Refdenotaalpie"/>
        </w:rPr>
        <w:footnoteRef/>
      </w:r>
      <w:r>
        <w:t xml:space="preserve"> </w:t>
      </w:r>
      <w:r w:rsidRPr="00F664A3">
        <w:rPr>
          <w:sz w:val="20"/>
          <w:szCs w:val="18"/>
        </w:rPr>
        <w:t xml:space="preserve">Decreto Ejecutivo </w:t>
      </w:r>
      <w:r w:rsidR="00691C79" w:rsidRPr="00691C79">
        <w:rPr>
          <w:sz w:val="20"/>
          <w:szCs w:val="18"/>
        </w:rPr>
        <w:t>PCM-035-2017 publicado en el Diario Oficial La Gaceta Núm. 34,670 del 19 de junio de 2018.</w:t>
      </w:r>
    </w:p>
  </w:footnote>
  <w:footnote w:id="13">
    <w:p w14:paraId="5CC800B0" w14:textId="77777777" w:rsidR="00524C68" w:rsidRPr="00524C68" w:rsidRDefault="00524C6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24C68">
        <w:t xml:space="preserve">COPECO: Memoria Anual de Labores 2018. Pág. </w:t>
      </w:r>
      <w:r>
        <w:t>12</w:t>
      </w:r>
    </w:p>
  </w:footnote>
  <w:footnote w:id="14">
    <w:p w14:paraId="2F61DB98" w14:textId="306D97CF" w:rsidR="0048445E" w:rsidRPr="0048445E" w:rsidRDefault="0048445E" w:rsidP="008E01EC">
      <w:pPr>
        <w:pStyle w:val="Textonotapie"/>
        <w:ind w:left="708" w:hanging="708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GIRD: </w:t>
      </w:r>
      <w:r w:rsidRPr="0048445E">
        <w:rPr>
          <w:lang w:val="es-MX"/>
        </w:rPr>
        <w:t xml:space="preserve">Gestión Integral </w:t>
      </w:r>
      <w:r>
        <w:rPr>
          <w:lang w:val="es-MX"/>
        </w:rPr>
        <w:t>d</w:t>
      </w:r>
      <w:r w:rsidRPr="0048445E">
        <w:rPr>
          <w:lang w:val="es-MX"/>
        </w:rPr>
        <w:t>el Riesgo De Desastres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4D9A" w14:textId="514E58EA" w:rsidR="00497D28" w:rsidRDefault="00497D28" w:rsidP="00497D2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EFE7A" wp14:editId="2BFBA38B">
          <wp:simplePos x="0" y="0"/>
          <wp:positionH relativeFrom="column">
            <wp:posOffset>-1061085</wp:posOffset>
          </wp:positionH>
          <wp:positionV relativeFrom="paragraph">
            <wp:posOffset>-923925</wp:posOffset>
          </wp:positionV>
          <wp:extent cx="7736400" cy="10141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400" cy="1014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9F3AC" w14:textId="0AE42FF4" w:rsidR="00497D28" w:rsidRDefault="00497D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21"/>
    <w:multiLevelType w:val="hybridMultilevel"/>
    <w:tmpl w:val="7638D460"/>
    <w:lvl w:ilvl="0" w:tplc="074643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7B8"/>
    <w:multiLevelType w:val="hybridMultilevel"/>
    <w:tmpl w:val="B2585900"/>
    <w:lvl w:ilvl="0" w:tplc="4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FA46C6"/>
    <w:multiLevelType w:val="hybridMultilevel"/>
    <w:tmpl w:val="A7FA9320"/>
    <w:lvl w:ilvl="0" w:tplc="4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C0470FC"/>
    <w:multiLevelType w:val="hybridMultilevel"/>
    <w:tmpl w:val="A16E8DF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3C6609"/>
    <w:multiLevelType w:val="hybridMultilevel"/>
    <w:tmpl w:val="763C71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5200D"/>
    <w:multiLevelType w:val="hybridMultilevel"/>
    <w:tmpl w:val="9F9A5F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E7F9A"/>
    <w:multiLevelType w:val="hybridMultilevel"/>
    <w:tmpl w:val="D626F8AA"/>
    <w:lvl w:ilvl="0" w:tplc="434E6C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44B92"/>
    <w:multiLevelType w:val="hybridMultilevel"/>
    <w:tmpl w:val="180E2E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IVbS9V4EO9vKRFoyMamjAoCxJvpscr8QrpvMIjqAoZUS8cRWoXA0nh/6kuTr/9KNRWjxjsX/Yd+xMB5BvLiyw==" w:salt="Y9fpHU500FcuCifda7OE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74"/>
    <w:rsid w:val="00012281"/>
    <w:rsid w:val="000158FF"/>
    <w:rsid w:val="00046F8E"/>
    <w:rsid w:val="00087160"/>
    <w:rsid w:val="00087196"/>
    <w:rsid w:val="0009709E"/>
    <w:rsid w:val="000A235C"/>
    <w:rsid w:val="000A4A5D"/>
    <w:rsid w:val="000C3918"/>
    <w:rsid w:val="000C5CC3"/>
    <w:rsid w:val="000E22D2"/>
    <w:rsid w:val="000F5862"/>
    <w:rsid w:val="00121987"/>
    <w:rsid w:val="00135A4C"/>
    <w:rsid w:val="00140A68"/>
    <w:rsid w:val="00187F3A"/>
    <w:rsid w:val="001B7DAC"/>
    <w:rsid w:val="001D51D9"/>
    <w:rsid w:val="00227A34"/>
    <w:rsid w:val="002643AA"/>
    <w:rsid w:val="00281E64"/>
    <w:rsid w:val="002B4CF9"/>
    <w:rsid w:val="002E4E2A"/>
    <w:rsid w:val="003072C5"/>
    <w:rsid w:val="003335B8"/>
    <w:rsid w:val="003507D9"/>
    <w:rsid w:val="00354AAB"/>
    <w:rsid w:val="003B0BEC"/>
    <w:rsid w:val="003B6943"/>
    <w:rsid w:val="003B6DC3"/>
    <w:rsid w:val="003B7156"/>
    <w:rsid w:val="003C0C7E"/>
    <w:rsid w:val="003D17AC"/>
    <w:rsid w:val="003D6F99"/>
    <w:rsid w:val="003D7C4E"/>
    <w:rsid w:val="003F1990"/>
    <w:rsid w:val="00423626"/>
    <w:rsid w:val="00437AF3"/>
    <w:rsid w:val="004437A9"/>
    <w:rsid w:val="00443833"/>
    <w:rsid w:val="004551D7"/>
    <w:rsid w:val="00481575"/>
    <w:rsid w:val="0048445E"/>
    <w:rsid w:val="00497D28"/>
    <w:rsid w:val="004A2E51"/>
    <w:rsid w:val="004A3A6A"/>
    <w:rsid w:val="004B7C6C"/>
    <w:rsid w:val="004C311F"/>
    <w:rsid w:val="004D4473"/>
    <w:rsid w:val="00524C68"/>
    <w:rsid w:val="00535C7F"/>
    <w:rsid w:val="005575D8"/>
    <w:rsid w:val="00575AC8"/>
    <w:rsid w:val="00597459"/>
    <w:rsid w:val="005C25A7"/>
    <w:rsid w:val="005F0D23"/>
    <w:rsid w:val="005F7843"/>
    <w:rsid w:val="006544BA"/>
    <w:rsid w:val="00661C2A"/>
    <w:rsid w:val="006738F3"/>
    <w:rsid w:val="006755E0"/>
    <w:rsid w:val="006810AE"/>
    <w:rsid w:val="00691C79"/>
    <w:rsid w:val="0069317F"/>
    <w:rsid w:val="006A232A"/>
    <w:rsid w:val="006E328A"/>
    <w:rsid w:val="006F3E22"/>
    <w:rsid w:val="00702A40"/>
    <w:rsid w:val="00775E3D"/>
    <w:rsid w:val="007A6A50"/>
    <w:rsid w:val="007B5109"/>
    <w:rsid w:val="00832E4F"/>
    <w:rsid w:val="008E01EC"/>
    <w:rsid w:val="008F15D4"/>
    <w:rsid w:val="008F721E"/>
    <w:rsid w:val="008F7940"/>
    <w:rsid w:val="00920987"/>
    <w:rsid w:val="00922AC0"/>
    <w:rsid w:val="0092655A"/>
    <w:rsid w:val="0092690B"/>
    <w:rsid w:val="0094275C"/>
    <w:rsid w:val="00947469"/>
    <w:rsid w:val="00957D90"/>
    <w:rsid w:val="00970256"/>
    <w:rsid w:val="009B23FF"/>
    <w:rsid w:val="009C35F5"/>
    <w:rsid w:val="009C6FCE"/>
    <w:rsid w:val="009E00E5"/>
    <w:rsid w:val="009F6407"/>
    <w:rsid w:val="00A12DF0"/>
    <w:rsid w:val="00A13674"/>
    <w:rsid w:val="00A57C1C"/>
    <w:rsid w:val="00A709FE"/>
    <w:rsid w:val="00A8560E"/>
    <w:rsid w:val="00AA4A2D"/>
    <w:rsid w:val="00AF1D7D"/>
    <w:rsid w:val="00B23F63"/>
    <w:rsid w:val="00B26B6C"/>
    <w:rsid w:val="00B4255D"/>
    <w:rsid w:val="00B44448"/>
    <w:rsid w:val="00B927E3"/>
    <w:rsid w:val="00BA2356"/>
    <w:rsid w:val="00BC663A"/>
    <w:rsid w:val="00BD1D53"/>
    <w:rsid w:val="00BD5DD5"/>
    <w:rsid w:val="00BE7790"/>
    <w:rsid w:val="00BF0F5F"/>
    <w:rsid w:val="00BF2820"/>
    <w:rsid w:val="00C00C2B"/>
    <w:rsid w:val="00C60846"/>
    <w:rsid w:val="00C673C4"/>
    <w:rsid w:val="00C77EEA"/>
    <w:rsid w:val="00C805FC"/>
    <w:rsid w:val="00CA44AA"/>
    <w:rsid w:val="00CD7977"/>
    <w:rsid w:val="00CE799F"/>
    <w:rsid w:val="00D7654B"/>
    <w:rsid w:val="00D829C9"/>
    <w:rsid w:val="00DD719B"/>
    <w:rsid w:val="00E016E8"/>
    <w:rsid w:val="00E150EB"/>
    <w:rsid w:val="00E16777"/>
    <w:rsid w:val="00E24F6E"/>
    <w:rsid w:val="00E435F7"/>
    <w:rsid w:val="00E706ED"/>
    <w:rsid w:val="00E92285"/>
    <w:rsid w:val="00E973A6"/>
    <w:rsid w:val="00EA45D5"/>
    <w:rsid w:val="00EA5CED"/>
    <w:rsid w:val="00EE228D"/>
    <w:rsid w:val="00F105D9"/>
    <w:rsid w:val="00F3761D"/>
    <w:rsid w:val="00F664A3"/>
    <w:rsid w:val="00F823CB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40876"/>
  <w15:chartTrackingRefBased/>
  <w15:docId w15:val="{4943A668-4BFE-4A3F-8422-A119958F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709E"/>
    <w:pPr>
      <w:spacing w:after="12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9709E"/>
    <w:pPr>
      <w:keepNext/>
      <w:keepLines/>
      <w:spacing w:before="240" w:after="0"/>
      <w:jc w:val="both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09709E"/>
    <w:pPr>
      <w:outlineLvl w:val="1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7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9709E"/>
    <w:rPr>
      <w:rFonts w:ascii="Times New Roman" w:eastAsiaTheme="majorEastAsia" w:hAnsi="Times New Roman" w:cstheme="majorBidi"/>
      <w:sz w:val="24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FC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6F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6FC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823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23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23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23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23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3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3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7156"/>
    <w:rPr>
      <w:color w:val="0000FF"/>
      <w:u w:val="single"/>
    </w:rPr>
  </w:style>
  <w:style w:type="paragraph" w:styleId="Sinespaciado">
    <w:name w:val="No Spacing"/>
    <w:uiPriority w:val="1"/>
    <w:qFormat/>
    <w:rsid w:val="004A2E51"/>
    <w:pPr>
      <w:spacing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09709E"/>
    <w:rPr>
      <w:rFonts w:ascii="Times New Roman" w:hAnsi="Times New Roman"/>
      <w:b/>
      <w:bCs/>
      <w:i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4275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97D2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97D28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97D2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iss.gob.hn/alianzacs/documentos/BORRADOR%20PYENSAN%202030%2018012019%20EC%20SL%20RM%203%20editado%20FINAL.pdf" TargetMode="External"/><Relationship Id="rId2" Type="http://schemas.openxmlformats.org/officeDocument/2006/relationships/hyperlink" Target="http://www.pgrd-copeco.gob.hn/wp-content/uploads/2018/11/POLITICA-NACIONAL-GR.pdf" TargetMode="External"/><Relationship Id="rId1" Type="http://schemas.openxmlformats.org/officeDocument/2006/relationships/hyperlink" Target="http://www.scgg.gob.hn/es/node/2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DE51DD-FF05-434F-B541-95935DA93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D2416-0C89-4D0F-8E51-E868176BE4C3}"/>
</file>

<file path=customXml/itemProps3.xml><?xml version="1.0" encoding="utf-8"?>
<ds:datastoreItem xmlns:ds="http://schemas.openxmlformats.org/officeDocument/2006/customXml" ds:itemID="{22044ABD-5C48-407E-8BBC-5E07990340A5}"/>
</file>

<file path=customXml/itemProps4.xml><?xml version="1.0" encoding="utf-8"?>
<ds:datastoreItem xmlns:ds="http://schemas.openxmlformats.org/officeDocument/2006/customXml" ds:itemID="{4EFDF74B-80E3-451A-984C-FC4862EC3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6155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Alejandra Mendez Chavez</dc:creator>
  <cp:keywords/>
  <dc:description/>
  <cp:lastModifiedBy>Luis Ovidio Chinchilla Fuentes</cp:lastModifiedBy>
  <cp:revision>7</cp:revision>
  <cp:lastPrinted>2019-12-26T17:48:00Z</cp:lastPrinted>
  <dcterms:created xsi:type="dcterms:W3CDTF">2019-12-30T15:47:00Z</dcterms:created>
  <dcterms:modified xsi:type="dcterms:W3CDTF">2019-12-30T15:51:00Z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