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F52" w:rsidRDefault="00191BC1" w:rsidP="004B53B0">
      <w:pPr>
        <w:jc w:val="center"/>
        <w:rPr>
          <w:rFonts w:ascii="Times New Roman" w:hAnsi="Times New Roman" w:cs="Times New Roman"/>
          <w:b/>
          <w:bCs/>
          <w:smallCaps/>
          <w:sz w:val="24"/>
          <w:szCs w:val="24"/>
        </w:rPr>
      </w:pPr>
      <w:bookmarkStart w:id="0" w:name="_GoBack"/>
      <w:bookmarkEnd w:id="0"/>
      <w:r>
        <w:rPr>
          <w:rFonts w:cs="Times New Roman"/>
          <w:noProof/>
          <w:sz w:val="20"/>
          <w:szCs w:val="20"/>
          <w:lang w:eastAsia="en-GB"/>
        </w:rPr>
        <w:drawing>
          <wp:inline distT="0" distB="0" distL="0" distR="0">
            <wp:extent cx="862965" cy="901700"/>
            <wp:effectExtent l="0" t="0" r="635" b="1270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2965" cy="901700"/>
                    </a:xfrm>
                    <a:prstGeom prst="rect">
                      <a:avLst/>
                    </a:prstGeom>
                    <a:noFill/>
                    <a:ln>
                      <a:noFill/>
                    </a:ln>
                  </pic:spPr>
                </pic:pic>
              </a:graphicData>
            </a:graphic>
          </wp:inline>
        </w:drawing>
      </w:r>
    </w:p>
    <w:p w:rsidR="009F5F52" w:rsidRDefault="009F5F52" w:rsidP="004B53B0">
      <w:pPr>
        <w:jc w:val="center"/>
        <w:rPr>
          <w:rFonts w:ascii="Times New Roman" w:hAnsi="Times New Roman" w:cs="Times New Roman"/>
          <w:b/>
          <w:bCs/>
          <w:smallCaps/>
          <w:sz w:val="24"/>
          <w:szCs w:val="24"/>
        </w:rPr>
      </w:pPr>
      <w:r>
        <w:rPr>
          <w:rFonts w:ascii="Times New Roman" w:hAnsi="Times New Roman" w:cs="Times New Roman"/>
          <w:b/>
          <w:bCs/>
          <w:smallCaps/>
          <w:sz w:val="24"/>
          <w:szCs w:val="24"/>
        </w:rPr>
        <w:t xml:space="preserve">questionnaire related </w:t>
      </w:r>
      <w:bookmarkStart w:id="1" w:name="OLE_LINK17"/>
      <w:bookmarkStart w:id="2" w:name="OLE_LINK18"/>
      <w:r>
        <w:rPr>
          <w:rFonts w:ascii="Times New Roman" w:hAnsi="Times New Roman" w:cs="Times New Roman"/>
          <w:b/>
          <w:bCs/>
          <w:smallCaps/>
          <w:sz w:val="24"/>
          <w:szCs w:val="24"/>
        </w:rPr>
        <w:t>to</w:t>
      </w:r>
    </w:p>
    <w:p w:rsidR="009F5F52" w:rsidRPr="004B53B0" w:rsidRDefault="009F5F52" w:rsidP="004B53B0">
      <w:pPr>
        <w:jc w:val="center"/>
        <w:rPr>
          <w:rFonts w:ascii="Times New Roman" w:hAnsi="Times New Roman" w:cs="Times New Roman"/>
          <w:b/>
          <w:bCs/>
          <w:smallCaps/>
          <w:sz w:val="24"/>
          <w:szCs w:val="24"/>
        </w:rPr>
      </w:pPr>
      <w:r>
        <w:rPr>
          <w:rFonts w:ascii="Times New Roman" w:hAnsi="Times New Roman" w:cs="Times New Roman"/>
          <w:b/>
          <w:bCs/>
          <w:smallCaps/>
          <w:sz w:val="24"/>
          <w:szCs w:val="24"/>
        </w:rPr>
        <w:t>the right of anyone deprived of his or her l</w:t>
      </w:r>
      <w:r w:rsidRPr="001D29CD">
        <w:rPr>
          <w:rFonts w:ascii="Times New Roman" w:hAnsi="Times New Roman" w:cs="Times New Roman"/>
          <w:b/>
          <w:bCs/>
          <w:smallCaps/>
          <w:sz w:val="24"/>
          <w:szCs w:val="24"/>
        </w:rPr>
        <w:t>iberty by arrest or detention to bring proceedings before court</w:t>
      </w:r>
      <w:bookmarkEnd w:id="1"/>
      <w:bookmarkEnd w:id="2"/>
      <w:r>
        <w:rPr>
          <w:rFonts w:ascii="Times New Roman" w:hAnsi="Times New Roman" w:cs="Times New Roman"/>
          <w:b/>
          <w:bCs/>
          <w:smallCaps/>
          <w:sz w:val="24"/>
          <w:szCs w:val="24"/>
        </w:rPr>
        <w:t>, in order that the court may decide without delay on the lawfulness of his or her detention and order his or her release if the detention is not lawful</w:t>
      </w:r>
    </w:p>
    <w:p w:rsidR="009F5F52" w:rsidRPr="000C5497" w:rsidRDefault="009F5F52" w:rsidP="00EF4A41">
      <w:pPr>
        <w:jc w:val="both"/>
        <w:rPr>
          <w:rFonts w:ascii="Times New Roman" w:hAnsi="Times New Roman" w:cs="Times New Roman"/>
          <w:b/>
          <w:bCs/>
          <w:smallCaps/>
          <w:sz w:val="24"/>
          <w:szCs w:val="24"/>
        </w:rPr>
      </w:pPr>
    </w:p>
    <w:p w:rsidR="009F5F52" w:rsidRDefault="009F5F52" w:rsidP="00F21FA7">
      <w:pPr>
        <w:pStyle w:val="ListParagraph"/>
        <w:numPr>
          <w:ilvl w:val="0"/>
          <w:numId w:val="1"/>
        </w:numPr>
        <w:spacing w:line="360" w:lineRule="auto"/>
        <w:ind w:left="0"/>
        <w:jc w:val="both"/>
        <w:rPr>
          <w:rFonts w:ascii="Times New Roman" w:hAnsi="Times New Roman" w:cs="Times New Roman"/>
          <w:sz w:val="24"/>
          <w:szCs w:val="24"/>
        </w:rPr>
      </w:pPr>
      <w:r w:rsidRPr="003914DE">
        <w:rPr>
          <w:rFonts w:ascii="Times New Roman" w:hAnsi="Times New Roman" w:cs="Times New Roman"/>
          <w:sz w:val="24"/>
          <w:szCs w:val="24"/>
        </w:rPr>
        <w:t>Please describe your national institution’s concern</w:t>
      </w:r>
      <w:r>
        <w:rPr>
          <w:rFonts w:ascii="Times New Roman" w:hAnsi="Times New Roman" w:cs="Times New Roman"/>
          <w:sz w:val="24"/>
          <w:szCs w:val="24"/>
        </w:rPr>
        <w:t xml:space="preserve"> and practice</w:t>
      </w:r>
      <w:r w:rsidRPr="003914DE">
        <w:rPr>
          <w:rFonts w:ascii="Times New Roman" w:hAnsi="Times New Roman" w:cs="Times New Roman"/>
          <w:sz w:val="24"/>
          <w:szCs w:val="24"/>
        </w:rPr>
        <w:t xml:space="preserve"> with the right of anyone deprived of his or her liberty by arrest or detention to bring proceedings before court.</w:t>
      </w:r>
    </w:p>
    <w:p w:rsidR="009F5F52" w:rsidRPr="00997294" w:rsidRDefault="009F5F52" w:rsidP="00F21FA7">
      <w:pPr>
        <w:pStyle w:val="ListParagraph"/>
        <w:spacing w:line="360" w:lineRule="auto"/>
        <w:ind w:left="360"/>
        <w:jc w:val="both"/>
        <w:rPr>
          <w:rFonts w:ascii="Trebuchet MS" w:hAnsi="Trebuchet MS" w:cs="Trebuchet MS"/>
        </w:rPr>
      </w:pPr>
      <w:r w:rsidRPr="00997294">
        <w:rPr>
          <w:rFonts w:ascii="Trebuchet MS" w:hAnsi="Trebuchet MS" w:cs="Trebuchet MS"/>
        </w:rPr>
        <w:t xml:space="preserve">The Netherlands Institute for Human Rights is the recently </w:t>
      </w:r>
      <w:r>
        <w:rPr>
          <w:rFonts w:ascii="Trebuchet MS" w:hAnsi="Trebuchet MS" w:cs="Trebuchet MS"/>
        </w:rPr>
        <w:t xml:space="preserve">(October 2012) </w:t>
      </w:r>
      <w:r w:rsidRPr="00997294">
        <w:rPr>
          <w:rFonts w:ascii="Trebuchet MS" w:hAnsi="Trebuchet MS" w:cs="Trebuchet MS"/>
        </w:rPr>
        <w:t>established national human rights institution of the Netherlands. As such, its objective is to protect human rights, increase the awareness of these rights and to promote the observance of human rights. Therefore the right of anyone deprived of his or her liberty by arrest or detention to bring proceedings before court, as a human rights, is the Institute’s concern.</w:t>
      </w:r>
    </w:p>
    <w:p w:rsidR="009F5F52" w:rsidRPr="00997294" w:rsidRDefault="009F5F52" w:rsidP="00F21FA7">
      <w:pPr>
        <w:pStyle w:val="ListParagraph"/>
        <w:spacing w:line="360" w:lineRule="auto"/>
        <w:ind w:left="360"/>
        <w:jc w:val="both"/>
        <w:rPr>
          <w:rFonts w:ascii="Trebuchet MS" w:hAnsi="Trebuchet MS" w:cs="Trebuchet MS"/>
        </w:rPr>
      </w:pPr>
      <w:r>
        <w:rPr>
          <w:rFonts w:ascii="Trebuchet MS" w:hAnsi="Trebuchet MS" w:cs="Trebuchet MS"/>
        </w:rPr>
        <w:t>In practice the Institute has rarely dealt with this issue to date. Pre-trial detention was mentioned as a point of concern in the written submission of the Institute to the UN Committee against Torture in April 2013. See for our concern, our answer to question 3.</w:t>
      </w:r>
    </w:p>
    <w:p w:rsidR="009F5F52" w:rsidRPr="003914DE" w:rsidRDefault="009F5F52" w:rsidP="00F21FA7">
      <w:pPr>
        <w:pStyle w:val="ListParagraph"/>
        <w:numPr>
          <w:ilvl w:val="0"/>
          <w:numId w:val="1"/>
        </w:numPr>
        <w:spacing w:line="360" w:lineRule="auto"/>
        <w:ind w:left="0"/>
        <w:jc w:val="both"/>
        <w:rPr>
          <w:rFonts w:ascii="Times New Roman" w:hAnsi="Times New Roman" w:cs="Times New Roman"/>
          <w:sz w:val="24"/>
          <w:szCs w:val="24"/>
        </w:rPr>
      </w:pPr>
      <w:r w:rsidRPr="003914DE">
        <w:rPr>
          <w:rFonts w:ascii="Times New Roman" w:hAnsi="Times New Roman" w:cs="Times New Roman"/>
          <w:sz w:val="24"/>
          <w:szCs w:val="24"/>
        </w:rPr>
        <w:t xml:space="preserve">How far is the right of anyone deprived of his or her liberty to </w:t>
      </w:r>
      <w:r>
        <w:rPr>
          <w:rFonts w:ascii="Times New Roman" w:hAnsi="Times New Roman" w:cs="Times New Roman"/>
          <w:sz w:val="24"/>
          <w:szCs w:val="24"/>
        </w:rPr>
        <w:t xml:space="preserve">bring </w:t>
      </w:r>
      <w:r w:rsidRPr="003914DE">
        <w:rPr>
          <w:rFonts w:ascii="Times New Roman" w:hAnsi="Times New Roman" w:cs="Times New Roman"/>
          <w:sz w:val="24"/>
          <w:szCs w:val="24"/>
        </w:rPr>
        <w:t xml:space="preserve">proceedings before court part of the laws of your </w:t>
      </w:r>
      <w:r>
        <w:rPr>
          <w:rFonts w:ascii="Times New Roman" w:hAnsi="Times New Roman" w:cs="Times New Roman"/>
          <w:sz w:val="24"/>
          <w:szCs w:val="24"/>
        </w:rPr>
        <w:t>country</w:t>
      </w:r>
      <w:r w:rsidRPr="003914DE">
        <w:rPr>
          <w:rFonts w:ascii="Times New Roman" w:hAnsi="Times New Roman" w:cs="Times New Roman"/>
          <w:sz w:val="24"/>
          <w:szCs w:val="24"/>
        </w:rPr>
        <w:t>?</w:t>
      </w:r>
    </w:p>
    <w:p w:rsidR="009F5F52" w:rsidRPr="00AF142C" w:rsidRDefault="009F5F52" w:rsidP="00984047">
      <w:pPr>
        <w:pStyle w:val="ListParagraph"/>
        <w:spacing w:line="360" w:lineRule="auto"/>
        <w:ind w:left="360"/>
        <w:jc w:val="both"/>
        <w:rPr>
          <w:rFonts w:ascii="Trebuchet MS" w:hAnsi="Trebuchet MS" w:cs="Trebuchet MS"/>
        </w:rPr>
      </w:pPr>
      <w:r w:rsidRPr="00AF142C">
        <w:rPr>
          <w:rFonts w:ascii="Trebuchet MS" w:hAnsi="Trebuchet MS" w:cs="Trebuchet MS"/>
        </w:rPr>
        <w:t xml:space="preserve">This right is part of the Dutch criminal law. </w:t>
      </w:r>
      <w:r>
        <w:rPr>
          <w:rFonts w:ascii="Trebuchet MS" w:hAnsi="Trebuchet MS" w:cs="Trebuchet MS"/>
        </w:rPr>
        <w:t>Without being exhaustive, a brief overview</w:t>
      </w:r>
      <w:r w:rsidRPr="00AF142C">
        <w:rPr>
          <w:rFonts w:ascii="Trebuchet MS" w:hAnsi="Trebuchet MS" w:cs="Trebuchet MS"/>
        </w:rPr>
        <w:t>:</w:t>
      </w:r>
    </w:p>
    <w:p w:rsidR="009F5F52" w:rsidRPr="00AF142C" w:rsidRDefault="009F5F52" w:rsidP="00984047">
      <w:pPr>
        <w:pStyle w:val="ListParagraph"/>
        <w:spacing w:line="360" w:lineRule="auto"/>
        <w:ind w:left="360"/>
        <w:jc w:val="both"/>
        <w:rPr>
          <w:rFonts w:ascii="Trebuchet MS" w:hAnsi="Trebuchet MS" w:cs="Trebuchet MS"/>
        </w:rPr>
      </w:pPr>
      <w:r w:rsidRPr="00AF142C">
        <w:rPr>
          <w:rFonts w:ascii="Trebuchet MS" w:hAnsi="Trebuchet MS" w:cs="Trebuchet MS"/>
        </w:rPr>
        <w:t xml:space="preserve">Article 59a Code of Criminal Procedure, which says that if an arrested person is detained (by order of the public prosecutor), he has to be shown to an </w:t>
      </w:r>
      <w:r>
        <w:rPr>
          <w:rFonts w:ascii="Trebuchet MS" w:hAnsi="Trebuchet MS" w:cs="Trebuchet MS"/>
        </w:rPr>
        <w:t>investigative</w:t>
      </w:r>
      <w:r w:rsidRPr="00AF142C">
        <w:rPr>
          <w:rFonts w:ascii="Trebuchet MS" w:hAnsi="Trebuchet MS" w:cs="Trebuchet MS"/>
        </w:rPr>
        <w:t xml:space="preserve"> judge</w:t>
      </w:r>
      <w:r>
        <w:rPr>
          <w:rFonts w:ascii="Trebuchet MS" w:hAnsi="Trebuchet MS" w:cs="Trebuchet MS"/>
        </w:rPr>
        <w:t xml:space="preserve"> (</w:t>
      </w:r>
      <w:r w:rsidRPr="006348EF">
        <w:rPr>
          <w:rFonts w:ascii="Trebuchet MS" w:hAnsi="Trebuchet MS" w:cs="Trebuchet MS"/>
          <w:i/>
          <w:iCs/>
        </w:rPr>
        <w:t>rechter-commissaris</w:t>
      </w:r>
      <w:r>
        <w:rPr>
          <w:rFonts w:ascii="Trebuchet MS" w:hAnsi="Trebuchet MS" w:cs="Trebuchet MS"/>
        </w:rPr>
        <w:t>)</w:t>
      </w:r>
      <w:r w:rsidRPr="00AF142C">
        <w:rPr>
          <w:rFonts w:ascii="Trebuchet MS" w:hAnsi="Trebuchet MS" w:cs="Trebuchet MS"/>
        </w:rPr>
        <w:t xml:space="preserve"> within three days and 15 hours after the moment of his arrest. This judge can decide if the detention (</w:t>
      </w:r>
      <w:r w:rsidRPr="00AF142C">
        <w:rPr>
          <w:rFonts w:ascii="Trebuchet MS" w:hAnsi="Trebuchet MS" w:cs="Trebuchet MS"/>
          <w:i/>
          <w:iCs/>
        </w:rPr>
        <w:t>inverzekeringstelling</w:t>
      </w:r>
      <w:r w:rsidRPr="00AF142C">
        <w:rPr>
          <w:rFonts w:ascii="Trebuchet MS" w:hAnsi="Trebuchet MS" w:cs="Trebuchet MS"/>
        </w:rPr>
        <w:t>) was lawful or not.</w:t>
      </w:r>
    </w:p>
    <w:p w:rsidR="009F5F52" w:rsidRPr="00AF142C" w:rsidRDefault="009F5F52" w:rsidP="00984047">
      <w:pPr>
        <w:pStyle w:val="ListParagraph"/>
        <w:spacing w:line="360" w:lineRule="auto"/>
        <w:ind w:left="360"/>
        <w:jc w:val="both"/>
        <w:rPr>
          <w:rFonts w:ascii="Trebuchet MS" w:hAnsi="Trebuchet MS" w:cs="Trebuchet MS"/>
        </w:rPr>
      </w:pPr>
      <w:r w:rsidRPr="00AF142C">
        <w:rPr>
          <w:rFonts w:ascii="Trebuchet MS" w:hAnsi="Trebuchet MS" w:cs="Trebuchet MS"/>
        </w:rPr>
        <w:t xml:space="preserve">Article 63 Code of Criminal Procedure, which </w:t>
      </w:r>
      <w:r>
        <w:rPr>
          <w:rFonts w:ascii="Trebuchet MS" w:hAnsi="Trebuchet MS" w:cs="Trebuchet MS"/>
        </w:rPr>
        <w:t>allows for the investigative</w:t>
      </w:r>
      <w:r w:rsidRPr="00AF142C">
        <w:rPr>
          <w:rFonts w:ascii="Trebuchet MS" w:hAnsi="Trebuchet MS" w:cs="Trebuchet MS"/>
        </w:rPr>
        <w:t xml:space="preserve"> judge to decide on an order for pre-trial detention (</w:t>
      </w:r>
      <w:r w:rsidRPr="00AF142C">
        <w:rPr>
          <w:rFonts w:ascii="Trebuchet MS" w:hAnsi="Trebuchet MS" w:cs="Trebuchet MS"/>
          <w:i/>
          <w:iCs/>
        </w:rPr>
        <w:t>bevel tot bewaring</w:t>
      </w:r>
      <w:r w:rsidRPr="00AF142C">
        <w:rPr>
          <w:rFonts w:ascii="Trebuchet MS" w:hAnsi="Trebuchet MS" w:cs="Trebuchet MS"/>
        </w:rPr>
        <w:t>). This detention can last up to 14 days (Article 64).</w:t>
      </w:r>
    </w:p>
    <w:p w:rsidR="009F5F52" w:rsidRPr="00AF142C" w:rsidRDefault="009F5F52" w:rsidP="00984047">
      <w:pPr>
        <w:pStyle w:val="ListParagraph"/>
        <w:spacing w:line="360" w:lineRule="auto"/>
        <w:ind w:left="360"/>
        <w:jc w:val="both"/>
        <w:rPr>
          <w:rFonts w:ascii="Trebuchet MS" w:hAnsi="Trebuchet MS" w:cs="Trebuchet MS"/>
        </w:rPr>
      </w:pPr>
      <w:r w:rsidRPr="00AF142C">
        <w:rPr>
          <w:rFonts w:ascii="Trebuchet MS" w:hAnsi="Trebuchet MS" w:cs="Trebuchet MS"/>
        </w:rPr>
        <w:lastRenderedPageBreak/>
        <w:t xml:space="preserve">A </w:t>
      </w:r>
      <w:r>
        <w:rPr>
          <w:rFonts w:ascii="Trebuchet MS" w:hAnsi="Trebuchet MS" w:cs="Trebuchet MS"/>
        </w:rPr>
        <w:t>council chamber (</w:t>
      </w:r>
      <w:r>
        <w:rPr>
          <w:rFonts w:ascii="Trebuchet MS" w:hAnsi="Trebuchet MS" w:cs="Trebuchet MS"/>
          <w:i/>
          <w:iCs/>
        </w:rPr>
        <w:t>raadkamer</w:t>
      </w:r>
      <w:r>
        <w:rPr>
          <w:rFonts w:ascii="Trebuchet MS" w:hAnsi="Trebuchet MS" w:cs="Trebuchet MS"/>
        </w:rPr>
        <w:t>)</w:t>
      </w:r>
      <w:r w:rsidRPr="00AF142C">
        <w:rPr>
          <w:rFonts w:ascii="Trebuchet MS" w:hAnsi="Trebuchet MS" w:cs="Trebuchet MS"/>
        </w:rPr>
        <w:t xml:space="preserve"> can then decide on </w:t>
      </w:r>
      <w:r>
        <w:rPr>
          <w:rFonts w:ascii="Trebuchet MS" w:hAnsi="Trebuchet MS" w:cs="Trebuchet MS"/>
        </w:rPr>
        <w:t>the continuation of the order</w:t>
      </w:r>
      <w:r w:rsidRPr="00AF142C">
        <w:rPr>
          <w:rFonts w:ascii="Trebuchet MS" w:hAnsi="Trebuchet MS" w:cs="Trebuchet MS"/>
        </w:rPr>
        <w:t xml:space="preserve"> (</w:t>
      </w:r>
      <w:r w:rsidRPr="00AF142C">
        <w:rPr>
          <w:rFonts w:ascii="Trebuchet MS" w:hAnsi="Trebuchet MS" w:cs="Trebuchet MS"/>
          <w:i/>
          <w:iCs/>
        </w:rPr>
        <w:t>bevel tot gevangenhouding</w:t>
      </w:r>
      <w:r w:rsidRPr="00AF142C">
        <w:rPr>
          <w:rFonts w:ascii="Trebuchet MS" w:hAnsi="Trebuchet MS" w:cs="Trebuchet MS"/>
        </w:rPr>
        <w:t>) for a period up to 90 days, on the basis of Article 65. The grounds on which this can be decided, are mentioned in Article 67a.</w:t>
      </w:r>
    </w:p>
    <w:p w:rsidR="009F5F52" w:rsidRPr="00AF142C" w:rsidRDefault="009F5F52" w:rsidP="00984047">
      <w:pPr>
        <w:pStyle w:val="ListParagraph"/>
        <w:spacing w:line="360" w:lineRule="auto"/>
        <w:ind w:left="360"/>
        <w:jc w:val="both"/>
        <w:rPr>
          <w:rFonts w:ascii="Trebuchet MS" w:hAnsi="Trebuchet MS" w:cs="Trebuchet MS"/>
        </w:rPr>
      </w:pPr>
      <w:r w:rsidRPr="00AF142C">
        <w:rPr>
          <w:rFonts w:ascii="Trebuchet MS" w:hAnsi="Trebuchet MS" w:cs="Trebuchet MS"/>
        </w:rPr>
        <w:t xml:space="preserve">At the end of this period, the trial of the accused must have commenced. </w:t>
      </w:r>
    </w:p>
    <w:p w:rsidR="009F5F52" w:rsidRPr="000C5497" w:rsidRDefault="009F5F52" w:rsidP="00F069E9">
      <w:pPr>
        <w:pStyle w:val="ListParagraph"/>
        <w:numPr>
          <w:ilvl w:val="0"/>
          <w:numId w:val="1"/>
        </w:numPr>
        <w:spacing w:line="360" w:lineRule="auto"/>
        <w:ind w:left="0"/>
        <w:jc w:val="both"/>
        <w:rPr>
          <w:rFonts w:ascii="Times New Roman" w:hAnsi="Times New Roman" w:cs="Times New Roman"/>
          <w:sz w:val="24"/>
          <w:szCs w:val="24"/>
        </w:rPr>
      </w:pPr>
      <w:r w:rsidRPr="000C5497">
        <w:rPr>
          <w:rFonts w:ascii="Times New Roman" w:hAnsi="Times New Roman" w:cs="Times New Roman"/>
          <w:sz w:val="24"/>
          <w:szCs w:val="24"/>
        </w:rPr>
        <w:t>Please describe the most common problems individuals face in their</w:t>
      </w:r>
      <w:r>
        <w:rPr>
          <w:rFonts w:ascii="Times New Roman" w:hAnsi="Times New Roman" w:cs="Times New Roman"/>
          <w:sz w:val="24"/>
          <w:szCs w:val="24"/>
        </w:rPr>
        <w:t xml:space="preserve"> realization of the right in your country.</w:t>
      </w:r>
    </w:p>
    <w:p w:rsidR="009F5F52" w:rsidRPr="002E2FA8" w:rsidRDefault="009F5F52" w:rsidP="00984047">
      <w:pPr>
        <w:autoSpaceDE w:val="0"/>
        <w:autoSpaceDN w:val="0"/>
        <w:adjustRightInd w:val="0"/>
        <w:spacing w:line="360" w:lineRule="auto"/>
        <w:ind w:left="360"/>
        <w:jc w:val="both"/>
        <w:rPr>
          <w:rFonts w:ascii="Trebuchet MS" w:hAnsi="Trebuchet MS" w:cs="Trebuchet MS"/>
          <w:highlight w:val="yellow"/>
        </w:rPr>
      </w:pPr>
      <w:r w:rsidRPr="002E2FA8">
        <w:rPr>
          <w:rFonts w:ascii="Trebuchet MS" w:hAnsi="Trebuchet MS" w:cs="Trebuchet MS"/>
        </w:rPr>
        <w:t xml:space="preserve">This right is generally recognized and upheld in the Netherlands. However, some problems may occur in pre-trial detention. </w:t>
      </w:r>
      <w:r w:rsidRPr="002E2FA8">
        <w:rPr>
          <w:rFonts w:ascii="Trebuchet MS" w:hAnsi="Trebuchet MS" w:cs="Trebuchet MS"/>
          <w:lang w:val="nl-NL" w:eastAsia="nl-NL"/>
        </w:rPr>
        <w:t>A relatively large percentage of the population in detention in the Netherlands consists of pre-trial detainees (Statistics Netherlands (CBS), ‘Criminaliteit en rechtshandhaving 2011’, pp. 170-174). To issue an order for pre-trial detention, there have to be ‘grounds’ and ‘serious indications’ (</w:t>
      </w:r>
      <w:r w:rsidRPr="002E2FA8">
        <w:rPr>
          <w:rFonts w:ascii="Trebuchet MS" w:hAnsi="Trebuchet MS" w:cs="Trebuchet MS"/>
          <w:i/>
          <w:iCs/>
          <w:lang w:val="nl-NL" w:eastAsia="nl-NL"/>
        </w:rPr>
        <w:t>ernstige bezwaren</w:t>
      </w:r>
      <w:r w:rsidRPr="002E2FA8">
        <w:rPr>
          <w:rFonts w:ascii="Trebuchet MS" w:hAnsi="Trebuchet MS" w:cs="Trebuchet MS"/>
          <w:lang w:val="nl-NL" w:eastAsia="nl-NL"/>
        </w:rPr>
        <w:t>) against the suspect (Article 67 of the Code of Criminal Procedure determines in which cases an order for pretrial detention can be issued. Its last paragraph reads: “The previous paragraphs are only applied when it appears from the facts or circumstances that there are serious indications against the suspect”). First, the investigative judge (</w:t>
      </w:r>
      <w:r w:rsidRPr="002E2FA8">
        <w:rPr>
          <w:rFonts w:ascii="Trebuchet MS" w:hAnsi="Trebuchet MS" w:cs="Trebuchet MS"/>
          <w:i/>
          <w:iCs/>
          <w:lang w:val="nl-NL" w:eastAsia="nl-NL"/>
        </w:rPr>
        <w:t>rechter-commissaris</w:t>
      </w:r>
      <w:r w:rsidRPr="002E2FA8">
        <w:rPr>
          <w:rFonts w:ascii="Trebuchet MS" w:hAnsi="Trebuchet MS" w:cs="Trebuchet MS"/>
          <w:lang w:val="nl-NL" w:eastAsia="nl-NL"/>
        </w:rPr>
        <w:t>) will decide on this. At most fourteen days later, the council chamber (</w:t>
      </w:r>
      <w:r w:rsidRPr="002E2FA8">
        <w:rPr>
          <w:rFonts w:ascii="Trebuchet MS" w:hAnsi="Trebuchet MS" w:cs="Trebuchet MS"/>
          <w:i/>
          <w:iCs/>
          <w:lang w:val="nl-NL" w:eastAsia="nl-NL"/>
        </w:rPr>
        <w:t>raadkamer</w:t>
      </w:r>
      <w:r w:rsidRPr="002E2FA8">
        <w:rPr>
          <w:rFonts w:ascii="Trebuchet MS" w:hAnsi="Trebuchet MS" w:cs="Trebuchet MS"/>
          <w:lang w:val="nl-NL" w:eastAsia="nl-NL"/>
        </w:rPr>
        <w:t>) will decide on the continuation of the order. Often, the motivation of the court decision to order continuation of pre-trial detention is minimal. The Institute believes decisions concerning pre-trial detention require adequate motivation, so as to provide insight into the reasons for the decision and to be able to institute habeas corpus procedures. In these cases, a more elaborate motivation by the courts would be beneficial for understanding the decision.</w:t>
      </w:r>
    </w:p>
    <w:p w:rsidR="009F5F52" w:rsidRDefault="009F5F52" w:rsidP="00204DDD">
      <w:pPr>
        <w:pStyle w:val="ListParagraph"/>
        <w:numPr>
          <w:ilvl w:val="0"/>
          <w:numId w:val="1"/>
        </w:numPr>
        <w:spacing w:line="360" w:lineRule="auto"/>
        <w:ind w:left="0"/>
        <w:jc w:val="both"/>
        <w:rPr>
          <w:rFonts w:ascii="Times New Roman" w:hAnsi="Times New Roman" w:cs="Times New Roman"/>
          <w:sz w:val="24"/>
          <w:szCs w:val="24"/>
        </w:rPr>
      </w:pPr>
      <w:r w:rsidRPr="000C5497">
        <w:rPr>
          <w:rFonts w:ascii="Times New Roman" w:hAnsi="Times New Roman" w:cs="Times New Roman"/>
          <w:sz w:val="24"/>
          <w:szCs w:val="24"/>
        </w:rPr>
        <w:t xml:space="preserve">How </w:t>
      </w:r>
      <w:r>
        <w:rPr>
          <w:rFonts w:ascii="Times New Roman" w:hAnsi="Times New Roman" w:cs="Times New Roman"/>
          <w:sz w:val="24"/>
          <w:szCs w:val="24"/>
        </w:rPr>
        <w:t xml:space="preserve">does your national institution assist </w:t>
      </w:r>
      <w:r w:rsidRPr="000C5497">
        <w:rPr>
          <w:rFonts w:ascii="Times New Roman" w:hAnsi="Times New Roman" w:cs="Times New Roman"/>
          <w:sz w:val="24"/>
          <w:szCs w:val="24"/>
        </w:rPr>
        <w:t>individuals who do not enjoy the right to bring proceedings before the court?</w:t>
      </w:r>
    </w:p>
    <w:p w:rsidR="009F5F52" w:rsidRPr="00997294" w:rsidRDefault="009F5F52" w:rsidP="00984047">
      <w:pPr>
        <w:pStyle w:val="ListParagraph"/>
        <w:spacing w:line="360" w:lineRule="auto"/>
        <w:ind w:left="360"/>
        <w:jc w:val="both"/>
        <w:rPr>
          <w:rFonts w:ascii="Trebuchet MS" w:hAnsi="Trebuchet MS" w:cs="Trebuchet MS"/>
        </w:rPr>
      </w:pPr>
      <w:r w:rsidRPr="00997294">
        <w:rPr>
          <w:rFonts w:ascii="Trebuchet MS" w:hAnsi="Trebuchet MS" w:cs="Trebuchet MS"/>
        </w:rPr>
        <w:t>The Institute itself cannot consider these complaints of individuals.</w:t>
      </w:r>
      <w:r>
        <w:rPr>
          <w:rFonts w:ascii="Trebuchet MS" w:hAnsi="Trebuchet MS" w:cs="Trebuchet MS"/>
        </w:rPr>
        <w:t xml:space="preserve"> However, t</w:t>
      </w:r>
      <w:r w:rsidRPr="00997294">
        <w:rPr>
          <w:rFonts w:ascii="Trebuchet MS" w:hAnsi="Trebuchet MS" w:cs="Trebuchet MS"/>
        </w:rPr>
        <w:t xml:space="preserve">he Institute has a front office, which can be reached by telephone and e-mail. This front office can redirect individuals who do not enjoy the right to bring proceedings before the court to the competent authority to help them. </w:t>
      </w:r>
    </w:p>
    <w:p w:rsidR="009F5F52" w:rsidRDefault="009F5F52" w:rsidP="00997294">
      <w:pPr>
        <w:pStyle w:val="ListParagraph"/>
        <w:numPr>
          <w:ilvl w:val="0"/>
          <w:numId w:val="1"/>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Does your national institution assist your country in the realization and implementation of this right? If yes, please explain how.</w:t>
      </w:r>
    </w:p>
    <w:p w:rsidR="009F5F52" w:rsidRDefault="009F5F52" w:rsidP="00984047">
      <w:pPr>
        <w:autoSpaceDE w:val="0"/>
        <w:autoSpaceDN w:val="0"/>
        <w:adjustRightInd w:val="0"/>
        <w:spacing w:line="360" w:lineRule="auto"/>
        <w:ind w:left="360"/>
        <w:rPr>
          <w:rFonts w:ascii="Trebuchet MS" w:hAnsi="Trebuchet MS" w:cs="Trebuchet MS"/>
        </w:rPr>
      </w:pPr>
      <w:r w:rsidRPr="00997294">
        <w:rPr>
          <w:rFonts w:ascii="Trebuchet MS" w:hAnsi="Trebuchet MS" w:cs="Trebuchet MS"/>
        </w:rPr>
        <w:lastRenderedPageBreak/>
        <w:t xml:space="preserve">The duties of the Institute include to report on and make recommendations about the protection </w:t>
      </w:r>
      <w:r>
        <w:rPr>
          <w:rFonts w:ascii="Trebuchet MS" w:hAnsi="Trebuchet MS" w:cs="Trebuchet MS"/>
        </w:rPr>
        <w:t>of human rights. On the issue of pre-trial detention (see our answer under question 3) the Institute reported to the UN Committee against Torture in April 2013.</w:t>
      </w:r>
    </w:p>
    <w:p w:rsidR="009F5F52" w:rsidRPr="00997294" w:rsidRDefault="009F5F52" w:rsidP="00984047">
      <w:pPr>
        <w:autoSpaceDE w:val="0"/>
        <w:autoSpaceDN w:val="0"/>
        <w:adjustRightInd w:val="0"/>
        <w:spacing w:line="360" w:lineRule="auto"/>
        <w:ind w:left="360"/>
        <w:rPr>
          <w:rFonts w:ascii="Trebuchet MS" w:hAnsi="Trebuchet MS" w:cs="Trebuchet MS"/>
        </w:rPr>
      </w:pPr>
      <w:r>
        <w:rPr>
          <w:rFonts w:ascii="Trebuchet MS" w:hAnsi="Trebuchet MS" w:cs="Trebuchet MS"/>
        </w:rPr>
        <w:t xml:space="preserve"> In addition, the Institute</w:t>
      </w:r>
      <w:r w:rsidRPr="00997294">
        <w:rPr>
          <w:rFonts w:ascii="Trebuchet MS" w:hAnsi="Trebuchet MS" w:cs="Trebuchet MS"/>
        </w:rPr>
        <w:t xml:space="preserve"> can provide advice (either at the request of a Minister or parliament) </w:t>
      </w:r>
      <w:r w:rsidRPr="00997294">
        <w:rPr>
          <w:rFonts w:ascii="Trebuchet MS" w:hAnsi="Trebuchet MS" w:cs="Trebuchet MS"/>
          <w:lang w:val="nl-NL" w:eastAsia="nl-NL"/>
        </w:rPr>
        <w:t>on acts, bills, orders in council, draft orders in council, ministerial orders and drafts of ministerial orders that relate directly or indirectly to human rights.</w:t>
      </w:r>
      <w:r w:rsidRPr="00997294">
        <w:rPr>
          <w:rFonts w:ascii="Trebuchet MS" w:hAnsi="Trebuchet MS" w:cs="Trebuchet MS"/>
        </w:rPr>
        <w:t xml:space="preserve"> </w:t>
      </w:r>
    </w:p>
    <w:p w:rsidR="009F5F52" w:rsidRDefault="009F5F52" w:rsidP="00A50453">
      <w:pPr>
        <w:pStyle w:val="ListParagraph"/>
        <w:numPr>
          <w:ilvl w:val="0"/>
          <w:numId w:val="1"/>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How would the general principles and guidelines that the Working Group has been entrusted to elaborate on the realization of the right to bring proceedings before court best support your work?</w:t>
      </w:r>
    </w:p>
    <w:p w:rsidR="009F5F52" w:rsidRPr="00601E6F" w:rsidRDefault="009F5F52" w:rsidP="00984047">
      <w:pPr>
        <w:pStyle w:val="ListParagraph"/>
        <w:spacing w:line="360" w:lineRule="auto"/>
        <w:ind w:left="360"/>
        <w:jc w:val="both"/>
        <w:rPr>
          <w:rFonts w:ascii="Trebuchet MS" w:hAnsi="Trebuchet MS" w:cs="Trebuchet MS"/>
        </w:rPr>
      </w:pPr>
      <w:r w:rsidRPr="00601E6F">
        <w:rPr>
          <w:rFonts w:ascii="Trebuchet MS" w:hAnsi="Trebuchet MS" w:cs="Trebuchet MS"/>
        </w:rPr>
        <w:t xml:space="preserve">The principles and guidelines would best support </w:t>
      </w:r>
      <w:r>
        <w:rPr>
          <w:rFonts w:ascii="Trebuchet MS" w:hAnsi="Trebuchet MS" w:cs="Trebuchet MS"/>
        </w:rPr>
        <w:t>our</w:t>
      </w:r>
      <w:r w:rsidRPr="00601E6F">
        <w:rPr>
          <w:rFonts w:ascii="Trebuchet MS" w:hAnsi="Trebuchet MS" w:cs="Trebuchet MS"/>
        </w:rPr>
        <w:t xml:space="preserve"> work if they would be more detailed and to the point than existing human rights standards, allowing us to use those principles and guidelines to further explain the content of the right to bring proceedings before court.</w:t>
      </w:r>
    </w:p>
    <w:p w:rsidR="009F5F52" w:rsidRDefault="009F5F52" w:rsidP="00A50453">
      <w:pPr>
        <w:pStyle w:val="ListParagraph"/>
        <w:numPr>
          <w:ilvl w:val="0"/>
          <w:numId w:val="1"/>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In your view, how would these general principles and guidelines best support your country?</w:t>
      </w:r>
    </w:p>
    <w:p w:rsidR="009F5F52" w:rsidRPr="00601E6F" w:rsidRDefault="009F5F52" w:rsidP="00984047">
      <w:pPr>
        <w:pStyle w:val="ListParagraph"/>
        <w:spacing w:line="360" w:lineRule="auto"/>
        <w:ind w:left="360"/>
        <w:jc w:val="both"/>
        <w:rPr>
          <w:rFonts w:ascii="Trebuchet MS" w:hAnsi="Trebuchet MS" w:cs="Trebuchet MS"/>
        </w:rPr>
      </w:pPr>
      <w:r>
        <w:rPr>
          <w:rFonts w:ascii="Trebuchet MS" w:hAnsi="Trebuchet MS" w:cs="Trebuchet MS"/>
        </w:rPr>
        <w:t>These principles would best support our country, i</w:t>
      </w:r>
      <w:r w:rsidRPr="00601E6F">
        <w:rPr>
          <w:rFonts w:ascii="Trebuchet MS" w:hAnsi="Trebuchet MS" w:cs="Trebuchet MS"/>
        </w:rPr>
        <w:t>f they would point out the need for a substantive</w:t>
      </w:r>
      <w:r>
        <w:rPr>
          <w:rFonts w:ascii="Trebuchet MS" w:hAnsi="Trebuchet MS" w:cs="Trebuchet MS"/>
        </w:rPr>
        <w:t xml:space="preserve"> </w:t>
      </w:r>
      <w:r w:rsidRPr="00601E6F">
        <w:rPr>
          <w:rFonts w:ascii="Trebuchet MS" w:hAnsi="Trebuchet MS" w:cs="Trebuchet MS"/>
        </w:rPr>
        <w:t>motivation of an order for pre-trial detention.</w:t>
      </w:r>
      <w:r>
        <w:rPr>
          <w:rFonts w:ascii="Trebuchet MS" w:hAnsi="Trebuchet MS" w:cs="Trebuchet MS"/>
        </w:rPr>
        <w:t xml:space="preserve"> Furthermore, they should be to the point and not lower existing human rights standards, including European human rights standards.</w:t>
      </w:r>
    </w:p>
    <w:sectPr w:rsidR="009F5F52" w:rsidRPr="00601E6F" w:rsidSect="00983285">
      <w:footerReference w:type="default" r:id="rId9"/>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F52" w:rsidRDefault="009F5F52" w:rsidP="00FC26DF">
      <w:pPr>
        <w:spacing w:after="0" w:line="240" w:lineRule="auto"/>
        <w:rPr>
          <w:rFonts w:cs="Times New Roman"/>
        </w:rPr>
      </w:pPr>
      <w:r>
        <w:rPr>
          <w:rFonts w:cs="Times New Roman"/>
        </w:rPr>
        <w:separator/>
      </w:r>
    </w:p>
  </w:endnote>
  <w:endnote w:type="continuationSeparator" w:id="0">
    <w:p w:rsidR="009F5F52" w:rsidRDefault="009F5F52" w:rsidP="00FC26DF">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
    <w:altName w:val="MS Mincho"/>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F52" w:rsidRPr="004B53B0" w:rsidRDefault="009F5F52" w:rsidP="005B0354">
    <w:pPr>
      <w:pStyle w:val="Footer"/>
      <w:framePr w:wrap="auto" w:vAnchor="text" w:hAnchor="margin" w:xAlign="right" w:y="1"/>
      <w:rPr>
        <w:rStyle w:val="PageNumber"/>
        <w:rFonts w:ascii="Times New Roman" w:hAnsi="Times New Roman" w:cs="Times New Roman"/>
        <w:sz w:val="24"/>
        <w:szCs w:val="24"/>
      </w:rPr>
    </w:pPr>
    <w:r w:rsidRPr="004B53B0">
      <w:rPr>
        <w:rStyle w:val="PageNumber"/>
        <w:rFonts w:ascii="Times New Roman" w:hAnsi="Times New Roman" w:cs="Times New Roman"/>
        <w:sz w:val="24"/>
        <w:szCs w:val="24"/>
      </w:rPr>
      <w:fldChar w:fldCharType="begin"/>
    </w:r>
    <w:r w:rsidRPr="004B53B0">
      <w:rPr>
        <w:rStyle w:val="PageNumber"/>
        <w:rFonts w:ascii="Times New Roman" w:hAnsi="Times New Roman" w:cs="Times New Roman"/>
        <w:sz w:val="24"/>
        <w:szCs w:val="24"/>
      </w:rPr>
      <w:instrText xml:space="preserve">PAGE  </w:instrText>
    </w:r>
    <w:r w:rsidRPr="004B53B0">
      <w:rPr>
        <w:rStyle w:val="PageNumber"/>
        <w:rFonts w:ascii="Times New Roman" w:hAnsi="Times New Roman" w:cs="Times New Roman"/>
        <w:sz w:val="24"/>
        <w:szCs w:val="24"/>
      </w:rPr>
      <w:fldChar w:fldCharType="separate"/>
    </w:r>
    <w:r w:rsidR="00FA7622">
      <w:rPr>
        <w:rStyle w:val="PageNumber"/>
        <w:rFonts w:ascii="Times New Roman" w:hAnsi="Times New Roman" w:cs="Times New Roman"/>
        <w:noProof/>
        <w:sz w:val="24"/>
        <w:szCs w:val="24"/>
      </w:rPr>
      <w:t>1</w:t>
    </w:r>
    <w:r w:rsidRPr="004B53B0">
      <w:rPr>
        <w:rStyle w:val="PageNumber"/>
        <w:rFonts w:ascii="Times New Roman" w:hAnsi="Times New Roman" w:cs="Times New Roman"/>
        <w:sz w:val="24"/>
        <w:szCs w:val="24"/>
      </w:rPr>
      <w:fldChar w:fldCharType="end"/>
    </w:r>
  </w:p>
  <w:p w:rsidR="009F5F52" w:rsidRDefault="009F5F52" w:rsidP="003502E5">
    <w:pPr>
      <w:pStyle w:val="Footer"/>
      <w:ind w:right="360"/>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F52" w:rsidRDefault="009F5F52" w:rsidP="00FC26DF">
      <w:pPr>
        <w:spacing w:after="0" w:line="240" w:lineRule="auto"/>
        <w:rPr>
          <w:rFonts w:cs="Times New Roman"/>
        </w:rPr>
      </w:pPr>
      <w:r>
        <w:rPr>
          <w:rFonts w:cs="Times New Roman"/>
        </w:rPr>
        <w:separator/>
      </w:r>
    </w:p>
  </w:footnote>
  <w:footnote w:type="continuationSeparator" w:id="0">
    <w:p w:rsidR="009F5F52" w:rsidRDefault="009F5F52" w:rsidP="00FC26DF">
      <w:pPr>
        <w:spacing w:after="0" w:line="240" w:lineRule="auto"/>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238AD"/>
    <w:multiLevelType w:val="hybridMultilevel"/>
    <w:tmpl w:val="4F4C9A0E"/>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trackRevisions/>
  <w:defaultTabStop w:val="720"/>
  <w:hyphenationZone w:val="425"/>
  <w:doNotHyphenateCaps/>
  <w:drawingGridHorizontalSpacing w:val="360"/>
  <w:drawingGridVerticalSpacing w:val="36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E41"/>
    <w:rsid w:val="0007220D"/>
    <w:rsid w:val="000C5497"/>
    <w:rsid w:val="0015680D"/>
    <w:rsid w:val="00191BC1"/>
    <w:rsid w:val="001D29CD"/>
    <w:rsid w:val="00204DDD"/>
    <w:rsid w:val="00221841"/>
    <w:rsid w:val="002678E8"/>
    <w:rsid w:val="002E0FE7"/>
    <w:rsid w:val="002E2FA8"/>
    <w:rsid w:val="00344B74"/>
    <w:rsid w:val="003502E5"/>
    <w:rsid w:val="00354EDF"/>
    <w:rsid w:val="00362518"/>
    <w:rsid w:val="00381583"/>
    <w:rsid w:val="00390C40"/>
    <w:rsid w:val="003914DE"/>
    <w:rsid w:val="003E0B45"/>
    <w:rsid w:val="004B53B0"/>
    <w:rsid w:val="004E15A7"/>
    <w:rsid w:val="004E461B"/>
    <w:rsid w:val="004F54E5"/>
    <w:rsid w:val="00555D38"/>
    <w:rsid w:val="005B0354"/>
    <w:rsid w:val="00601E6F"/>
    <w:rsid w:val="006348EF"/>
    <w:rsid w:val="00641DFE"/>
    <w:rsid w:val="00643CC7"/>
    <w:rsid w:val="00652F6F"/>
    <w:rsid w:val="006C1B8F"/>
    <w:rsid w:val="006E4F96"/>
    <w:rsid w:val="007E0EC2"/>
    <w:rsid w:val="007E5318"/>
    <w:rsid w:val="0080579D"/>
    <w:rsid w:val="00836C0E"/>
    <w:rsid w:val="00872E73"/>
    <w:rsid w:val="008E28E9"/>
    <w:rsid w:val="008E5A50"/>
    <w:rsid w:val="008E6349"/>
    <w:rsid w:val="00923AA1"/>
    <w:rsid w:val="009424C1"/>
    <w:rsid w:val="0096685B"/>
    <w:rsid w:val="00983285"/>
    <w:rsid w:val="00984047"/>
    <w:rsid w:val="00997294"/>
    <w:rsid w:val="009C134F"/>
    <w:rsid w:val="009F5F52"/>
    <w:rsid w:val="00A04E41"/>
    <w:rsid w:val="00A50453"/>
    <w:rsid w:val="00AC5B57"/>
    <w:rsid w:val="00AF142C"/>
    <w:rsid w:val="00AF3BA7"/>
    <w:rsid w:val="00B06CB6"/>
    <w:rsid w:val="00B9762D"/>
    <w:rsid w:val="00BC1D2B"/>
    <w:rsid w:val="00D00DF5"/>
    <w:rsid w:val="00D35B64"/>
    <w:rsid w:val="00D469BA"/>
    <w:rsid w:val="00D5506D"/>
    <w:rsid w:val="00DA4AC6"/>
    <w:rsid w:val="00DF6FAA"/>
    <w:rsid w:val="00E93D72"/>
    <w:rsid w:val="00EF4A41"/>
    <w:rsid w:val="00EF59D3"/>
    <w:rsid w:val="00F069E9"/>
    <w:rsid w:val="00F21FA7"/>
    <w:rsid w:val="00F9323A"/>
    <w:rsid w:val="00FA7622"/>
    <w:rsid w:val="00FC26DF"/>
    <w:rsid w:val="00FD4EB3"/>
    <w:rsid w:val="00FD56A2"/>
    <w:rsid w:val="00FE06E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E41"/>
    <w:pPr>
      <w:spacing w:after="200" w:line="276" w:lineRule="auto"/>
    </w:pPr>
    <w:rPr>
      <w:rFonts w:ascii="Cambria" w:hAnsi="Cambria" w:cs="Cambria"/>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625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362518"/>
    <w:rPr>
      <w:rFonts w:ascii="Lucida Grande" w:hAnsi="Lucida Grande" w:cs="Lucida Grande"/>
      <w:sz w:val="18"/>
      <w:szCs w:val="18"/>
      <w:lang w:val="en-GB"/>
    </w:rPr>
  </w:style>
  <w:style w:type="paragraph" w:styleId="FootnoteText">
    <w:name w:val="footnote text"/>
    <w:basedOn w:val="Normal"/>
    <w:link w:val="FootnoteTextChar"/>
    <w:uiPriority w:val="99"/>
    <w:semiHidden/>
    <w:rsid w:val="00BC1D2B"/>
  </w:style>
  <w:style w:type="character" w:customStyle="1" w:styleId="FootnoteTextChar">
    <w:name w:val="Footnote Text Char"/>
    <w:basedOn w:val="DefaultParagraphFont"/>
    <w:link w:val="FootnoteText"/>
    <w:uiPriority w:val="99"/>
    <w:locked/>
    <w:rsid w:val="00BC1D2B"/>
    <w:rPr>
      <w:sz w:val="24"/>
      <w:szCs w:val="24"/>
      <w:lang w:val="en-US"/>
    </w:rPr>
  </w:style>
  <w:style w:type="paragraph" w:styleId="ListParagraph">
    <w:name w:val="List Paragraph"/>
    <w:basedOn w:val="Normal"/>
    <w:uiPriority w:val="99"/>
    <w:qFormat/>
    <w:rsid w:val="00A04E41"/>
    <w:pPr>
      <w:ind w:left="720"/>
    </w:pPr>
  </w:style>
  <w:style w:type="character" w:styleId="FootnoteReference">
    <w:name w:val="footnote reference"/>
    <w:basedOn w:val="DefaultParagraphFont"/>
    <w:uiPriority w:val="99"/>
    <w:semiHidden/>
    <w:rsid w:val="00FC26DF"/>
    <w:rPr>
      <w:vertAlign w:val="superscript"/>
    </w:rPr>
  </w:style>
  <w:style w:type="paragraph" w:styleId="Footer">
    <w:name w:val="footer"/>
    <w:basedOn w:val="Normal"/>
    <w:link w:val="FooterChar"/>
    <w:uiPriority w:val="99"/>
    <w:rsid w:val="003502E5"/>
    <w:pPr>
      <w:tabs>
        <w:tab w:val="center" w:pos="4320"/>
        <w:tab w:val="right" w:pos="8640"/>
      </w:tabs>
      <w:spacing w:after="0" w:line="240" w:lineRule="auto"/>
    </w:pPr>
  </w:style>
  <w:style w:type="character" w:customStyle="1" w:styleId="FooterChar">
    <w:name w:val="Footer Char"/>
    <w:basedOn w:val="DefaultParagraphFont"/>
    <w:link w:val="Footer"/>
    <w:uiPriority w:val="99"/>
    <w:locked/>
    <w:rsid w:val="003502E5"/>
    <w:rPr>
      <w:rFonts w:ascii="Cambria" w:hAnsi="Cambria" w:cs="Cambria"/>
      <w:sz w:val="22"/>
      <w:szCs w:val="22"/>
      <w:lang w:val="en-GB" w:eastAsia="en-US"/>
    </w:rPr>
  </w:style>
  <w:style w:type="character" w:styleId="PageNumber">
    <w:name w:val="page number"/>
    <w:basedOn w:val="DefaultParagraphFont"/>
    <w:uiPriority w:val="99"/>
    <w:semiHidden/>
    <w:rsid w:val="003502E5"/>
  </w:style>
  <w:style w:type="paragraph" w:styleId="Header">
    <w:name w:val="header"/>
    <w:basedOn w:val="Normal"/>
    <w:link w:val="HeaderChar"/>
    <w:uiPriority w:val="99"/>
    <w:rsid w:val="004B53B0"/>
    <w:pPr>
      <w:tabs>
        <w:tab w:val="center" w:pos="4320"/>
        <w:tab w:val="right" w:pos="8640"/>
      </w:tabs>
      <w:spacing w:after="0" w:line="240" w:lineRule="auto"/>
    </w:pPr>
  </w:style>
  <w:style w:type="character" w:customStyle="1" w:styleId="HeaderChar">
    <w:name w:val="Header Char"/>
    <w:basedOn w:val="DefaultParagraphFont"/>
    <w:link w:val="Header"/>
    <w:uiPriority w:val="99"/>
    <w:locked/>
    <w:rsid w:val="004B53B0"/>
    <w:rPr>
      <w:rFonts w:ascii="Cambria" w:hAnsi="Cambria" w:cs="Cambria"/>
      <w:sz w:val="22"/>
      <w:szCs w:val="22"/>
      <w:lang w:val="en-GB" w:eastAsia="en-US"/>
    </w:rPr>
  </w:style>
  <w:style w:type="character" w:styleId="CommentReference">
    <w:name w:val="annotation reference"/>
    <w:basedOn w:val="DefaultParagraphFont"/>
    <w:uiPriority w:val="99"/>
    <w:semiHidden/>
    <w:rsid w:val="004F54E5"/>
    <w:rPr>
      <w:sz w:val="16"/>
      <w:szCs w:val="16"/>
    </w:rPr>
  </w:style>
  <w:style w:type="paragraph" w:styleId="CommentText">
    <w:name w:val="annotation text"/>
    <w:basedOn w:val="Normal"/>
    <w:link w:val="CommentTextChar"/>
    <w:uiPriority w:val="99"/>
    <w:semiHidden/>
    <w:rsid w:val="004F54E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F54E5"/>
    <w:rPr>
      <w:rFonts w:ascii="Cambria" w:hAnsi="Cambria" w:cs="Cambria"/>
      <w:lang w:val="en-GB" w:eastAsia="en-US"/>
    </w:rPr>
  </w:style>
  <w:style w:type="paragraph" w:styleId="CommentSubject">
    <w:name w:val="annotation subject"/>
    <w:basedOn w:val="CommentText"/>
    <w:next w:val="CommentText"/>
    <w:link w:val="CommentSubjectChar"/>
    <w:uiPriority w:val="99"/>
    <w:semiHidden/>
    <w:rsid w:val="004F54E5"/>
    <w:rPr>
      <w:b/>
      <w:bCs/>
    </w:rPr>
  </w:style>
  <w:style w:type="character" w:customStyle="1" w:styleId="CommentSubjectChar">
    <w:name w:val="Comment Subject Char"/>
    <w:basedOn w:val="CommentTextChar"/>
    <w:link w:val="CommentSubject"/>
    <w:uiPriority w:val="99"/>
    <w:semiHidden/>
    <w:locked/>
    <w:rsid w:val="004F54E5"/>
    <w:rPr>
      <w:rFonts w:ascii="Cambria" w:hAnsi="Cambria" w:cs="Cambria"/>
      <w:b/>
      <w:bCs/>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E41"/>
    <w:pPr>
      <w:spacing w:after="200" w:line="276" w:lineRule="auto"/>
    </w:pPr>
    <w:rPr>
      <w:rFonts w:ascii="Cambria" w:hAnsi="Cambria" w:cs="Cambria"/>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625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362518"/>
    <w:rPr>
      <w:rFonts w:ascii="Lucida Grande" w:hAnsi="Lucida Grande" w:cs="Lucida Grande"/>
      <w:sz w:val="18"/>
      <w:szCs w:val="18"/>
      <w:lang w:val="en-GB"/>
    </w:rPr>
  </w:style>
  <w:style w:type="paragraph" w:styleId="FootnoteText">
    <w:name w:val="footnote text"/>
    <w:basedOn w:val="Normal"/>
    <w:link w:val="FootnoteTextChar"/>
    <w:uiPriority w:val="99"/>
    <w:semiHidden/>
    <w:rsid w:val="00BC1D2B"/>
  </w:style>
  <w:style w:type="character" w:customStyle="1" w:styleId="FootnoteTextChar">
    <w:name w:val="Footnote Text Char"/>
    <w:basedOn w:val="DefaultParagraphFont"/>
    <w:link w:val="FootnoteText"/>
    <w:uiPriority w:val="99"/>
    <w:locked/>
    <w:rsid w:val="00BC1D2B"/>
    <w:rPr>
      <w:sz w:val="24"/>
      <w:szCs w:val="24"/>
      <w:lang w:val="en-US"/>
    </w:rPr>
  </w:style>
  <w:style w:type="paragraph" w:styleId="ListParagraph">
    <w:name w:val="List Paragraph"/>
    <w:basedOn w:val="Normal"/>
    <w:uiPriority w:val="99"/>
    <w:qFormat/>
    <w:rsid w:val="00A04E41"/>
    <w:pPr>
      <w:ind w:left="720"/>
    </w:pPr>
  </w:style>
  <w:style w:type="character" w:styleId="FootnoteReference">
    <w:name w:val="footnote reference"/>
    <w:basedOn w:val="DefaultParagraphFont"/>
    <w:uiPriority w:val="99"/>
    <w:semiHidden/>
    <w:rsid w:val="00FC26DF"/>
    <w:rPr>
      <w:vertAlign w:val="superscript"/>
    </w:rPr>
  </w:style>
  <w:style w:type="paragraph" w:styleId="Footer">
    <w:name w:val="footer"/>
    <w:basedOn w:val="Normal"/>
    <w:link w:val="FooterChar"/>
    <w:uiPriority w:val="99"/>
    <w:rsid w:val="003502E5"/>
    <w:pPr>
      <w:tabs>
        <w:tab w:val="center" w:pos="4320"/>
        <w:tab w:val="right" w:pos="8640"/>
      </w:tabs>
      <w:spacing w:after="0" w:line="240" w:lineRule="auto"/>
    </w:pPr>
  </w:style>
  <w:style w:type="character" w:customStyle="1" w:styleId="FooterChar">
    <w:name w:val="Footer Char"/>
    <w:basedOn w:val="DefaultParagraphFont"/>
    <w:link w:val="Footer"/>
    <w:uiPriority w:val="99"/>
    <w:locked/>
    <w:rsid w:val="003502E5"/>
    <w:rPr>
      <w:rFonts w:ascii="Cambria" w:hAnsi="Cambria" w:cs="Cambria"/>
      <w:sz w:val="22"/>
      <w:szCs w:val="22"/>
      <w:lang w:val="en-GB" w:eastAsia="en-US"/>
    </w:rPr>
  </w:style>
  <w:style w:type="character" w:styleId="PageNumber">
    <w:name w:val="page number"/>
    <w:basedOn w:val="DefaultParagraphFont"/>
    <w:uiPriority w:val="99"/>
    <w:semiHidden/>
    <w:rsid w:val="003502E5"/>
  </w:style>
  <w:style w:type="paragraph" w:styleId="Header">
    <w:name w:val="header"/>
    <w:basedOn w:val="Normal"/>
    <w:link w:val="HeaderChar"/>
    <w:uiPriority w:val="99"/>
    <w:rsid w:val="004B53B0"/>
    <w:pPr>
      <w:tabs>
        <w:tab w:val="center" w:pos="4320"/>
        <w:tab w:val="right" w:pos="8640"/>
      </w:tabs>
      <w:spacing w:after="0" w:line="240" w:lineRule="auto"/>
    </w:pPr>
  </w:style>
  <w:style w:type="character" w:customStyle="1" w:styleId="HeaderChar">
    <w:name w:val="Header Char"/>
    <w:basedOn w:val="DefaultParagraphFont"/>
    <w:link w:val="Header"/>
    <w:uiPriority w:val="99"/>
    <w:locked/>
    <w:rsid w:val="004B53B0"/>
    <w:rPr>
      <w:rFonts w:ascii="Cambria" w:hAnsi="Cambria" w:cs="Cambria"/>
      <w:sz w:val="22"/>
      <w:szCs w:val="22"/>
      <w:lang w:val="en-GB" w:eastAsia="en-US"/>
    </w:rPr>
  </w:style>
  <w:style w:type="character" w:styleId="CommentReference">
    <w:name w:val="annotation reference"/>
    <w:basedOn w:val="DefaultParagraphFont"/>
    <w:uiPriority w:val="99"/>
    <w:semiHidden/>
    <w:rsid w:val="004F54E5"/>
    <w:rPr>
      <w:sz w:val="16"/>
      <w:szCs w:val="16"/>
    </w:rPr>
  </w:style>
  <w:style w:type="paragraph" w:styleId="CommentText">
    <w:name w:val="annotation text"/>
    <w:basedOn w:val="Normal"/>
    <w:link w:val="CommentTextChar"/>
    <w:uiPriority w:val="99"/>
    <w:semiHidden/>
    <w:rsid w:val="004F54E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F54E5"/>
    <w:rPr>
      <w:rFonts w:ascii="Cambria" w:hAnsi="Cambria" w:cs="Cambria"/>
      <w:lang w:val="en-GB" w:eastAsia="en-US"/>
    </w:rPr>
  </w:style>
  <w:style w:type="paragraph" w:styleId="CommentSubject">
    <w:name w:val="annotation subject"/>
    <w:basedOn w:val="CommentText"/>
    <w:next w:val="CommentText"/>
    <w:link w:val="CommentSubjectChar"/>
    <w:uiPriority w:val="99"/>
    <w:semiHidden/>
    <w:rsid w:val="004F54E5"/>
    <w:rPr>
      <w:b/>
      <w:bCs/>
    </w:rPr>
  </w:style>
  <w:style w:type="character" w:customStyle="1" w:styleId="CommentSubjectChar">
    <w:name w:val="Comment Subject Char"/>
    <w:basedOn w:val="CommentTextChar"/>
    <w:link w:val="CommentSubject"/>
    <w:uiPriority w:val="99"/>
    <w:semiHidden/>
    <w:locked/>
    <w:rsid w:val="004F54E5"/>
    <w:rPr>
      <w:rFonts w:ascii="Cambria" w:hAnsi="Cambria" w:cs="Cambria"/>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F9E33A-B8AE-41F4-B979-E8CB6D8C6348}"/>
</file>

<file path=customXml/itemProps2.xml><?xml version="1.0" encoding="utf-8"?>
<ds:datastoreItem xmlns:ds="http://schemas.openxmlformats.org/officeDocument/2006/customXml" ds:itemID="{1ED93D4F-B980-4A12-A59A-1EE767B4D123}"/>
</file>

<file path=customXml/itemProps3.xml><?xml version="1.0" encoding="utf-8"?>
<ds:datastoreItem xmlns:ds="http://schemas.openxmlformats.org/officeDocument/2006/customXml" ds:itemID="{559F24D7-C93D-4D72-8F1C-E6AAC1557C8C}"/>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IHEID</Company>
  <LinksUpToDate>false</LinksUpToDate>
  <CharactersWithSpaces>5608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Matthias Braeunlich</dc:creator>
  <cp:lastModifiedBy>Sulini Sarugaser-Hug</cp:lastModifiedBy>
  <cp:revision>2</cp:revision>
  <cp:lastPrinted>2013-05-17T11:12:00Z</cp:lastPrinted>
  <dcterms:created xsi:type="dcterms:W3CDTF">2013-11-26T13:54:00Z</dcterms:created>
  <dcterms:modified xsi:type="dcterms:W3CDTF">2013-11-26T13:54:00Z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2119600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