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E6618E">
        <w:trPr>
          <w:trHeight w:hRule="exact" w:val="851"/>
        </w:trPr>
        <w:tc>
          <w:tcPr>
            <w:tcW w:w="1276" w:type="dxa"/>
            <w:tcBorders>
              <w:bottom w:val="single" w:sz="4" w:space="0" w:color="auto"/>
            </w:tcBorders>
          </w:tcPr>
          <w:p w:rsidR="00A12E20" w:rsidRPr="00DB58B5" w:rsidRDefault="00A12E20" w:rsidP="001C23E0">
            <w:bookmarkStart w:id="0" w:name="_GoBack"/>
            <w:bookmarkEnd w:id="0"/>
          </w:p>
        </w:tc>
        <w:tc>
          <w:tcPr>
            <w:tcW w:w="2268" w:type="dxa"/>
            <w:tcBorders>
              <w:bottom w:val="single" w:sz="4" w:space="0" w:color="auto"/>
            </w:tcBorders>
            <w:vAlign w:val="bottom"/>
          </w:tcPr>
          <w:p w:rsidR="00A12E20" w:rsidRPr="00DB58B5" w:rsidRDefault="00A12E20" w:rsidP="00E6618E">
            <w:pPr>
              <w:spacing w:after="80" w:line="300" w:lineRule="exact"/>
              <w:rPr>
                <w:sz w:val="28"/>
              </w:rPr>
            </w:pPr>
          </w:p>
        </w:tc>
        <w:tc>
          <w:tcPr>
            <w:tcW w:w="6095" w:type="dxa"/>
            <w:gridSpan w:val="2"/>
            <w:tcBorders>
              <w:bottom w:val="single" w:sz="4" w:space="0" w:color="auto"/>
            </w:tcBorders>
            <w:vAlign w:val="bottom"/>
          </w:tcPr>
          <w:p w:rsidR="00A12E20" w:rsidRPr="00DB58B5" w:rsidRDefault="001C23E0" w:rsidP="001C23E0">
            <w:pPr>
              <w:jc w:val="right"/>
            </w:pPr>
            <w:r w:rsidRPr="001C23E0">
              <w:rPr>
                <w:sz w:val="40"/>
              </w:rPr>
              <w:t>A</w:t>
            </w:r>
            <w:r>
              <w:t>/HRC/WGAD/2017/11</w:t>
            </w:r>
          </w:p>
        </w:tc>
      </w:tr>
      <w:tr w:rsidR="00A12E20" w:rsidRPr="00DB58B5" w:rsidTr="00E6618E">
        <w:trPr>
          <w:trHeight w:hRule="exact" w:val="2835"/>
        </w:trPr>
        <w:tc>
          <w:tcPr>
            <w:tcW w:w="1276" w:type="dxa"/>
            <w:tcBorders>
              <w:top w:val="single" w:sz="4" w:space="0" w:color="auto"/>
              <w:bottom w:val="single" w:sz="12" w:space="0" w:color="auto"/>
            </w:tcBorders>
          </w:tcPr>
          <w:p w:rsidR="00A12E20" w:rsidRPr="00DB58B5" w:rsidRDefault="00A12E20" w:rsidP="00E6618E">
            <w:pPr>
              <w:spacing w:before="120"/>
              <w:jc w:val="center"/>
            </w:pPr>
          </w:p>
        </w:tc>
        <w:tc>
          <w:tcPr>
            <w:tcW w:w="5528" w:type="dxa"/>
            <w:gridSpan w:val="2"/>
            <w:tcBorders>
              <w:top w:val="single" w:sz="4" w:space="0" w:color="auto"/>
              <w:bottom w:val="single" w:sz="12" w:space="0" w:color="auto"/>
            </w:tcBorders>
          </w:tcPr>
          <w:p w:rsidR="00A12E20" w:rsidRPr="00740562" w:rsidRDefault="00CD32C3" w:rsidP="00E6618E">
            <w:pPr>
              <w:spacing w:before="120" w:line="420" w:lineRule="exact"/>
              <w:rPr>
                <w:b/>
                <w:sz w:val="40"/>
                <w:szCs w:val="40"/>
              </w:rPr>
            </w:pPr>
            <w:r>
              <w:rPr>
                <w:b/>
                <w:sz w:val="40"/>
                <w:szCs w:val="40"/>
              </w:rPr>
              <w:t xml:space="preserve">Advance </w:t>
            </w:r>
            <w:proofErr w:type="spellStart"/>
            <w:r>
              <w:rPr>
                <w:b/>
                <w:sz w:val="40"/>
                <w:szCs w:val="40"/>
              </w:rPr>
              <w:t>edited</w:t>
            </w:r>
            <w:proofErr w:type="spellEnd"/>
            <w:r>
              <w:rPr>
                <w:b/>
                <w:sz w:val="40"/>
                <w:szCs w:val="40"/>
              </w:rPr>
              <w:t xml:space="preserve"> version</w:t>
            </w:r>
          </w:p>
        </w:tc>
        <w:tc>
          <w:tcPr>
            <w:tcW w:w="2835" w:type="dxa"/>
            <w:tcBorders>
              <w:top w:val="single" w:sz="4" w:space="0" w:color="auto"/>
              <w:bottom w:val="single" w:sz="12" w:space="0" w:color="auto"/>
            </w:tcBorders>
          </w:tcPr>
          <w:p w:rsidR="00A12E20" w:rsidRDefault="001C23E0" w:rsidP="00E6618E">
            <w:pPr>
              <w:spacing w:before="240"/>
            </w:pPr>
            <w:proofErr w:type="spellStart"/>
            <w:r>
              <w:t>Distr</w:t>
            </w:r>
            <w:proofErr w:type="spellEnd"/>
            <w:r>
              <w:t>. générale</w:t>
            </w:r>
          </w:p>
          <w:p w:rsidR="001C23E0" w:rsidRDefault="003E1199" w:rsidP="001C23E0">
            <w:pPr>
              <w:spacing w:line="240" w:lineRule="exact"/>
            </w:pPr>
            <w:r>
              <w:t>2</w:t>
            </w:r>
            <w:r w:rsidR="00041A89">
              <w:t>7</w:t>
            </w:r>
            <w:r>
              <w:t xml:space="preserve"> </w:t>
            </w:r>
            <w:r w:rsidR="001C23E0">
              <w:t>juillet 2017</w:t>
            </w:r>
          </w:p>
          <w:p w:rsidR="001C23E0" w:rsidRDefault="001C23E0" w:rsidP="001C23E0">
            <w:pPr>
              <w:spacing w:line="240" w:lineRule="exact"/>
            </w:pPr>
          </w:p>
          <w:p w:rsidR="001C23E0" w:rsidRPr="00DB58B5" w:rsidRDefault="001C23E0" w:rsidP="001C23E0">
            <w:pPr>
              <w:spacing w:line="240" w:lineRule="exact"/>
            </w:pPr>
            <w:r>
              <w:t>Original : français</w:t>
            </w:r>
          </w:p>
        </w:tc>
      </w:tr>
    </w:tbl>
    <w:p w:rsidR="00D45432" w:rsidRDefault="00D45432" w:rsidP="00D45432">
      <w:pPr>
        <w:spacing w:before="120"/>
        <w:rPr>
          <w:b/>
          <w:sz w:val="24"/>
          <w:szCs w:val="24"/>
        </w:rPr>
      </w:pPr>
      <w:r w:rsidRPr="00BA184E">
        <w:rPr>
          <w:b/>
          <w:sz w:val="24"/>
          <w:szCs w:val="24"/>
        </w:rPr>
        <w:t>Conseil des droits de l’homme</w:t>
      </w:r>
    </w:p>
    <w:p w:rsidR="00085F15" w:rsidRPr="00F80A92" w:rsidRDefault="00085F15" w:rsidP="00B16AAF">
      <w:pPr>
        <w:rPr>
          <w:b/>
        </w:rPr>
      </w:pPr>
      <w:r w:rsidRPr="00F80A92">
        <w:rPr>
          <w:b/>
        </w:rPr>
        <w:t>Groupe de travail sur la détention arbitraire</w:t>
      </w:r>
    </w:p>
    <w:p w:rsidR="0038418A" w:rsidRPr="00A35936" w:rsidRDefault="00085F15" w:rsidP="0038418A">
      <w:pPr>
        <w:pStyle w:val="HChG"/>
        <w:rPr>
          <w:lang w:val="fr-FR"/>
        </w:rPr>
      </w:pPr>
      <w:r>
        <w:tab/>
      </w:r>
      <w:r w:rsidR="0038418A">
        <w:tab/>
      </w:r>
      <w:r w:rsidR="0038418A" w:rsidRPr="00A35936">
        <w:rPr>
          <w:lang w:val="fr-FR"/>
        </w:rPr>
        <w:t xml:space="preserve">Avis adoptés par le Groupe de travail sur la détention arbitraire à sa </w:t>
      </w:r>
      <w:r w:rsidR="0038418A">
        <w:rPr>
          <w:lang w:val="fr-FR"/>
        </w:rPr>
        <w:t>soixante-dix-huitième</w:t>
      </w:r>
      <w:r w:rsidR="0038418A" w:rsidRPr="00A35936">
        <w:rPr>
          <w:lang w:val="fr-FR"/>
        </w:rPr>
        <w:t xml:space="preserve"> </w:t>
      </w:r>
      <w:proofErr w:type="gramStart"/>
      <w:r w:rsidR="0038418A" w:rsidRPr="00A35936">
        <w:rPr>
          <w:lang w:val="fr-FR"/>
        </w:rPr>
        <w:t>session</w:t>
      </w:r>
      <w:proofErr w:type="gramEnd"/>
      <w:r w:rsidR="0038418A">
        <w:rPr>
          <w:lang w:val="fr-FR"/>
        </w:rPr>
        <w:br/>
      </w:r>
      <w:r w:rsidR="0038418A" w:rsidRPr="00A35936">
        <w:rPr>
          <w:lang w:val="fr-FR"/>
        </w:rPr>
        <w:t>(</w:t>
      </w:r>
      <w:r w:rsidR="0038418A">
        <w:rPr>
          <w:lang w:val="fr-FR"/>
        </w:rPr>
        <w:t>19-</w:t>
      </w:r>
      <w:r w:rsidR="000F17D8">
        <w:rPr>
          <w:lang w:val="fr-FR"/>
        </w:rPr>
        <w:t>28 </w:t>
      </w:r>
      <w:r w:rsidR="0038418A">
        <w:rPr>
          <w:lang w:val="fr-FR"/>
        </w:rPr>
        <w:t>avril 2017</w:t>
      </w:r>
      <w:r w:rsidR="0038418A" w:rsidRPr="00A35936">
        <w:rPr>
          <w:lang w:val="fr-FR"/>
        </w:rPr>
        <w:t>)</w:t>
      </w:r>
      <w:r w:rsidR="0038418A">
        <w:rPr>
          <w:lang w:val="fr-FR"/>
        </w:rPr>
        <w:t xml:space="preserve"> </w:t>
      </w:r>
    </w:p>
    <w:p w:rsidR="0038418A" w:rsidRPr="00041A89" w:rsidRDefault="0038418A" w:rsidP="0038418A">
      <w:pPr>
        <w:pStyle w:val="H1G"/>
      </w:pPr>
      <w:r w:rsidRPr="00A35936">
        <w:rPr>
          <w:lang w:val="fr-FR"/>
        </w:rPr>
        <w:tab/>
      </w:r>
      <w:r w:rsidRPr="00A35936">
        <w:rPr>
          <w:lang w:val="fr-FR"/>
        </w:rPr>
        <w:tab/>
      </w:r>
      <w:r w:rsidRPr="00FB6089">
        <w:rPr>
          <w:rStyle w:val="None"/>
          <w:rFonts w:eastAsia="Arial Unicode MS" w:cs="Arial Unicode MS"/>
        </w:rPr>
        <w:t>Avis n</w:t>
      </w:r>
      <w:r>
        <w:rPr>
          <w:rStyle w:val="None"/>
          <w:rFonts w:eastAsia="Arial Unicode MS" w:cs="Arial Unicode MS"/>
          <w:vertAlign w:val="superscript"/>
        </w:rPr>
        <w:t>o</w:t>
      </w:r>
      <w:r w:rsidRPr="00C74F0D">
        <w:rPr>
          <w:rStyle w:val="None"/>
          <w:rFonts w:eastAsia="Arial Unicode MS" w:cs="Arial Unicode MS"/>
        </w:rPr>
        <w:t> </w:t>
      </w:r>
      <w:r w:rsidRPr="00FB6089">
        <w:rPr>
          <w:rStyle w:val="None"/>
          <w:rFonts w:eastAsia="Arial Unicode MS" w:cs="Arial Unicode MS"/>
          <w:u w:color="FF0000"/>
        </w:rPr>
        <w:t>11</w:t>
      </w:r>
      <w:r w:rsidRPr="00FB6089">
        <w:rPr>
          <w:rStyle w:val="None"/>
          <w:rFonts w:eastAsia="Arial Unicode MS" w:cs="Arial Unicode MS"/>
        </w:rPr>
        <w:t xml:space="preserve">/2017, concernant Salah Eddine </w:t>
      </w:r>
      <w:proofErr w:type="spellStart"/>
      <w:r w:rsidRPr="00FB6089">
        <w:rPr>
          <w:rStyle w:val="None"/>
          <w:rFonts w:eastAsia="Arial Unicode MS" w:cs="Arial Unicode MS"/>
        </w:rPr>
        <w:t>Bassir</w:t>
      </w:r>
      <w:proofErr w:type="spellEnd"/>
      <w:r w:rsidRPr="00FB6089">
        <w:rPr>
          <w:rStyle w:val="None"/>
          <w:rFonts w:eastAsia="Arial Unicode MS" w:cs="Arial Unicode MS"/>
        </w:rPr>
        <w:t xml:space="preserve"> (Maroc)</w:t>
      </w:r>
    </w:p>
    <w:p w:rsidR="0038418A" w:rsidRPr="00A35936" w:rsidRDefault="000F17D8" w:rsidP="00166E8C">
      <w:pPr>
        <w:pStyle w:val="SingleTxtG"/>
        <w:tabs>
          <w:tab w:val="right" w:pos="1021"/>
        </w:tabs>
        <w:ind w:left="1135"/>
        <w:rPr>
          <w:lang w:val="fr-FR"/>
        </w:rPr>
      </w:pPr>
      <w:r>
        <w:rPr>
          <w:lang w:val="fr-FR"/>
        </w:rPr>
        <w:t>1.</w:t>
      </w:r>
      <w:r>
        <w:rPr>
          <w:lang w:val="fr-FR"/>
        </w:rPr>
        <w:tab/>
      </w:r>
      <w:r w:rsidR="0038418A" w:rsidRPr="00A35936">
        <w:rPr>
          <w:lang w:val="fr-FR"/>
        </w:rPr>
        <w:t>Le Groupe de travail sur la détention arbitraire a été créé par la Commission des droits de l</w:t>
      </w:r>
      <w:r w:rsidR="0038418A">
        <w:rPr>
          <w:lang w:val="fr-FR"/>
        </w:rPr>
        <w:t>’</w:t>
      </w:r>
      <w:r w:rsidR="0038418A" w:rsidRPr="00A35936">
        <w:rPr>
          <w:lang w:val="fr-FR"/>
        </w:rPr>
        <w:t>homme dans sa résolution 1991/42. Son mandat a été précisé et renouvelé dans la résolution</w:t>
      </w:r>
      <w:r w:rsidR="0038418A">
        <w:rPr>
          <w:lang w:val="fr-FR"/>
        </w:rPr>
        <w:t> </w:t>
      </w:r>
      <w:r w:rsidR="0038418A" w:rsidRPr="00A35936">
        <w:rPr>
          <w:lang w:val="fr-FR"/>
        </w:rPr>
        <w:t>1997/50 de la Commission. Conformément à la résolution</w:t>
      </w:r>
      <w:r w:rsidR="0038418A">
        <w:rPr>
          <w:lang w:val="fr-FR"/>
        </w:rPr>
        <w:t> </w:t>
      </w:r>
      <w:r w:rsidR="0038418A" w:rsidRPr="00A35936">
        <w:rPr>
          <w:lang w:val="fr-FR"/>
        </w:rPr>
        <w:t>60/251 de l</w:t>
      </w:r>
      <w:r w:rsidR="0038418A">
        <w:rPr>
          <w:lang w:val="fr-FR"/>
        </w:rPr>
        <w:t>’</w:t>
      </w:r>
      <w:r w:rsidR="0038418A" w:rsidRPr="00A35936">
        <w:rPr>
          <w:lang w:val="fr-FR"/>
        </w:rPr>
        <w:t>Assemblée générale et à sa décision</w:t>
      </w:r>
      <w:r w:rsidR="0038418A">
        <w:rPr>
          <w:lang w:val="fr-FR"/>
        </w:rPr>
        <w:t> </w:t>
      </w:r>
      <w:r w:rsidR="0038418A" w:rsidRPr="00A35936">
        <w:rPr>
          <w:lang w:val="fr-FR"/>
        </w:rPr>
        <w:t>1/102, le Conseil des droits de l</w:t>
      </w:r>
      <w:r w:rsidR="0038418A">
        <w:rPr>
          <w:lang w:val="fr-FR"/>
        </w:rPr>
        <w:t>’</w:t>
      </w:r>
      <w:r w:rsidR="0038418A" w:rsidRPr="00A35936">
        <w:rPr>
          <w:lang w:val="fr-FR"/>
        </w:rPr>
        <w:t>homme a repris le mandat de la Commission. Dans sa résolution 33/30, du 30</w:t>
      </w:r>
      <w:r>
        <w:rPr>
          <w:lang w:val="fr-FR"/>
        </w:rPr>
        <w:t> </w:t>
      </w:r>
      <w:r w:rsidR="0038418A" w:rsidRPr="00A35936">
        <w:rPr>
          <w:lang w:val="fr-FR"/>
        </w:rPr>
        <w:t>septembre 2016, il a reconduit le mandat du Groupe de travail pour une nouvelle période de trois ans.</w:t>
      </w:r>
    </w:p>
    <w:p w:rsidR="0038418A" w:rsidRDefault="000F17D8" w:rsidP="00166E8C">
      <w:pPr>
        <w:pStyle w:val="SingleTxtG"/>
        <w:tabs>
          <w:tab w:val="right" w:pos="1021"/>
        </w:tabs>
        <w:ind w:left="1135"/>
        <w:rPr>
          <w:rStyle w:val="None"/>
          <w:b/>
          <w:sz w:val="28"/>
        </w:rPr>
      </w:pPr>
      <w:r>
        <w:rPr>
          <w:rStyle w:val="None"/>
        </w:rPr>
        <w:t>2.</w:t>
      </w:r>
      <w:r>
        <w:rPr>
          <w:rStyle w:val="None"/>
        </w:rPr>
        <w:tab/>
      </w:r>
      <w:r w:rsidR="0038418A" w:rsidRPr="00FB6089">
        <w:rPr>
          <w:rStyle w:val="None"/>
        </w:rPr>
        <w:t xml:space="preserve">Le </w:t>
      </w:r>
      <w:r w:rsidR="00F72E88" w:rsidRPr="00FB6089">
        <w:rPr>
          <w:rStyle w:val="None"/>
        </w:rPr>
        <w:t>16</w:t>
      </w:r>
      <w:r w:rsidR="00F72E88">
        <w:rPr>
          <w:rStyle w:val="None"/>
        </w:rPr>
        <w:t> </w:t>
      </w:r>
      <w:r w:rsidR="0038418A" w:rsidRPr="00FB6089">
        <w:rPr>
          <w:rStyle w:val="None"/>
        </w:rPr>
        <w:t>janvier 2017, conformément à ses méthodes de travail (A/HRC/33/66), le Groupe de travail a transmis au Gouvernement marocain</w:t>
      </w:r>
      <w:r w:rsidR="0038418A" w:rsidRPr="00FB6089">
        <w:rPr>
          <w:rStyle w:val="None"/>
          <w:u w:color="FF0000"/>
        </w:rPr>
        <w:t xml:space="preserve"> </w:t>
      </w:r>
      <w:r w:rsidR="0038418A">
        <w:rPr>
          <w:rStyle w:val="None"/>
        </w:rPr>
        <w:t xml:space="preserve">une communication concernant </w:t>
      </w:r>
      <w:r w:rsidR="0038418A" w:rsidRPr="00FB6089">
        <w:t xml:space="preserve">Salah Eddine </w:t>
      </w:r>
      <w:proofErr w:type="spellStart"/>
      <w:r w:rsidR="0038418A" w:rsidRPr="00FB6089">
        <w:t>Bassir</w:t>
      </w:r>
      <w:proofErr w:type="spellEnd"/>
      <w:r w:rsidR="0038418A" w:rsidRPr="00FB6089">
        <w:rPr>
          <w:rStyle w:val="None"/>
        </w:rPr>
        <w:t xml:space="preserve">. Le Gouvernement a répondu à la communication le </w:t>
      </w:r>
      <w:r w:rsidR="00F72E88" w:rsidRPr="00FB6089">
        <w:rPr>
          <w:rStyle w:val="None"/>
        </w:rPr>
        <w:t>17</w:t>
      </w:r>
      <w:r w:rsidR="00F72E88">
        <w:rPr>
          <w:rStyle w:val="None"/>
        </w:rPr>
        <w:t> </w:t>
      </w:r>
      <w:r w:rsidR="0038418A" w:rsidRPr="00FB6089">
        <w:rPr>
          <w:rStyle w:val="None"/>
        </w:rPr>
        <w:t>mars 2017. L</w:t>
      </w:r>
      <w:r w:rsidR="0038418A">
        <w:rPr>
          <w:rStyle w:val="None"/>
        </w:rPr>
        <w:t>’</w:t>
      </w:r>
      <w:r w:rsidR="0038418A" w:rsidRPr="00FB6089">
        <w:rPr>
          <w:rStyle w:val="None"/>
        </w:rPr>
        <w:t>État est partie au Pacte international relatif aux droit</w:t>
      </w:r>
      <w:r w:rsidR="0038418A">
        <w:rPr>
          <w:rStyle w:val="None"/>
        </w:rPr>
        <w:t>s civils et politiques</w:t>
      </w:r>
      <w:r w:rsidR="0038418A" w:rsidRPr="00FB6089">
        <w:rPr>
          <w:rStyle w:val="None"/>
        </w:rPr>
        <w:t>.</w:t>
      </w:r>
    </w:p>
    <w:p w:rsidR="0038418A" w:rsidRPr="00A35936" w:rsidRDefault="00A15E43" w:rsidP="00166E8C">
      <w:pPr>
        <w:pStyle w:val="SingleTxtG"/>
        <w:tabs>
          <w:tab w:val="right" w:pos="1021"/>
        </w:tabs>
        <w:ind w:left="1135"/>
        <w:rPr>
          <w:lang w:val="fr-FR"/>
        </w:rPr>
      </w:pPr>
      <w:r>
        <w:rPr>
          <w:lang w:val="fr-FR"/>
        </w:rPr>
        <w:t>3.</w:t>
      </w:r>
      <w:r>
        <w:rPr>
          <w:lang w:val="fr-FR"/>
        </w:rPr>
        <w:tab/>
      </w:r>
      <w:r w:rsidR="0038418A" w:rsidRPr="00A35936">
        <w:rPr>
          <w:lang w:val="fr-FR"/>
        </w:rPr>
        <w:t>Le Groupe de travail estime que la privation de liberté est arbitraire dans les cas suivants :</w:t>
      </w:r>
    </w:p>
    <w:p w:rsidR="0038418A" w:rsidRDefault="0038418A" w:rsidP="0038418A">
      <w:pPr>
        <w:pStyle w:val="SingleTxtG"/>
        <w:ind w:firstLine="567"/>
        <w:rPr>
          <w:lang w:val="fr-FR"/>
        </w:rPr>
      </w:pPr>
      <w:r w:rsidRPr="00A35936">
        <w:rPr>
          <w:lang w:val="fr-FR"/>
        </w:rPr>
        <w:t>a)</w:t>
      </w:r>
      <w:r w:rsidRPr="00A35936">
        <w:rPr>
          <w:lang w:val="fr-FR"/>
        </w:rPr>
        <w:tab/>
        <w:t>Lorsqu</w:t>
      </w:r>
      <w:r>
        <w:rPr>
          <w:lang w:val="fr-FR"/>
        </w:rPr>
        <w:t>’</w:t>
      </w:r>
      <w:r w:rsidRPr="00A35936">
        <w:rPr>
          <w:lang w:val="fr-FR"/>
        </w:rPr>
        <w:t>il est manifestement impossible d</w:t>
      </w:r>
      <w:r>
        <w:rPr>
          <w:lang w:val="fr-FR"/>
        </w:rPr>
        <w:t>’</w:t>
      </w:r>
      <w:r w:rsidRPr="00A35936">
        <w:rPr>
          <w:lang w:val="fr-FR"/>
        </w:rPr>
        <w:t>invoquer un quelconque fondement légal pour justifier la privation de liberté (comme dans le cas où une personne est maintenue en détention après avoir exécuté sa peine ou malgré l</w:t>
      </w:r>
      <w:r>
        <w:rPr>
          <w:lang w:val="fr-FR"/>
        </w:rPr>
        <w:t>’</w:t>
      </w:r>
      <w:r w:rsidRPr="00A35936">
        <w:rPr>
          <w:lang w:val="fr-FR"/>
        </w:rPr>
        <w:t>adoption d</w:t>
      </w:r>
      <w:r>
        <w:rPr>
          <w:lang w:val="fr-FR"/>
        </w:rPr>
        <w:t>’</w:t>
      </w:r>
      <w:r w:rsidRPr="00A35936">
        <w:rPr>
          <w:lang w:val="fr-FR"/>
        </w:rPr>
        <w:t>une loi d</w:t>
      </w:r>
      <w:r>
        <w:rPr>
          <w:lang w:val="fr-FR"/>
        </w:rPr>
        <w:t>’</w:t>
      </w:r>
      <w:r w:rsidRPr="00A35936">
        <w:rPr>
          <w:lang w:val="fr-FR"/>
        </w:rPr>
        <w:t>amnistie qui lui serait applicable) (catégorie I) ;</w:t>
      </w:r>
    </w:p>
    <w:p w:rsidR="0038418A" w:rsidRDefault="0038418A" w:rsidP="0038418A">
      <w:pPr>
        <w:pStyle w:val="SingleTxtG"/>
        <w:ind w:firstLine="567"/>
        <w:rPr>
          <w:lang w:val="fr-FR"/>
        </w:rPr>
      </w:pPr>
      <w:r w:rsidRPr="00A35936">
        <w:rPr>
          <w:lang w:val="fr-FR"/>
        </w:rPr>
        <w:t>b)</w:t>
      </w:r>
      <w:r w:rsidRPr="00A35936">
        <w:rPr>
          <w:lang w:val="fr-FR"/>
        </w:rPr>
        <w:tab/>
        <w:t>Lorsque la privation de liberté résulte de l</w:t>
      </w:r>
      <w:r>
        <w:rPr>
          <w:lang w:val="fr-FR"/>
        </w:rPr>
        <w:t>’</w:t>
      </w:r>
      <w:r w:rsidRPr="00A35936">
        <w:rPr>
          <w:lang w:val="fr-FR"/>
        </w:rPr>
        <w:t>exercice de droits ou de libertés garantis par les articles</w:t>
      </w:r>
      <w:r w:rsidR="00F72E88">
        <w:rPr>
          <w:lang w:val="fr-FR"/>
        </w:rPr>
        <w:t> </w:t>
      </w:r>
      <w:r w:rsidRPr="00A35936">
        <w:rPr>
          <w:lang w:val="fr-FR"/>
        </w:rPr>
        <w:t>7, 13, 14, 18, 19, 20 et 21 de la Déclaration universelle des droits de l</w:t>
      </w:r>
      <w:r>
        <w:rPr>
          <w:lang w:val="fr-FR"/>
        </w:rPr>
        <w:t>’</w:t>
      </w:r>
      <w:r w:rsidRPr="00A35936">
        <w:rPr>
          <w:lang w:val="fr-FR"/>
        </w:rPr>
        <w:t>homme et, en ce qui concerne les États parties au Pacte international relatif aux droits civils et politiques, par les articles</w:t>
      </w:r>
      <w:r w:rsidR="00F72E88">
        <w:rPr>
          <w:lang w:val="fr-FR"/>
        </w:rPr>
        <w:t> </w:t>
      </w:r>
      <w:r w:rsidRPr="00A35936">
        <w:rPr>
          <w:lang w:val="fr-FR"/>
        </w:rPr>
        <w:t>12, 18, 19, 21, 22, 25, 26 et 27 de cet instrument (</w:t>
      </w:r>
      <w:proofErr w:type="gramStart"/>
      <w:r w:rsidRPr="00A35936">
        <w:rPr>
          <w:lang w:val="fr-FR"/>
        </w:rPr>
        <w:t>catégorie</w:t>
      </w:r>
      <w:proofErr w:type="gramEnd"/>
      <w:r w:rsidRPr="00A35936">
        <w:rPr>
          <w:lang w:val="fr-FR"/>
        </w:rPr>
        <w:t> II) ;</w:t>
      </w:r>
    </w:p>
    <w:p w:rsidR="0038418A" w:rsidRDefault="0038418A" w:rsidP="0038418A">
      <w:pPr>
        <w:pStyle w:val="SingleTxtG"/>
        <w:ind w:firstLine="567"/>
        <w:rPr>
          <w:lang w:val="fr-FR"/>
        </w:rPr>
      </w:pPr>
      <w:r w:rsidRPr="00A35936">
        <w:rPr>
          <w:lang w:val="fr-FR"/>
        </w:rPr>
        <w:t>c)</w:t>
      </w:r>
      <w:r w:rsidRPr="00A35936">
        <w:rPr>
          <w:lang w:val="fr-FR"/>
        </w:rPr>
        <w:tab/>
        <w:t>Lorsque l</w:t>
      </w:r>
      <w:r>
        <w:rPr>
          <w:lang w:val="fr-FR"/>
        </w:rPr>
        <w:t>’</w:t>
      </w:r>
      <w:r w:rsidRPr="00A35936">
        <w:rPr>
          <w:lang w:val="fr-FR"/>
        </w:rPr>
        <w:t>inobservation, totale ou partielle, des normes internationales relatives au droit à un procès équitable, établies dans la Déclaration universelle des droits de l</w:t>
      </w:r>
      <w:r>
        <w:rPr>
          <w:lang w:val="fr-FR"/>
        </w:rPr>
        <w:t>’</w:t>
      </w:r>
      <w:r w:rsidRPr="00A35936">
        <w:rPr>
          <w:lang w:val="fr-FR"/>
        </w:rPr>
        <w:t>homme et dans les instruments internationaux pertinents acceptés par les États intéressés, est d</w:t>
      </w:r>
      <w:r>
        <w:rPr>
          <w:lang w:val="fr-FR"/>
        </w:rPr>
        <w:t>’</w:t>
      </w:r>
      <w:r w:rsidRPr="00A35936">
        <w:rPr>
          <w:lang w:val="fr-FR"/>
        </w:rPr>
        <w:t>une gravité telle qu</w:t>
      </w:r>
      <w:r>
        <w:rPr>
          <w:lang w:val="fr-FR"/>
        </w:rPr>
        <w:t>’</w:t>
      </w:r>
      <w:r w:rsidRPr="00A35936">
        <w:rPr>
          <w:lang w:val="fr-FR"/>
        </w:rPr>
        <w:t>elle rend la privation de liberté arbitraire (catégorie III) ;</w:t>
      </w:r>
    </w:p>
    <w:p w:rsidR="0038418A" w:rsidRDefault="0038418A" w:rsidP="0038418A">
      <w:pPr>
        <w:pStyle w:val="SingleTxtG"/>
        <w:ind w:firstLine="567"/>
        <w:rPr>
          <w:lang w:val="fr-FR"/>
        </w:rPr>
      </w:pPr>
      <w:r w:rsidRPr="00A35936">
        <w:rPr>
          <w:lang w:val="fr-FR"/>
        </w:rPr>
        <w:t>d)</w:t>
      </w:r>
      <w:r w:rsidRPr="00A35936">
        <w:rPr>
          <w:lang w:val="fr-FR"/>
        </w:rPr>
        <w:tab/>
        <w:t>Lorsque des demandeurs d</w:t>
      </w:r>
      <w:r>
        <w:rPr>
          <w:lang w:val="fr-FR"/>
        </w:rPr>
        <w:t>’</w:t>
      </w:r>
      <w:r w:rsidRPr="00A35936">
        <w:rPr>
          <w:lang w:val="fr-FR"/>
        </w:rPr>
        <w:t>asile, des immigrants ou des réfugiés font l</w:t>
      </w:r>
      <w:r>
        <w:rPr>
          <w:lang w:val="fr-FR"/>
        </w:rPr>
        <w:t>’</w:t>
      </w:r>
      <w:r w:rsidRPr="00A35936">
        <w:rPr>
          <w:lang w:val="fr-FR"/>
        </w:rPr>
        <w:t>objet d</w:t>
      </w:r>
      <w:r>
        <w:rPr>
          <w:lang w:val="fr-FR"/>
        </w:rPr>
        <w:t>’</w:t>
      </w:r>
      <w:r w:rsidRPr="00A35936">
        <w:rPr>
          <w:lang w:val="fr-FR"/>
        </w:rPr>
        <w:t>une rétention administrative prolongée sans possibilité de contrôle ou de recours administratif ou juridictionnel (catégorie IV) ;</w:t>
      </w:r>
    </w:p>
    <w:p w:rsidR="0038418A" w:rsidRPr="00A35936" w:rsidRDefault="0038418A" w:rsidP="0038418A">
      <w:pPr>
        <w:pStyle w:val="SingleTxtG"/>
        <w:ind w:firstLine="567"/>
        <w:rPr>
          <w:lang w:val="fr-FR"/>
        </w:rPr>
      </w:pPr>
      <w:r w:rsidRPr="00A35936">
        <w:rPr>
          <w:lang w:val="fr-FR"/>
        </w:rPr>
        <w:t>e)</w:t>
      </w:r>
      <w:r w:rsidRPr="00A35936">
        <w:rPr>
          <w:lang w:val="fr-FR"/>
        </w:rPr>
        <w:tab/>
        <w:t>Lorsque la privation de liberté constitue une violation du droit international pour des raisons de discrimination fondée sur la naissance, l</w:t>
      </w:r>
      <w:r>
        <w:rPr>
          <w:lang w:val="fr-FR"/>
        </w:rPr>
        <w:t>’</w:t>
      </w:r>
      <w:r w:rsidRPr="00A35936">
        <w:rPr>
          <w:lang w:val="fr-FR"/>
        </w:rPr>
        <w:t>origine nationale, ethnique ou sociale, la langue, la religion, la situation économique, l</w:t>
      </w:r>
      <w:r>
        <w:rPr>
          <w:lang w:val="fr-FR"/>
        </w:rPr>
        <w:t>’</w:t>
      </w:r>
      <w:r w:rsidRPr="00A35936">
        <w:rPr>
          <w:lang w:val="fr-FR"/>
        </w:rPr>
        <w:t xml:space="preserve">opinion politique ou autre, le sexe, </w:t>
      </w:r>
      <w:r w:rsidRPr="00A35936">
        <w:rPr>
          <w:lang w:val="fr-FR"/>
        </w:rPr>
        <w:lastRenderedPageBreak/>
        <w:t>l</w:t>
      </w:r>
      <w:r>
        <w:rPr>
          <w:lang w:val="fr-FR"/>
        </w:rPr>
        <w:t>’</w:t>
      </w:r>
      <w:r w:rsidRPr="00A35936">
        <w:rPr>
          <w:lang w:val="fr-FR"/>
        </w:rPr>
        <w:t>orientation sexuelle, le handicap ou toute autre situation, qui tend ou peut conduire à ignorer le principe de l</w:t>
      </w:r>
      <w:r>
        <w:rPr>
          <w:lang w:val="fr-FR"/>
        </w:rPr>
        <w:t>’</w:t>
      </w:r>
      <w:r w:rsidRPr="00A35936">
        <w:rPr>
          <w:lang w:val="fr-FR"/>
        </w:rPr>
        <w:t>égalité des êtres humains (catégorie V).</w:t>
      </w:r>
    </w:p>
    <w:p w:rsidR="0038418A" w:rsidRPr="00A35936" w:rsidRDefault="0038418A" w:rsidP="0038418A">
      <w:pPr>
        <w:pStyle w:val="H23G"/>
        <w:rPr>
          <w:lang w:val="fr-FR"/>
        </w:rPr>
      </w:pPr>
      <w:r w:rsidRPr="00A35936">
        <w:rPr>
          <w:lang w:val="fr-FR"/>
        </w:rPr>
        <w:tab/>
      </w:r>
      <w:r w:rsidRPr="00A35936">
        <w:rPr>
          <w:lang w:val="fr-FR"/>
        </w:rPr>
        <w:tab/>
        <w:t>Informations reçues</w:t>
      </w:r>
    </w:p>
    <w:p w:rsidR="0038418A" w:rsidRDefault="0038418A" w:rsidP="0038418A">
      <w:pPr>
        <w:pStyle w:val="H4G"/>
        <w:rPr>
          <w:lang w:val="fr-FR"/>
        </w:rPr>
      </w:pPr>
      <w:r w:rsidRPr="00A35936">
        <w:rPr>
          <w:lang w:val="fr-FR"/>
        </w:rPr>
        <w:tab/>
      </w:r>
      <w:r w:rsidRPr="00A35936">
        <w:rPr>
          <w:lang w:val="fr-FR"/>
        </w:rPr>
        <w:tab/>
        <w:t>Communication émanant de la source</w:t>
      </w:r>
    </w:p>
    <w:p w:rsidR="0038418A" w:rsidRPr="00FB6089" w:rsidRDefault="00A15E43" w:rsidP="00166E8C">
      <w:pPr>
        <w:pStyle w:val="SingleTxtG"/>
        <w:tabs>
          <w:tab w:val="right" w:pos="1021"/>
        </w:tabs>
        <w:ind w:left="1135"/>
      </w:pPr>
      <w:r>
        <w:t>4.</w:t>
      </w:r>
      <w:r>
        <w:tab/>
      </w:r>
      <w:r w:rsidR="0038418A">
        <w:t xml:space="preserve">D’après la source, </w:t>
      </w:r>
      <w:r w:rsidR="0038418A" w:rsidRPr="00FB6089">
        <w:t xml:space="preserve">Salah Eddine </w:t>
      </w:r>
      <w:proofErr w:type="spellStart"/>
      <w:r w:rsidR="0038418A" w:rsidRPr="00FB6089">
        <w:rPr>
          <w:rStyle w:val="None"/>
          <w:bCs/>
        </w:rPr>
        <w:t>Bassir</w:t>
      </w:r>
      <w:proofErr w:type="spellEnd"/>
      <w:r w:rsidR="0038418A" w:rsidRPr="00FB6089">
        <w:t xml:space="preserve"> milite depuis de nombreuses années en </w:t>
      </w:r>
      <w:r w:rsidR="0038418A" w:rsidRPr="00493F26">
        <w:rPr>
          <w:lang w:val="fr-FR"/>
        </w:rPr>
        <w:t>faveur du droit du peuple sahraoui à l</w:t>
      </w:r>
      <w:r w:rsidR="0038418A">
        <w:rPr>
          <w:lang w:val="fr-FR"/>
        </w:rPr>
        <w:t>’</w:t>
      </w:r>
      <w:r w:rsidR="0038418A" w:rsidRPr="00493F26">
        <w:rPr>
          <w:lang w:val="fr-FR"/>
        </w:rPr>
        <w:t>autodétermination et était</w:t>
      </w:r>
      <w:r w:rsidR="0038418A">
        <w:rPr>
          <w:lang w:val="fr-FR"/>
        </w:rPr>
        <w:t>,</w:t>
      </w:r>
      <w:r w:rsidR="0038418A" w:rsidRPr="00493F26">
        <w:rPr>
          <w:lang w:val="fr-FR"/>
        </w:rPr>
        <w:t xml:space="preserve"> au moment de son</w:t>
      </w:r>
      <w:r w:rsidR="0038418A" w:rsidRPr="00FB6089">
        <w:t xml:space="preserve"> arrestation</w:t>
      </w:r>
      <w:r w:rsidR="0038418A">
        <w:t>,</w:t>
      </w:r>
      <w:r w:rsidR="0038418A" w:rsidRPr="00FB6089">
        <w:t xml:space="preserve"> journaliste au sein de la RASD</w:t>
      </w:r>
      <w:r w:rsidR="00F72E88">
        <w:t> </w:t>
      </w:r>
      <w:r w:rsidR="0038418A" w:rsidRPr="00FB6089">
        <w:t>TV, chaîne de télévision officielle de la République arabe sahraouie démocratique (RASD).</w:t>
      </w:r>
    </w:p>
    <w:p w:rsidR="0038418A" w:rsidRPr="00FB6089" w:rsidRDefault="0038418A" w:rsidP="0038418A">
      <w:pPr>
        <w:pStyle w:val="H56G"/>
        <w:rPr>
          <w:rStyle w:val="None"/>
          <w:iCs/>
        </w:rPr>
      </w:pPr>
      <w:r>
        <w:rPr>
          <w:rStyle w:val="None"/>
          <w:iCs/>
        </w:rPr>
        <w:tab/>
      </w:r>
      <w:r>
        <w:rPr>
          <w:rStyle w:val="None"/>
          <w:iCs/>
        </w:rPr>
        <w:tab/>
      </w:r>
      <w:r w:rsidRPr="00FB6089">
        <w:rPr>
          <w:rStyle w:val="None"/>
          <w:iCs/>
        </w:rPr>
        <w:t xml:space="preserve">Arrestation </w:t>
      </w:r>
      <w:r>
        <w:rPr>
          <w:rStyle w:val="None"/>
          <w:iCs/>
        </w:rPr>
        <w:t>et détention</w:t>
      </w:r>
    </w:p>
    <w:p w:rsidR="0038418A" w:rsidRPr="00FB6089" w:rsidRDefault="00A15E43" w:rsidP="00166E8C">
      <w:pPr>
        <w:pStyle w:val="SingleTxtG"/>
        <w:tabs>
          <w:tab w:val="right" w:pos="1021"/>
        </w:tabs>
        <w:ind w:left="1135"/>
      </w:pPr>
      <w:r>
        <w:t>5.</w:t>
      </w:r>
      <w:r>
        <w:tab/>
      </w:r>
      <w:r w:rsidR="0038418A" w:rsidRPr="00FB6089">
        <w:t>Selon les informations transmises par la source, le 27</w:t>
      </w:r>
      <w:r w:rsidR="00F72E88">
        <w:t> </w:t>
      </w:r>
      <w:r w:rsidR="0038418A" w:rsidRPr="00FB6089">
        <w:t>mai 2013, des activistes sahraouis ont organisé une manifestation en faveur de l</w:t>
      </w:r>
      <w:r w:rsidR="0038418A">
        <w:t>’</w:t>
      </w:r>
      <w:r w:rsidR="0038418A" w:rsidRPr="00FB6089">
        <w:t>autodétermination de la population sahraouie à Smara, au Sahara occidental. En tant que journaliste au sein de la chaîne de télévision RASD</w:t>
      </w:r>
      <w:r w:rsidR="00FE052C">
        <w:t> </w:t>
      </w:r>
      <w:r w:rsidR="0038418A" w:rsidRPr="00FB6089">
        <w:t>TV, M.</w:t>
      </w:r>
      <w:r w:rsidR="00F72E88">
        <w:t> </w:t>
      </w:r>
      <w:proofErr w:type="spellStart"/>
      <w:r w:rsidR="0038418A" w:rsidRPr="00FB6089">
        <w:t>Bassir</w:t>
      </w:r>
      <w:proofErr w:type="spellEnd"/>
      <w:r w:rsidR="0038418A" w:rsidRPr="00FB6089">
        <w:t xml:space="preserve"> s</w:t>
      </w:r>
      <w:r w:rsidR="0038418A">
        <w:t>’</w:t>
      </w:r>
      <w:r w:rsidR="0038418A" w:rsidRPr="00FB6089">
        <w:t>est rendu à cette manifestation pour en assurer la couverture médiatique.</w:t>
      </w:r>
    </w:p>
    <w:p w:rsidR="0038418A" w:rsidRPr="00FB6089" w:rsidRDefault="00A15E43" w:rsidP="00166E8C">
      <w:pPr>
        <w:pStyle w:val="SingleTxtG"/>
        <w:tabs>
          <w:tab w:val="right" w:pos="1021"/>
        </w:tabs>
        <w:ind w:left="1135"/>
      </w:pPr>
      <w:r>
        <w:t>6.</w:t>
      </w:r>
      <w:r>
        <w:tab/>
      </w:r>
      <w:r w:rsidR="0038418A" w:rsidRPr="00FB6089">
        <w:t>La source rapporte qu</w:t>
      </w:r>
      <w:r w:rsidR="0038418A">
        <w:t>’</w:t>
      </w:r>
      <w:r w:rsidR="0038418A" w:rsidRPr="00FB6089">
        <w:t xml:space="preserve">au lendemain du rassemblement, cinq manifestants sahraouis ont </w:t>
      </w:r>
      <w:r w:rsidR="0038418A" w:rsidRPr="00493F26">
        <w:rPr>
          <w:lang w:val="fr-FR"/>
        </w:rPr>
        <w:t>été arrêtés et un mandat d</w:t>
      </w:r>
      <w:r w:rsidR="0038418A">
        <w:rPr>
          <w:lang w:val="fr-FR"/>
        </w:rPr>
        <w:t>’</w:t>
      </w:r>
      <w:r w:rsidR="0038418A" w:rsidRPr="00493F26">
        <w:rPr>
          <w:lang w:val="fr-FR"/>
        </w:rPr>
        <w:t>arrêt a été émis contre M.</w:t>
      </w:r>
      <w:r w:rsidR="00FE052C">
        <w:rPr>
          <w:lang w:val="fr-FR"/>
        </w:rPr>
        <w:t> </w:t>
      </w:r>
      <w:proofErr w:type="spellStart"/>
      <w:r w:rsidR="0038418A" w:rsidRPr="00493F26">
        <w:rPr>
          <w:lang w:val="fr-FR"/>
        </w:rPr>
        <w:t>Bassir</w:t>
      </w:r>
      <w:proofErr w:type="spellEnd"/>
      <w:r w:rsidR="0038418A" w:rsidRPr="00493F26">
        <w:rPr>
          <w:lang w:val="fr-FR"/>
        </w:rPr>
        <w:t>. Informé que les autorités</w:t>
      </w:r>
      <w:r w:rsidR="0038418A" w:rsidRPr="00FB6089">
        <w:t xml:space="preserve"> marocaines avaient arrêté plusieurs militants, et par peur d</w:t>
      </w:r>
      <w:r w:rsidR="0038418A">
        <w:t>’</w:t>
      </w:r>
      <w:r w:rsidR="0038418A" w:rsidRPr="00FB6089">
        <w:t>être arrêté à son tour, M.</w:t>
      </w:r>
      <w:r w:rsidR="00FE052C">
        <w:t> </w:t>
      </w:r>
      <w:proofErr w:type="spellStart"/>
      <w:r w:rsidR="0038418A" w:rsidRPr="00FB6089">
        <w:t>B</w:t>
      </w:r>
      <w:r w:rsidR="0038418A">
        <w:t>assir</w:t>
      </w:r>
      <w:proofErr w:type="spellEnd"/>
      <w:r w:rsidR="0038418A">
        <w:t xml:space="preserve"> s’est réfugié en Algérie. I</w:t>
      </w:r>
      <w:r w:rsidR="0038418A" w:rsidRPr="00FB6089">
        <w:t>l n</w:t>
      </w:r>
      <w:r w:rsidR="0038418A">
        <w:t>’</w:t>
      </w:r>
      <w:r w:rsidR="0038418A" w:rsidRPr="00FB6089">
        <w:t>est revenu au Sahara occidental que deux ans plus tard, soit le 8</w:t>
      </w:r>
      <w:r w:rsidR="00FE052C">
        <w:t> </w:t>
      </w:r>
      <w:r w:rsidR="0038418A" w:rsidRPr="00FB6089">
        <w:t>juin 2015.</w:t>
      </w:r>
    </w:p>
    <w:p w:rsidR="0038418A" w:rsidRPr="00FB6089" w:rsidRDefault="00A15E43" w:rsidP="00166E8C">
      <w:pPr>
        <w:pStyle w:val="SingleTxtG"/>
        <w:tabs>
          <w:tab w:val="right" w:pos="1021"/>
        </w:tabs>
        <w:ind w:left="1135"/>
      </w:pPr>
      <w:r>
        <w:rPr>
          <w:rStyle w:val="None"/>
        </w:rPr>
        <w:t>7.</w:t>
      </w:r>
      <w:r>
        <w:rPr>
          <w:rStyle w:val="None"/>
        </w:rPr>
        <w:tab/>
      </w:r>
      <w:r w:rsidR="0038418A" w:rsidRPr="00FB6089">
        <w:rPr>
          <w:rStyle w:val="None"/>
        </w:rPr>
        <w:t>Selon la source, ce même jour</w:t>
      </w:r>
      <w:r w:rsidR="0038418A" w:rsidRPr="00FB6089">
        <w:t xml:space="preserve">, des membres des forces de sécurité en tenue civile </w:t>
      </w:r>
      <w:r w:rsidR="0038418A">
        <w:t xml:space="preserve">circulant </w:t>
      </w:r>
      <w:r w:rsidR="0038418A" w:rsidRPr="00FB6089">
        <w:t>à bord d</w:t>
      </w:r>
      <w:r w:rsidR="0038418A">
        <w:t>’</w:t>
      </w:r>
      <w:r w:rsidR="0038418A" w:rsidRPr="00FB6089">
        <w:t>un véhicule banalisé ont arrêté M.</w:t>
      </w:r>
      <w:r w:rsidR="00FE052C">
        <w:t> </w:t>
      </w:r>
      <w:proofErr w:type="spellStart"/>
      <w:r w:rsidR="0038418A" w:rsidRPr="00FB6089">
        <w:t>Bassir</w:t>
      </w:r>
      <w:proofErr w:type="spellEnd"/>
      <w:r w:rsidR="0038418A" w:rsidRPr="00FB6089">
        <w:t xml:space="preserve"> </w:t>
      </w:r>
      <w:r w:rsidR="0038418A">
        <w:t>sur</w:t>
      </w:r>
      <w:r w:rsidR="0038418A" w:rsidRPr="00FB6089">
        <w:t xml:space="preserve"> l</w:t>
      </w:r>
      <w:r w:rsidR="0038418A">
        <w:t>’</w:t>
      </w:r>
      <w:r w:rsidR="0038418A" w:rsidRPr="00FB6089">
        <w:t xml:space="preserve">avenue de La Mecque, à </w:t>
      </w:r>
      <w:proofErr w:type="spellStart"/>
      <w:r w:rsidR="0038418A" w:rsidRPr="00FB6089">
        <w:t>Laâyoune</w:t>
      </w:r>
      <w:proofErr w:type="spellEnd"/>
      <w:r w:rsidR="0038418A" w:rsidRPr="00FB6089">
        <w:t>, en pleine rue, aux alentours de 22</w:t>
      </w:r>
      <w:r w:rsidR="0038418A">
        <w:t> </w:t>
      </w:r>
      <w:r w:rsidR="0038418A" w:rsidRPr="00FB6089">
        <w:t>h</w:t>
      </w:r>
      <w:r w:rsidR="0038418A">
        <w:t>eures</w:t>
      </w:r>
      <w:r w:rsidR="0038418A" w:rsidRPr="00FB6089">
        <w:t>. Cette arrestation a eu lieu sur la base du mandat émis le 30</w:t>
      </w:r>
      <w:r w:rsidR="00FE052C">
        <w:t> </w:t>
      </w:r>
      <w:r w:rsidR="0038418A" w:rsidRPr="00FB6089">
        <w:t xml:space="preserve">mai 2013 en relation avec des affrontements supposés avoir eu lieu </w:t>
      </w:r>
      <w:r w:rsidR="0038418A">
        <w:t>lors</w:t>
      </w:r>
      <w:r w:rsidR="0038418A" w:rsidRPr="00FB6089">
        <w:t xml:space="preserve"> de la manifestation du 27</w:t>
      </w:r>
      <w:r w:rsidR="00FE052C">
        <w:t> </w:t>
      </w:r>
      <w:r w:rsidR="0038418A" w:rsidRPr="00FB6089">
        <w:t>mai 2013 à Smara.</w:t>
      </w:r>
    </w:p>
    <w:p w:rsidR="0038418A" w:rsidRPr="00FB6089" w:rsidRDefault="00A15E43" w:rsidP="00166E8C">
      <w:pPr>
        <w:pStyle w:val="SingleTxtG"/>
        <w:tabs>
          <w:tab w:val="right" w:pos="1021"/>
        </w:tabs>
        <w:ind w:left="1135"/>
      </w:pPr>
      <w:r>
        <w:t>8.</w:t>
      </w:r>
      <w:r>
        <w:tab/>
      </w:r>
      <w:r w:rsidR="0038418A" w:rsidRPr="00FB6089">
        <w:t>La source rapporte que le lendemain, aux alentours de midi, la police a demandé à la mère de M.</w:t>
      </w:r>
      <w:r w:rsidR="00FE052C">
        <w:t> </w:t>
      </w:r>
      <w:proofErr w:type="spellStart"/>
      <w:r w:rsidR="0038418A" w:rsidRPr="00FB6089">
        <w:t>Bassir</w:t>
      </w:r>
      <w:proofErr w:type="spellEnd"/>
      <w:r w:rsidR="0038418A" w:rsidRPr="00FB6089">
        <w:t xml:space="preserve"> demeurant à Smara d</w:t>
      </w:r>
      <w:r w:rsidR="0038418A">
        <w:t>’</w:t>
      </w:r>
      <w:r w:rsidR="0038418A" w:rsidRPr="00FB6089">
        <w:t>apporter son passeport au commissariat. Lorsqu</w:t>
      </w:r>
      <w:r w:rsidR="0038418A">
        <w:t>’</w:t>
      </w:r>
      <w:r w:rsidR="0038418A" w:rsidRPr="00FB6089">
        <w:t>elle s</w:t>
      </w:r>
      <w:r w:rsidR="0038418A">
        <w:t>’</w:t>
      </w:r>
      <w:r w:rsidR="0038418A" w:rsidRPr="00FB6089">
        <w:t>est rendue au commissariat, elle a affirmé avoir constaté que les vêtements et le visage de son fils portaient des traces de violences physiques.</w:t>
      </w:r>
    </w:p>
    <w:p w:rsidR="0038418A" w:rsidRPr="00FB6089" w:rsidRDefault="00A15E43" w:rsidP="00166E8C">
      <w:pPr>
        <w:pStyle w:val="SingleTxtG"/>
        <w:tabs>
          <w:tab w:val="right" w:pos="1021"/>
        </w:tabs>
        <w:ind w:left="1135"/>
      </w:pPr>
      <w:r>
        <w:t>9.</w:t>
      </w:r>
      <w:r>
        <w:tab/>
      </w:r>
      <w:r w:rsidR="0038418A" w:rsidRPr="00FB6089">
        <w:t>D</w:t>
      </w:r>
      <w:r w:rsidR="0038418A">
        <w:t>’</w:t>
      </w:r>
      <w:r w:rsidR="0038418A" w:rsidRPr="00FB6089">
        <w:t>après la source, M.</w:t>
      </w:r>
      <w:r w:rsidR="00FE052C">
        <w:t> </w:t>
      </w:r>
      <w:proofErr w:type="spellStart"/>
      <w:r w:rsidR="0038418A" w:rsidRPr="00FB6089">
        <w:t>Bassir</w:t>
      </w:r>
      <w:proofErr w:type="spellEnd"/>
      <w:r w:rsidR="0038418A" w:rsidRPr="00FB6089">
        <w:t xml:space="preserve"> a comparu pour la première fois devant le juge d</w:t>
      </w:r>
      <w:r w:rsidR="0038418A">
        <w:t>’</w:t>
      </w:r>
      <w:r w:rsidR="0038418A" w:rsidRPr="00FB6089">
        <w:t>instruction le 29</w:t>
      </w:r>
      <w:r w:rsidR="00FE052C">
        <w:t> </w:t>
      </w:r>
      <w:r w:rsidR="0038418A" w:rsidRPr="00FB6089">
        <w:t>juin 2015 et a nié toute implication dans les supposés affrontements de mai 2013 à Smara.</w:t>
      </w:r>
      <w:r w:rsidR="0038418A">
        <w:t xml:space="preserve"> </w:t>
      </w:r>
      <w:r w:rsidR="0038418A" w:rsidRPr="00FB6089">
        <w:t>Le 7</w:t>
      </w:r>
      <w:r w:rsidR="00FE052C">
        <w:t> </w:t>
      </w:r>
      <w:r w:rsidR="0038418A" w:rsidRPr="00FB6089">
        <w:t>juillet 2015, M.</w:t>
      </w:r>
      <w:r w:rsidR="00FE052C">
        <w:t> </w:t>
      </w:r>
      <w:proofErr w:type="spellStart"/>
      <w:r w:rsidR="0038418A" w:rsidRPr="00FB6089">
        <w:t>Bassir</w:t>
      </w:r>
      <w:proofErr w:type="spellEnd"/>
      <w:r w:rsidR="0038418A" w:rsidRPr="00FB6089">
        <w:t xml:space="preserve"> a été emmené à Smara afin d</w:t>
      </w:r>
      <w:r w:rsidR="0038418A">
        <w:t>’</w:t>
      </w:r>
      <w:r w:rsidR="0038418A" w:rsidRPr="00FB6089">
        <w:t xml:space="preserve">y être interrogé. </w:t>
      </w:r>
      <w:r w:rsidR="0038418A">
        <w:t>À</w:t>
      </w:r>
      <w:r w:rsidR="0038418A" w:rsidRPr="00FB6089">
        <w:t xml:space="preserve"> cette occasion, et lors de son interrogatoire, il a réfuté de nouveau sa participation à des affrontements contre les forces de l</w:t>
      </w:r>
      <w:r w:rsidR="0038418A">
        <w:t>’</w:t>
      </w:r>
      <w:r w:rsidR="0038418A" w:rsidRPr="00FB6089">
        <w:t xml:space="preserve">ordre. </w:t>
      </w:r>
    </w:p>
    <w:p w:rsidR="0038418A" w:rsidRPr="00FB6089" w:rsidRDefault="00A15E43" w:rsidP="00166E8C">
      <w:pPr>
        <w:pStyle w:val="SingleTxtG"/>
        <w:tabs>
          <w:tab w:val="right" w:pos="1021"/>
        </w:tabs>
        <w:ind w:left="1135"/>
      </w:pPr>
      <w:r>
        <w:t>10.</w:t>
      </w:r>
      <w:r>
        <w:tab/>
      </w:r>
      <w:r w:rsidR="0038418A" w:rsidRPr="009D06C9">
        <w:t>La source rapporte que durant l</w:t>
      </w:r>
      <w:r w:rsidR="0038418A">
        <w:t>’</w:t>
      </w:r>
      <w:r w:rsidR="0038418A" w:rsidRPr="009D06C9">
        <w:t>interrogatoire, M.</w:t>
      </w:r>
      <w:r w:rsidR="00FE052C">
        <w:t> </w:t>
      </w:r>
      <w:proofErr w:type="spellStart"/>
      <w:r w:rsidR="0038418A" w:rsidRPr="009D06C9">
        <w:t>Bassir</w:t>
      </w:r>
      <w:proofErr w:type="spellEnd"/>
      <w:r w:rsidR="0038418A" w:rsidRPr="009D06C9">
        <w:t xml:space="preserve"> a avoué, sous la contrainte physique, avoir planifié et participé à des émeutes survenues à Smara en avril et mai 2013.</w:t>
      </w:r>
      <w:r w:rsidR="0038418A" w:rsidRPr="00FB6089">
        <w:t xml:space="preserve"> Selon la source, il aurait été battu notamment au visage et soumis à de longs interrogatoires. Les policiers chargés de l</w:t>
      </w:r>
      <w:r w:rsidR="0038418A">
        <w:t>’</w:t>
      </w:r>
      <w:r w:rsidR="0038418A" w:rsidRPr="00FB6089">
        <w:t>interroger lui auraient bandé les yeux et l</w:t>
      </w:r>
      <w:r w:rsidR="0038418A">
        <w:t>’</w:t>
      </w:r>
      <w:r w:rsidR="0038418A" w:rsidRPr="00FB6089">
        <w:t>aurai</w:t>
      </w:r>
      <w:r w:rsidR="0038418A">
        <w:t>en</w:t>
      </w:r>
      <w:r w:rsidR="0038418A" w:rsidRPr="00FB6089">
        <w:t>t finalement forcé à signer un procès-verbal de police contenant ses aveux, sans qu</w:t>
      </w:r>
      <w:r w:rsidR="0038418A">
        <w:t>’</w:t>
      </w:r>
      <w:r w:rsidR="0038418A" w:rsidRPr="00FB6089">
        <w:t>il ait pu en prendre connaissance au préalable.</w:t>
      </w:r>
    </w:p>
    <w:p w:rsidR="0038418A" w:rsidRPr="00FB6089" w:rsidRDefault="00F04427" w:rsidP="00166E8C">
      <w:pPr>
        <w:pStyle w:val="SingleTxtG"/>
        <w:tabs>
          <w:tab w:val="right" w:pos="1021"/>
        </w:tabs>
        <w:ind w:left="1135"/>
      </w:pPr>
      <w:r>
        <w:t>11.</w:t>
      </w:r>
      <w:r>
        <w:tab/>
      </w:r>
      <w:r w:rsidR="0038418A" w:rsidRPr="00FB6089">
        <w:t>Selon la source, le 8</w:t>
      </w:r>
      <w:r w:rsidR="00FE052C">
        <w:t> </w:t>
      </w:r>
      <w:r w:rsidR="0038418A" w:rsidRPr="00FB6089">
        <w:t xml:space="preserve">juillet 2015, le Procureur du </w:t>
      </w:r>
      <w:r w:rsidR="0038418A">
        <w:t>R</w:t>
      </w:r>
      <w:r w:rsidR="0038418A" w:rsidRPr="00FB6089">
        <w:t>oi prè</w:t>
      </w:r>
      <w:r w:rsidR="0038418A">
        <w:t xml:space="preserve">s la cour d’appel de </w:t>
      </w:r>
      <w:proofErr w:type="spellStart"/>
      <w:r w:rsidR="0038418A">
        <w:t>Laâyoune</w:t>
      </w:r>
      <w:proofErr w:type="spellEnd"/>
      <w:r w:rsidR="0038418A">
        <w:t xml:space="preserve"> a </w:t>
      </w:r>
      <w:r w:rsidR="0038418A" w:rsidRPr="00FB6089">
        <w:t>inculp</w:t>
      </w:r>
      <w:r w:rsidR="0038418A">
        <w:t>é</w:t>
      </w:r>
      <w:r w:rsidR="0038418A" w:rsidRPr="00FB6089">
        <w:t xml:space="preserve"> </w:t>
      </w:r>
      <w:r w:rsidR="0038418A">
        <w:t>M.</w:t>
      </w:r>
      <w:r w:rsidR="00FE052C">
        <w:t> </w:t>
      </w:r>
      <w:proofErr w:type="spellStart"/>
      <w:r w:rsidR="0038418A">
        <w:t>Bassir</w:t>
      </w:r>
      <w:proofErr w:type="spellEnd"/>
      <w:r w:rsidR="0038418A">
        <w:t xml:space="preserve"> </w:t>
      </w:r>
      <w:r w:rsidR="0038418A" w:rsidRPr="00FB6089">
        <w:t>notamment d</w:t>
      </w:r>
      <w:r w:rsidR="0038418A">
        <w:t>’</w:t>
      </w:r>
      <w:r w:rsidR="0038418A" w:rsidRPr="00FB6089">
        <w:t>ass</w:t>
      </w:r>
      <w:r w:rsidR="0038418A">
        <w:t>ociation de malfaiteurs (art</w:t>
      </w:r>
      <w:r w:rsidR="00FE052C">
        <w:t>. </w:t>
      </w:r>
      <w:r w:rsidR="0038418A" w:rsidRPr="00FB6089">
        <w:t xml:space="preserve">293 du Code pénal), </w:t>
      </w:r>
      <w:r w:rsidR="0038418A">
        <w:t xml:space="preserve">de </w:t>
      </w:r>
      <w:r w:rsidR="0038418A" w:rsidRPr="00FB6089">
        <w:t>violences contre des fonctionnair</w:t>
      </w:r>
      <w:r w:rsidR="0038418A">
        <w:t>es de police en service (art</w:t>
      </w:r>
      <w:r w:rsidR="00FE052C">
        <w:t>. </w:t>
      </w:r>
      <w:r w:rsidR="0038418A" w:rsidRPr="00FB6089">
        <w:t xml:space="preserve">267 du Code pénal), </w:t>
      </w:r>
      <w:r w:rsidR="0038418A">
        <w:t xml:space="preserve">de </w:t>
      </w:r>
      <w:r w:rsidR="0038418A" w:rsidRPr="00FB6089">
        <w:t>dégra</w:t>
      </w:r>
      <w:r w:rsidR="0038418A">
        <w:t>dation de biens publics (art</w:t>
      </w:r>
      <w:r w:rsidR="00FE052C">
        <w:t>. </w:t>
      </w:r>
      <w:r w:rsidR="0038418A" w:rsidRPr="00FB6089">
        <w:t xml:space="preserve">595 du Code pénal), </w:t>
      </w:r>
      <w:r w:rsidR="0038418A">
        <w:t>d’</w:t>
      </w:r>
      <w:r w:rsidR="0038418A" w:rsidRPr="00FB6089">
        <w:t xml:space="preserve">incendie volontaire et </w:t>
      </w:r>
      <w:r w:rsidR="0038418A">
        <w:t>d’</w:t>
      </w:r>
      <w:r w:rsidR="0038418A" w:rsidRPr="00FB6089">
        <w:t>entrave à la circulation (</w:t>
      </w:r>
      <w:r w:rsidR="0038418A">
        <w:t>art</w:t>
      </w:r>
      <w:r w:rsidR="00FE052C">
        <w:t>. </w:t>
      </w:r>
      <w:r w:rsidR="0038418A" w:rsidRPr="00FB6089">
        <w:t>583 et 591 du Code pénal).</w:t>
      </w:r>
    </w:p>
    <w:p w:rsidR="0038418A" w:rsidRPr="00FB6089" w:rsidRDefault="00F04427" w:rsidP="00166E8C">
      <w:pPr>
        <w:pStyle w:val="SingleTxtG"/>
        <w:tabs>
          <w:tab w:val="right" w:pos="1021"/>
        </w:tabs>
        <w:ind w:left="1135"/>
      </w:pPr>
      <w:r>
        <w:t>12.</w:t>
      </w:r>
      <w:r>
        <w:tab/>
      </w:r>
      <w:r w:rsidR="0038418A" w:rsidRPr="00FB6089">
        <w:t>Le 9</w:t>
      </w:r>
      <w:r w:rsidR="00FE052C">
        <w:t> </w:t>
      </w:r>
      <w:r w:rsidR="0038418A" w:rsidRPr="00FB6089">
        <w:t>juillet, M.</w:t>
      </w:r>
      <w:r w:rsidR="00FE052C">
        <w:t> </w:t>
      </w:r>
      <w:proofErr w:type="spellStart"/>
      <w:r w:rsidR="0038418A" w:rsidRPr="00FB6089">
        <w:t>Bassir</w:t>
      </w:r>
      <w:proofErr w:type="spellEnd"/>
      <w:r w:rsidR="0038418A" w:rsidRPr="00FB6089">
        <w:t xml:space="preserve"> a comparu devant le juge d</w:t>
      </w:r>
      <w:r w:rsidR="0038418A">
        <w:t>’</w:t>
      </w:r>
      <w:r w:rsidR="0038418A" w:rsidRPr="00FB6089">
        <w:t xml:space="preserve">instruction du tribunal de </w:t>
      </w:r>
      <w:proofErr w:type="spellStart"/>
      <w:r w:rsidR="0038418A" w:rsidRPr="00FB6089">
        <w:t>Laâyoune</w:t>
      </w:r>
      <w:proofErr w:type="spellEnd"/>
      <w:r w:rsidR="0038418A">
        <w:t>,</w:t>
      </w:r>
      <w:r w:rsidR="0038418A" w:rsidRPr="00FB6089">
        <w:t xml:space="preserve"> qui a ordonné son placement en détention préventive à la prison civile de </w:t>
      </w:r>
      <w:proofErr w:type="spellStart"/>
      <w:r w:rsidR="0038418A" w:rsidRPr="00FB6089">
        <w:t>Lakhal</w:t>
      </w:r>
      <w:proofErr w:type="spellEnd"/>
      <w:r w:rsidR="0038418A" w:rsidRPr="00FB6089">
        <w:t xml:space="preserve">, à </w:t>
      </w:r>
      <w:proofErr w:type="spellStart"/>
      <w:r w:rsidR="0038418A" w:rsidRPr="00FB6089">
        <w:t>Laâyoune</w:t>
      </w:r>
      <w:proofErr w:type="spellEnd"/>
      <w:r w:rsidR="0038418A" w:rsidRPr="00FB6089">
        <w:t>.</w:t>
      </w:r>
    </w:p>
    <w:p w:rsidR="0038418A" w:rsidRPr="00FB6089" w:rsidRDefault="00F04427" w:rsidP="00166E8C">
      <w:pPr>
        <w:pStyle w:val="SingleTxtG"/>
        <w:tabs>
          <w:tab w:val="right" w:pos="1021"/>
        </w:tabs>
        <w:ind w:left="1135"/>
      </w:pPr>
      <w:r>
        <w:t>13.</w:t>
      </w:r>
      <w:r>
        <w:tab/>
      </w:r>
      <w:r w:rsidR="0038418A" w:rsidRPr="00FB6089">
        <w:t>Le 30</w:t>
      </w:r>
      <w:r w:rsidR="00FE052C">
        <w:t> </w:t>
      </w:r>
      <w:r w:rsidR="0038418A" w:rsidRPr="00FB6089">
        <w:t>septembre 2015, M.</w:t>
      </w:r>
      <w:r w:rsidR="00FE052C">
        <w:t> </w:t>
      </w:r>
      <w:proofErr w:type="spellStart"/>
      <w:r w:rsidR="0038418A" w:rsidRPr="00FB6089">
        <w:t>Bassir</w:t>
      </w:r>
      <w:proofErr w:type="spellEnd"/>
      <w:r w:rsidR="0038418A" w:rsidRPr="00FB6089">
        <w:t xml:space="preserve"> a été condamné en première instance à quatre ans d</w:t>
      </w:r>
      <w:r w:rsidR="0038418A">
        <w:t>’</w:t>
      </w:r>
      <w:r w:rsidR="0038418A" w:rsidRPr="00FB6089">
        <w:t xml:space="preserve">emprisonnement par le tribunal correctionnel de </w:t>
      </w:r>
      <w:proofErr w:type="spellStart"/>
      <w:r w:rsidR="0038418A" w:rsidRPr="00FB6089">
        <w:t>Laâyoune</w:t>
      </w:r>
      <w:proofErr w:type="spellEnd"/>
      <w:r w:rsidR="0038418A" w:rsidRPr="00FB6089">
        <w:t>. Le verdict a été confirmé par la cour d</w:t>
      </w:r>
      <w:r w:rsidR="0038418A">
        <w:t>’</w:t>
      </w:r>
      <w:r w:rsidR="0038418A" w:rsidRPr="00FB6089">
        <w:t xml:space="preserve">appel de </w:t>
      </w:r>
      <w:proofErr w:type="spellStart"/>
      <w:r w:rsidR="0038418A" w:rsidRPr="00FB6089">
        <w:t>Laâyoune</w:t>
      </w:r>
      <w:proofErr w:type="spellEnd"/>
      <w:r w:rsidR="0038418A" w:rsidRPr="00FB6089">
        <w:t xml:space="preserve"> le 24</w:t>
      </w:r>
      <w:r w:rsidR="00FE052C">
        <w:t> </w:t>
      </w:r>
      <w:r w:rsidR="0038418A" w:rsidRPr="00FB6089">
        <w:t>novembre 2015.</w:t>
      </w:r>
    </w:p>
    <w:p w:rsidR="0038418A" w:rsidRPr="00FB6089" w:rsidRDefault="00F04427" w:rsidP="00166E8C">
      <w:pPr>
        <w:pStyle w:val="SingleTxtG"/>
        <w:tabs>
          <w:tab w:val="right" w:pos="1021"/>
        </w:tabs>
        <w:ind w:left="1135"/>
      </w:pPr>
      <w:r>
        <w:lastRenderedPageBreak/>
        <w:t>14.</w:t>
      </w:r>
      <w:r>
        <w:tab/>
      </w:r>
      <w:r w:rsidR="0038418A" w:rsidRPr="00FB6089">
        <w:t>Selon la source, M.</w:t>
      </w:r>
      <w:r w:rsidR="00FE052C">
        <w:t> </w:t>
      </w:r>
      <w:proofErr w:type="spellStart"/>
      <w:r w:rsidR="0038418A" w:rsidRPr="00FB6089">
        <w:t>Bassir</w:t>
      </w:r>
      <w:proofErr w:type="spellEnd"/>
      <w:r w:rsidR="0038418A" w:rsidRPr="00FB6089">
        <w:t xml:space="preserve"> a contesté</w:t>
      </w:r>
      <w:r w:rsidR="0038418A">
        <w:t>,</w:t>
      </w:r>
      <w:r w:rsidR="0038418A" w:rsidRPr="00FB6089">
        <w:t xml:space="preserve"> durant la procédure, les aveux contenus dans les procès-verbaux de police, affirmant qu</w:t>
      </w:r>
      <w:r w:rsidR="0038418A">
        <w:t>’</w:t>
      </w:r>
      <w:r w:rsidR="0038418A" w:rsidRPr="00FB6089">
        <w:t>ils avaient été obtenus sous la contrainte physique et qu</w:t>
      </w:r>
      <w:r w:rsidR="0038418A">
        <w:t>’</w:t>
      </w:r>
      <w:r w:rsidR="0038418A" w:rsidRPr="00FB6089">
        <w:t>il n</w:t>
      </w:r>
      <w:r w:rsidR="0038418A">
        <w:t>’</w:t>
      </w:r>
      <w:r w:rsidR="0038418A" w:rsidRPr="00FB6089">
        <w:t>avait pu prendre connaissance de leur contenu avant de les signer. Il a réitéré ses affirmations durant son procès en première instance comme en appel.</w:t>
      </w:r>
      <w:r w:rsidR="0038418A">
        <w:t xml:space="preserve"> </w:t>
      </w:r>
      <w:r w:rsidR="0038418A" w:rsidRPr="00FB6089">
        <w:t>Cependant, la source relève qu</w:t>
      </w:r>
      <w:r w:rsidR="0038418A">
        <w:t>’</w:t>
      </w:r>
      <w:r w:rsidR="0038418A" w:rsidRPr="00FB6089">
        <w:t>à chaque comparution les juges n</w:t>
      </w:r>
      <w:r w:rsidR="0038418A">
        <w:t>’</w:t>
      </w:r>
      <w:r w:rsidR="0038418A" w:rsidRPr="00FB6089">
        <w:t>ont pas pris en compte les explications de M.</w:t>
      </w:r>
      <w:r w:rsidR="00FE052C">
        <w:t> </w:t>
      </w:r>
      <w:proofErr w:type="spellStart"/>
      <w:r w:rsidR="0038418A" w:rsidRPr="00FB6089">
        <w:t>Bassir</w:t>
      </w:r>
      <w:proofErr w:type="spellEnd"/>
      <w:r w:rsidR="0038418A" w:rsidRPr="00FB6089">
        <w:t xml:space="preserve"> et se sont basés uniquement sur ses aveux pour le condamner à quatre ans d</w:t>
      </w:r>
      <w:r w:rsidR="0038418A">
        <w:t>’</w:t>
      </w:r>
      <w:r w:rsidR="0038418A" w:rsidRPr="00FB6089">
        <w:t>emprisonnement.</w:t>
      </w:r>
    </w:p>
    <w:p w:rsidR="0038418A" w:rsidRPr="00FB6089" w:rsidRDefault="00F04427" w:rsidP="00166E8C">
      <w:pPr>
        <w:pStyle w:val="SingleTxtG"/>
        <w:tabs>
          <w:tab w:val="right" w:pos="1021"/>
        </w:tabs>
        <w:ind w:left="1135"/>
      </w:pPr>
      <w:r>
        <w:t>15.</w:t>
      </w:r>
      <w:r>
        <w:tab/>
      </w:r>
      <w:r w:rsidR="0038418A" w:rsidRPr="00FB6089">
        <w:t>La source rapporte que</w:t>
      </w:r>
      <w:r w:rsidR="0038418A">
        <w:t>,</w:t>
      </w:r>
      <w:r w:rsidR="0038418A" w:rsidRPr="00FB6089">
        <w:t xml:space="preserve"> suite à sa condamnation, M.</w:t>
      </w:r>
      <w:r w:rsidR="00FE052C">
        <w:t> </w:t>
      </w:r>
      <w:proofErr w:type="spellStart"/>
      <w:r w:rsidR="0038418A" w:rsidRPr="00FB6089">
        <w:t>Bassir</w:t>
      </w:r>
      <w:proofErr w:type="spellEnd"/>
      <w:r w:rsidR="0038418A" w:rsidRPr="00FB6089">
        <w:t xml:space="preserve"> a été transféré à la prison d</w:t>
      </w:r>
      <w:r w:rsidR="0038418A">
        <w:t>’</w:t>
      </w:r>
      <w:r w:rsidR="0038418A" w:rsidRPr="00FB6089">
        <w:t xml:space="preserve">Aït </w:t>
      </w:r>
      <w:proofErr w:type="spellStart"/>
      <w:r w:rsidR="0038418A" w:rsidRPr="00FB6089">
        <w:t>Melloul</w:t>
      </w:r>
      <w:proofErr w:type="spellEnd"/>
      <w:r w:rsidR="0038418A" w:rsidRPr="00FB6089">
        <w:t>, qui se trouve à plus de 500</w:t>
      </w:r>
      <w:r w:rsidR="00FE052C">
        <w:t> </w:t>
      </w:r>
      <w:r w:rsidR="0038418A" w:rsidRPr="00FB6089">
        <w:t>k</w:t>
      </w:r>
      <w:r w:rsidR="0038418A">
        <w:t>ilomètres</w:t>
      </w:r>
      <w:r w:rsidR="0038418A" w:rsidRPr="00FB6089">
        <w:t xml:space="preserve"> de Smara où sa famille réside. En raison de la distance, sa famille a de plus en plus de difficulté à lui rendre visite. Les autorités se sont opposées à un </w:t>
      </w:r>
      <w:r w:rsidR="0038418A" w:rsidRPr="002332E4">
        <w:t>nouveau</w:t>
      </w:r>
      <w:r w:rsidR="0038418A" w:rsidRPr="00FB6089">
        <w:t xml:space="preserve"> transfert vers la ville de Smara.</w:t>
      </w:r>
    </w:p>
    <w:p w:rsidR="0038418A" w:rsidRPr="00FB6089" w:rsidRDefault="00F04427" w:rsidP="00166E8C">
      <w:pPr>
        <w:pStyle w:val="SingleTxtG"/>
        <w:tabs>
          <w:tab w:val="right" w:pos="1021"/>
        </w:tabs>
        <w:ind w:left="1135"/>
      </w:pPr>
      <w:r>
        <w:t>16.</w:t>
      </w:r>
      <w:r>
        <w:tab/>
      </w:r>
      <w:r w:rsidR="0038418A" w:rsidRPr="00FB6089">
        <w:t xml:space="preserve">Selon la source, les conditions </w:t>
      </w:r>
      <w:r w:rsidR="0038418A">
        <w:t>de détention de M.</w:t>
      </w:r>
      <w:r w:rsidR="00FE052C">
        <w:t> </w:t>
      </w:r>
      <w:proofErr w:type="spellStart"/>
      <w:r w:rsidR="0038418A">
        <w:t>Bassir</w:t>
      </w:r>
      <w:proofErr w:type="spellEnd"/>
      <w:r w:rsidR="0038418A">
        <w:t xml:space="preserve"> sont </w:t>
      </w:r>
      <w:r w:rsidR="0038418A" w:rsidRPr="00FB6089">
        <w:t>préoccupantes. M.</w:t>
      </w:r>
      <w:r w:rsidR="00FE052C">
        <w:t> </w:t>
      </w:r>
      <w:proofErr w:type="spellStart"/>
      <w:r w:rsidR="0038418A" w:rsidRPr="00FB6089">
        <w:t>Bassir</w:t>
      </w:r>
      <w:proofErr w:type="spellEnd"/>
      <w:r w:rsidR="0038418A" w:rsidRPr="00FB6089">
        <w:t xml:space="preserve"> aurait été battu par des agents de l</w:t>
      </w:r>
      <w:r w:rsidR="0038418A">
        <w:t>’</w:t>
      </w:r>
      <w:r w:rsidR="0038418A" w:rsidRPr="00FB6089">
        <w:t>administration pénitentiaire lorsqu</w:t>
      </w:r>
      <w:r w:rsidR="0038418A">
        <w:t>’</w:t>
      </w:r>
      <w:r w:rsidR="0038418A" w:rsidRPr="00FB6089">
        <w:t xml:space="preserve">il était détenu à </w:t>
      </w:r>
      <w:proofErr w:type="spellStart"/>
      <w:r w:rsidR="0038418A" w:rsidRPr="00FB6089">
        <w:t>Lakhal</w:t>
      </w:r>
      <w:proofErr w:type="spellEnd"/>
      <w:r w:rsidR="0038418A" w:rsidRPr="00FB6089">
        <w:t xml:space="preserve"> puis à Aït </w:t>
      </w:r>
      <w:proofErr w:type="spellStart"/>
      <w:r w:rsidR="0038418A" w:rsidRPr="00FB6089">
        <w:t>Melloul</w:t>
      </w:r>
      <w:proofErr w:type="spellEnd"/>
      <w:r w:rsidR="0038418A" w:rsidRPr="00FB6089">
        <w:t>, où il a entamé deux grèves de la faim, l</w:t>
      </w:r>
      <w:r w:rsidR="0038418A">
        <w:t>e 30</w:t>
      </w:r>
      <w:r w:rsidR="00FE052C">
        <w:t> </w:t>
      </w:r>
      <w:r w:rsidR="0038418A">
        <w:t>mars 2016 puis</w:t>
      </w:r>
      <w:r w:rsidR="0038418A" w:rsidRPr="00FB6089">
        <w:t xml:space="preserve"> le 30</w:t>
      </w:r>
      <w:r w:rsidR="00FE052C">
        <w:t> </w:t>
      </w:r>
      <w:r w:rsidR="0038418A" w:rsidRPr="00FB6089">
        <w:t>mai 2016, pour protester co</w:t>
      </w:r>
      <w:r w:rsidR="0038418A">
        <w:t>ntre les violences dont il aurait été</w:t>
      </w:r>
      <w:r w:rsidR="0038418A" w:rsidRPr="00FB6089">
        <w:t xml:space="preserve"> victime et pour demander à être transféré vers un lieu de détention plus proche du lieu de résidence de ses proches.</w:t>
      </w:r>
    </w:p>
    <w:p w:rsidR="0038418A" w:rsidRPr="00FB6089" w:rsidRDefault="00F04427" w:rsidP="00166E8C">
      <w:pPr>
        <w:pStyle w:val="SingleTxtG"/>
        <w:tabs>
          <w:tab w:val="right" w:pos="1021"/>
        </w:tabs>
        <w:ind w:left="1135"/>
      </w:pPr>
      <w:r>
        <w:t>17.</w:t>
      </w:r>
      <w:r>
        <w:tab/>
      </w:r>
      <w:r w:rsidR="0038418A" w:rsidRPr="00FB6089">
        <w:t xml:space="preserve">Les autorités </w:t>
      </w:r>
      <w:r w:rsidR="0038418A">
        <w:t>auraient</w:t>
      </w:r>
      <w:r w:rsidR="0038418A" w:rsidRPr="00FB6089">
        <w:t xml:space="preserve"> répondu à ces grèves de la faim en plaçant M.</w:t>
      </w:r>
      <w:r w:rsidR="00FE052C">
        <w:t> </w:t>
      </w:r>
      <w:proofErr w:type="spellStart"/>
      <w:r w:rsidR="0038418A" w:rsidRPr="00FB6089">
        <w:t>Bassir</w:t>
      </w:r>
      <w:proofErr w:type="spellEnd"/>
      <w:r w:rsidR="0038418A" w:rsidRPr="00FB6089">
        <w:t xml:space="preserve"> en cellule d</w:t>
      </w:r>
      <w:r w:rsidR="0038418A">
        <w:t>’</w:t>
      </w:r>
      <w:r w:rsidR="0038418A" w:rsidRPr="00FB6089">
        <w:t>isolement. Selon la source, il s</w:t>
      </w:r>
      <w:r w:rsidR="0038418A">
        <w:t>’</w:t>
      </w:r>
      <w:r w:rsidR="0038418A" w:rsidRPr="00FB6089">
        <w:t>agit là d</w:t>
      </w:r>
      <w:r w:rsidR="0038418A">
        <w:t>’</w:t>
      </w:r>
      <w:r w:rsidR="0038418A" w:rsidRPr="00FB6089">
        <w:t>une forme de punition pour avoir dénoncé le caractère arbitraire de sa détention. La source note que</w:t>
      </w:r>
      <w:r w:rsidR="0038418A">
        <w:t>,</w:t>
      </w:r>
      <w:r w:rsidR="0038418A" w:rsidRPr="00FB6089">
        <w:t xml:space="preserve"> lors de sa visite au Maroc, le Rapporteur spécial sur la torture </w:t>
      </w:r>
      <w:r w:rsidR="0038418A">
        <w:rPr>
          <w:rStyle w:val="None"/>
        </w:rPr>
        <w:t>et autres peines ou traitements cruels, inhumains ou dégradants</w:t>
      </w:r>
      <w:r w:rsidR="0038418A" w:rsidRPr="00FB6089">
        <w:t xml:space="preserve"> a souligné que la mise à l</w:t>
      </w:r>
      <w:r w:rsidR="0038418A">
        <w:t>’</w:t>
      </w:r>
      <w:r w:rsidR="0038418A" w:rsidRPr="00FB6089">
        <w:t>isolement en guise de représailles constitu</w:t>
      </w:r>
      <w:r w:rsidR="0038418A">
        <w:t>ait</w:t>
      </w:r>
      <w:r w:rsidR="0038418A" w:rsidRPr="00FB6089">
        <w:t xml:space="preserve"> l</w:t>
      </w:r>
      <w:r w:rsidR="0038418A">
        <w:t>’</w:t>
      </w:r>
      <w:r w:rsidR="0038418A" w:rsidRPr="00FB6089">
        <w:t>une des formes de torture et de mauvais traitement pratiquées au Sahara occidental, en particulier contre des détenus accusés de participer aux activités en faveur de l</w:t>
      </w:r>
      <w:r w:rsidR="0038418A">
        <w:t>’</w:t>
      </w:r>
      <w:r w:rsidR="0038418A" w:rsidRPr="00FB6089">
        <w:t>indépendance. Enfin, M.</w:t>
      </w:r>
      <w:r w:rsidR="00FE052C">
        <w:t> </w:t>
      </w:r>
      <w:proofErr w:type="spellStart"/>
      <w:r w:rsidR="0038418A" w:rsidRPr="00FB6089">
        <w:t>Bassir</w:t>
      </w:r>
      <w:proofErr w:type="spellEnd"/>
      <w:r w:rsidR="0038418A" w:rsidRPr="00FB6089">
        <w:t xml:space="preserve"> n</w:t>
      </w:r>
      <w:r w:rsidR="0038418A">
        <w:t>’</w:t>
      </w:r>
      <w:r w:rsidR="0038418A" w:rsidRPr="00FB6089">
        <w:t>est autorisé à passer chaque semaine qu</w:t>
      </w:r>
      <w:r w:rsidR="0038418A">
        <w:t>’</w:t>
      </w:r>
      <w:r w:rsidR="0038418A" w:rsidRPr="00FB6089">
        <w:t>un appel téléphonique de cinq minutes.</w:t>
      </w:r>
    </w:p>
    <w:p w:rsidR="0038418A" w:rsidRDefault="00F04427" w:rsidP="00166E8C">
      <w:pPr>
        <w:pStyle w:val="SingleTxtG"/>
        <w:tabs>
          <w:tab w:val="right" w:pos="1021"/>
        </w:tabs>
        <w:ind w:left="1135"/>
      </w:pPr>
      <w:r>
        <w:t>18.</w:t>
      </w:r>
      <w:r>
        <w:tab/>
      </w:r>
      <w:r w:rsidR="0038418A">
        <w:t xml:space="preserve">La source rappelle que le Groupe de travail sur la détention arbitraire a effectué une visite au Maroc en 2013. Dans son rapport de mission (A/HRC/27/48/Add.5), le Groupe de travail </w:t>
      </w:r>
      <w:r w:rsidR="0038418A" w:rsidRPr="00FB6089">
        <w:t>a constaté que</w:t>
      </w:r>
      <w:r w:rsidR="0038418A">
        <w:t xml:space="preserve"> </w:t>
      </w:r>
      <w:r w:rsidR="0038418A" w:rsidRPr="00FB6089">
        <w:t>la torture et les mauvais traitements étaient pratiqués au Sahara occidental pour arracher des aveux</w:t>
      </w:r>
      <w:r w:rsidR="0038418A">
        <w:t xml:space="preserve"> (par.</w:t>
      </w:r>
      <w:r w:rsidR="00FE052C">
        <w:t> </w:t>
      </w:r>
      <w:r w:rsidR="0038418A">
        <w:t>63). Il a également constaté que</w:t>
      </w:r>
      <w:r w:rsidR="0038418A" w:rsidRPr="00FB6089">
        <w:t xml:space="preserve"> les </w:t>
      </w:r>
      <w:r w:rsidR="0038418A">
        <w:t xml:space="preserve">agents de la force publique faisaient </w:t>
      </w:r>
      <w:r w:rsidR="0038418A" w:rsidRPr="00FB6089">
        <w:t>un usage excessif et systématique de la force à l</w:t>
      </w:r>
      <w:r w:rsidR="0038418A">
        <w:t>’</w:t>
      </w:r>
      <w:r w:rsidR="0038418A" w:rsidRPr="00FB6089">
        <w:t>égard des manifestants, en particulier dans le but d</w:t>
      </w:r>
      <w:r w:rsidR="0038418A">
        <w:t>’</w:t>
      </w:r>
      <w:r w:rsidR="0038418A" w:rsidRPr="00FB6089">
        <w:t>arrêter les militants en faveur de l</w:t>
      </w:r>
      <w:r w:rsidR="0038418A">
        <w:t>’</w:t>
      </w:r>
      <w:r w:rsidR="0038418A" w:rsidRPr="00FB6089">
        <w:t>autodétermination du peuple sahraoui</w:t>
      </w:r>
      <w:r w:rsidR="0038418A">
        <w:t xml:space="preserve"> (par.</w:t>
      </w:r>
      <w:r w:rsidR="00FE052C">
        <w:t> </w:t>
      </w:r>
      <w:r w:rsidR="0038418A">
        <w:t>64)</w:t>
      </w:r>
      <w:r w:rsidR="0038418A" w:rsidRPr="00FB6089">
        <w:t>.</w:t>
      </w:r>
      <w:r w:rsidR="0038418A">
        <w:t xml:space="preserve"> Enfin, la source rappelle également que le Groupe de travail a </w:t>
      </w:r>
      <w:r w:rsidR="0038418A" w:rsidRPr="00FB6089">
        <w:t xml:space="preserve">constaté </w:t>
      </w:r>
      <w:r w:rsidR="0038418A">
        <w:t xml:space="preserve">avec une vive préoccupation que certains des </w:t>
      </w:r>
      <w:r w:rsidR="0038418A" w:rsidRPr="00FB6089">
        <w:t xml:space="preserve">détenus </w:t>
      </w:r>
      <w:r w:rsidR="0038418A">
        <w:t xml:space="preserve">avec lesquels il s’était </w:t>
      </w:r>
      <w:r w:rsidR="0038418A" w:rsidRPr="00FB6089">
        <w:t>entretenu</w:t>
      </w:r>
      <w:r w:rsidR="0038418A">
        <w:t xml:space="preserve"> dans la prison de</w:t>
      </w:r>
      <w:r w:rsidR="0038418A" w:rsidRPr="00FB6089">
        <w:t xml:space="preserve"> </w:t>
      </w:r>
      <w:proofErr w:type="spellStart"/>
      <w:r w:rsidR="0038418A" w:rsidRPr="00FB6089">
        <w:t>Laâyoune</w:t>
      </w:r>
      <w:proofErr w:type="spellEnd"/>
      <w:r w:rsidR="0038418A" w:rsidRPr="00FB6089">
        <w:t xml:space="preserve"> ont exprimé la crainte de représailles après avoir parlé à la délégation</w:t>
      </w:r>
      <w:r w:rsidR="0038418A">
        <w:t xml:space="preserve"> (par.</w:t>
      </w:r>
      <w:r w:rsidR="00FE052C">
        <w:t> </w:t>
      </w:r>
      <w:r w:rsidR="0038418A">
        <w:t>66)</w:t>
      </w:r>
      <w:r w:rsidR="0038418A" w:rsidRPr="00FB6089">
        <w:t>.</w:t>
      </w:r>
      <w:r w:rsidR="0038418A">
        <w:t xml:space="preserve"> </w:t>
      </w:r>
    </w:p>
    <w:p w:rsidR="0038418A" w:rsidRDefault="00F04427" w:rsidP="00166E8C">
      <w:pPr>
        <w:pStyle w:val="SingleTxtG"/>
        <w:tabs>
          <w:tab w:val="right" w:pos="1021"/>
        </w:tabs>
        <w:ind w:left="1135"/>
      </w:pPr>
      <w:r>
        <w:t>19.</w:t>
      </w:r>
      <w:r>
        <w:tab/>
      </w:r>
      <w:r w:rsidR="0038418A" w:rsidRPr="00FB6089">
        <w:t>La source soutient que la détention de M.</w:t>
      </w:r>
      <w:r w:rsidR="00FE052C">
        <w:t> </w:t>
      </w:r>
      <w:proofErr w:type="spellStart"/>
      <w:r w:rsidR="0038418A" w:rsidRPr="00FB6089">
        <w:t>Bassir</w:t>
      </w:r>
      <w:proofErr w:type="spellEnd"/>
      <w:r w:rsidR="0038418A" w:rsidRPr="00FB6089">
        <w:t xml:space="preserve"> constitue une privation de liberté arbitraire au sens des catégories</w:t>
      </w:r>
      <w:r w:rsidR="00FE052C">
        <w:t> </w:t>
      </w:r>
      <w:r w:rsidR="0038418A" w:rsidRPr="00FB6089">
        <w:t>II, III et V.</w:t>
      </w:r>
    </w:p>
    <w:p w:rsidR="0038418A" w:rsidRPr="00FB6089" w:rsidRDefault="0038418A" w:rsidP="0038418A">
      <w:pPr>
        <w:pStyle w:val="H56G"/>
      </w:pPr>
      <w:r>
        <w:tab/>
      </w:r>
      <w:r>
        <w:tab/>
      </w:r>
      <w:r w:rsidRPr="00FB6089">
        <w:t>Catégorie II</w:t>
      </w:r>
    </w:p>
    <w:p w:rsidR="0038418A" w:rsidRPr="00FB6089" w:rsidRDefault="00F04427" w:rsidP="00166E8C">
      <w:pPr>
        <w:pStyle w:val="SingleTxtG"/>
        <w:tabs>
          <w:tab w:val="right" w:pos="1021"/>
        </w:tabs>
        <w:ind w:left="1135"/>
      </w:pPr>
      <w:r>
        <w:t>20.</w:t>
      </w:r>
      <w:r>
        <w:tab/>
      </w:r>
      <w:r w:rsidR="0038418A" w:rsidRPr="00FB6089">
        <w:t>M.</w:t>
      </w:r>
      <w:r w:rsidR="00FE052C">
        <w:t> </w:t>
      </w:r>
      <w:proofErr w:type="spellStart"/>
      <w:r w:rsidR="0038418A" w:rsidRPr="00FB6089">
        <w:t>Bassir</w:t>
      </w:r>
      <w:proofErr w:type="spellEnd"/>
      <w:r w:rsidR="0038418A" w:rsidRPr="00FB6089">
        <w:t xml:space="preserve"> milite depuis de nombreuses années en faveur du droit du peuple sahraoui à l</w:t>
      </w:r>
      <w:r w:rsidR="0038418A">
        <w:t>’</w:t>
      </w:r>
      <w:r w:rsidR="0038418A" w:rsidRPr="00FB6089">
        <w:t xml:space="preserve">autodétermination. </w:t>
      </w:r>
      <w:r w:rsidR="0038418A">
        <w:t>D’après la source, à</w:t>
      </w:r>
      <w:r w:rsidR="0038418A" w:rsidRPr="00FB6089">
        <w:t xml:space="preserve"> l</w:t>
      </w:r>
      <w:r w:rsidR="0038418A">
        <w:t>’</w:t>
      </w:r>
      <w:r w:rsidR="0038418A" w:rsidRPr="00FB6089">
        <w:t>époque des faits litigieux, il était journaliste pour la chaîne de télévision sahraouie RASD</w:t>
      </w:r>
      <w:r w:rsidR="00FE052C">
        <w:t> </w:t>
      </w:r>
      <w:r w:rsidR="0038418A" w:rsidRPr="00FB6089">
        <w:t>TV, et c</w:t>
      </w:r>
      <w:r w:rsidR="0038418A">
        <w:t>’</w:t>
      </w:r>
      <w:r w:rsidR="0038418A" w:rsidRPr="00FB6089">
        <w:t>est en cette qualité qu</w:t>
      </w:r>
      <w:r w:rsidR="0038418A">
        <w:t>’</w:t>
      </w:r>
      <w:r w:rsidR="0038418A" w:rsidRPr="00FB6089">
        <w:t>il s</w:t>
      </w:r>
      <w:r w:rsidR="0038418A">
        <w:t>’</w:t>
      </w:r>
      <w:r w:rsidR="0038418A" w:rsidRPr="00FB6089">
        <w:t>est rendu à Smara le 27</w:t>
      </w:r>
      <w:r w:rsidR="00FE052C">
        <w:t> </w:t>
      </w:r>
      <w:r w:rsidR="0038418A" w:rsidRPr="00FB6089">
        <w:t>mai 2013, dans le but de filmer la m</w:t>
      </w:r>
      <w:r w:rsidR="0038418A">
        <w:t>anifestation. À</w:t>
      </w:r>
      <w:r w:rsidR="0038418A" w:rsidRPr="00FB6089">
        <w:t xml:space="preserve"> aucun moment M.</w:t>
      </w:r>
      <w:r w:rsidR="00FE052C">
        <w:t> </w:t>
      </w:r>
      <w:proofErr w:type="spellStart"/>
      <w:r w:rsidR="0038418A" w:rsidRPr="00FB6089">
        <w:t>Bassir</w:t>
      </w:r>
      <w:proofErr w:type="spellEnd"/>
      <w:r w:rsidR="0038418A" w:rsidRPr="00FB6089">
        <w:t xml:space="preserve"> n</w:t>
      </w:r>
      <w:r w:rsidR="0038418A">
        <w:t>’</w:t>
      </w:r>
      <w:r w:rsidR="0038418A" w:rsidRPr="00FB6089">
        <w:t>a</w:t>
      </w:r>
      <w:r w:rsidR="0038418A">
        <w:t>urait</w:t>
      </w:r>
      <w:r w:rsidR="0038418A" w:rsidRPr="00FB6089">
        <w:t xml:space="preserve"> appelé à la violence ou à la haine dans l</w:t>
      </w:r>
      <w:r w:rsidR="0038418A">
        <w:t>’</w:t>
      </w:r>
      <w:r w:rsidR="0038418A" w:rsidRPr="00FB6089">
        <w:t>exercice de son droit à la liberté d</w:t>
      </w:r>
      <w:r w:rsidR="0038418A">
        <w:t>’</w:t>
      </w:r>
      <w:r w:rsidR="0038418A" w:rsidRPr="00FB6089">
        <w:t>expression et dans son travail journalistique.</w:t>
      </w:r>
    </w:p>
    <w:p w:rsidR="0038418A" w:rsidRPr="00FB6089" w:rsidRDefault="00F04427" w:rsidP="00166E8C">
      <w:pPr>
        <w:pStyle w:val="SingleTxtG"/>
        <w:tabs>
          <w:tab w:val="right" w:pos="1021"/>
        </w:tabs>
        <w:ind w:left="1135"/>
      </w:pPr>
      <w:r>
        <w:t>21.</w:t>
      </w:r>
      <w:r>
        <w:tab/>
      </w:r>
      <w:r w:rsidR="0038418A">
        <w:t>La source note que l’</w:t>
      </w:r>
      <w:r w:rsidR="0038418A" w:rsidRPr="00FB6089">
        <w:t>arrestation de M.</w:t>
      </w:r>
      <w:r w:rsidR="00FE052C">
        <w:t> </w:t>
      </w:r>
      <w:proofErr w:type="spellStart"/>
      <w:r w:rsidR="0038418A" w:rsidRPr="00FB6089">
        <w:t>Bassir</w:t>
      </w:r>
      <w:proofErr w:type="spellEnd"/>
      <w:r w:rsidR="0038418A" w:rsidRPr="00FB6089">
        <w:t>, les poursuites engagées à son encontre, sa condamnation et sa détention s</w:t>
      </w:r>
      <w:r w:rsidR="0038418A">
        <w:t>’</w:t>
      </w:r>
      <w:r w:rsidR="0038418A" w:rsidRPr="00FB6089">
        <w:t>inscrivent dans un contexte général d</w:t>
      </w:r>
      <w:r w:rsidR="0038418A">
        <w:t>’</w:t>
      </w:r>
      <w:r w:rsidR="0038418A" w:rsidRPr="00FB6089">
        <w:t>entrave et de restrictions aux activités des acteurs de la société civile et des journalistes au Sahara occidental. La source soutient ainsi qu</w:t>
      </w:r>
      <w:r w:rsidR="0038418A">
        <w:t>’</w:t>
      </w:r>
      <w:r w:rsidR="0038418A" w:rsidRPr="00FB6089">
        <w:t xml:space="preserve">elles résultent des activités de journaliste </w:t>
      </w:r>
      <w:r w:rsidR="0038418A">
        <w:t>de M.</w:t>
      </w:r>
      <w:r w:rsidR="00FE052C">
        <w:t> </w:t>
      </w:r>
      <w:proofErr w:type="spellStart"/>
      <w:r w:rsidR="0038418A">
        <w:t>Bassir</w:t>
      </w:r>
      <w:proofErr w:type="spellEnd"/>
      <w:r w:rsidR="0038418A">
        <w:t xml:space="preserve"> </w:t>
      </w:r>
      <w:r w:rsidR="0038418A" w:rsidRPr="00FB6089">
        <w:t>au sein de la chaîne RASD</w:t>
      </w:r>
      <w:r w:rsidR="00FE052C">
        <w:t> </w:t>
      </w:r>
      <w:r w:rsidR="0038418A" w:rsidRPr="00FB6089">
        <w:t>TV</w:t>
      </w:r>
      <w:r w:rsidR="0038418A">
        <w:t xml:space="preserve"> et</w:t>
      </w:r>
      <w:r w:rsidR="0038418A" w:rsidRPr="00FB6089">
        <w:t xml:space="preserve"> de militant en faveur de l</w:t>
      </w:r>
      <w:r w:rsidR="0038418A">
        <w:t>’</w:t>
      </w:r>
      <w:r w:rsidR="0038418A" w:rsidRPr="00FB6089">
        <w:t xml:space="preserve">autodétermination du peuple sahraoui, </w:t>
      </w:r>
      <w:r w:rsidR="0038418A">
        <w:t>ainsi que</w:t>
      </w:r>
      <w:r w:rsidR="0038418A" w:rsidRPr="00FB6089">
        <w:t xml:space="preserve"> de sa couverture de la manifestation du 27</w:t>
      </w:r>
      <w:r w:rsidR="00FE052C">
        <w:t> </w:t>
      </w:r>
      <w:r w:rsidR="0038418A" w:rsidRPr="00FB6089">
        <w:t>mai 2013 en faveur de l</w:t>
      </w:r>
      <w:r w:rsidR="0038418A">
        <w:t>’</w:t>
      </w:r>
      <w:r w:rsidR="0038418A" w:rsidRPr="00FB6089">
        <w:t>autodétermination.</w:t>
      </w:r>
    </w:p>
    <w:p w:rsidR="0038418A" w:rsidRPr="00FB6089" w:rsidRDefault="00F04427" w:rsidP="00166E8C">
      <w:pPr>
        <w:pStyle w:val="SingleTxtG"/>
        <w:tabs>
          <w:tab w:val="right" w:pos="1021"/>
        </w:tabs>
        <w:ind w:left="1135"/>
      </w:pPr>
      <w:r>
        <w:t>22.</w:t>
      </w:r>
      <w:r>
        <w:tab/>
      </w:r>
      <w:r w:rsidR="0038418A" w:rsidRPr="00FB6089">
        <w:t>La source conclut que M.</w:t>
      </w:r>
      <w:r w:rsidR="00FE052C">
        <w:t> </w:t>
      </w:r>
      <w:proofErr w:type="spellStart"/>
      <w:r w:rsidR="0038418A" w:rsidRPr="00FB6089">
        <w:t>Bassir</w:t>
      </w:r>
      <w:proofErr w:type="spellEnd"/>
      <w:r w:rsidR="0038418A" w:rsidRPr="00FB6089">
        <w:t xml:space="preserve"> est détenu pour des faits relevant de l</w:t>
      </w:r>
      <w:r w:rsidR="0038418A">
        <w:t>’</w:t>
      </w:r>
      <w:r w:rsidR="0038418A" w:rsidRPr="00FB6089">
        <w:t>exercice de droits garantis par l</w:t>
      </w:r>
      <w:r w:rsidR="0038418A">
        <w:t>’</w:t>
      </w:r>
      <w:r w:rsidR="0038418A" w:rsidRPr="00FB6089">
        <w:t>article</w:t>
      </w:r>
      <w:r w:rsidR="00FE052C">
        <w:t> </w:t>
      </w:r>
      <w:r w:rsidR="0038418A" w:rsidRPr="00FB6089">
        <w:t xml:space="preserve">19 du Pacte international relatif aux droits civils et politiques, à savoir, les droits </w:t>
      </w:r>
      <w:r w:rsidR="0038418A">
        <w:t>à la liberté d’opinion (art.</w:t>
      </w:r>
      <w:r w:rsidR="00FE052C">
        <w:t> </w:t>
      </w:r>
      <w:r w:rsidR="0038418A">
        <w:t>19, par.</w:t>
      </w:r>
      <w:r w:rsidR="00FE052C">
        <w:t> </w:t>
      </w:r>
      <w:r w:rsidR="0038418A" w:rsidRPr="00FB6089">
        <w:t>1</w:t>
      </w:r>
      <w:r w:rsidR="0038418A">
        <w:t>)</w:t>
      </w:r>
      <w:r w:rsidR="0038418A" w:rsidRPr="00FB6089">
        <w:t xml:space="preserve"> et à la liberté de rép</w:t>
      </w:r>
      <w:r w:rsidR="0038418A">
        <w:t xml:space="preserve">andre des </w:t>
      </w:r>
      <w:r w:rsidR="0038418A">
        <w:lastRenderedPageBreak/>
        <w:t>informations (art.</w:t>
      </w:r>
      <w:r w:rsidR="00FE052C">
        <w:t> </w:t>
      </w:r>
      <w:r w:rsidR="0038418A">
        <w:t>19, par.</w:t>
      </w:r>
      <w:r w:rsidR="00FE052C">
        <w:t> </w:t>
      </w:r>
      <w:r w:rsidR="0038418A" w:rsidRPr="00FB6089">
        <w:t>2</w:t>
      </w:r>
      <w:r w:rsidR="0038418A">
        <w:t>)</w:t>
      </w:r>
      <w:r w:rsidR="0038418A" w:rsidRPr="00FB6089">
        <w:t>, ainsi que l</w:t>
      </w:r>
      <w:r w:rsidR="0038418A">
        <w:t>’</w:t>
      </w:r>
      <w:r w:rsidR="0038418A" w:rsidRPr="00FB6089">
        <w:t>exercice du droit de réunion pacifique (art.</w:t>
      </w:r>
      <w:r w:rsidR="00FE052C">
        <w:t> </w:t>
      </w:r>
      <w:r w:rsidR="0038418A" w:rsidRPr="00FB6089">
        <w:t xml:space="preserve">21). </w:t>
      </w:r>
      <w:r w:rsidR="0038418A">
        <w:t>Dès lors, la source considère que la détention de M.</w:t>
      </w:r>
      <w:r w:rsidR="00FE052C">
        <w:t> </w:t>
      </w:r>
      <w:proofErr w:type="spellStart"/>
      <w:r w:rsidR="0038418A">
        <w:t>Bassir</w:t>
      </w:r>
      <w:proofErr w:type="spellEnd"/>
      <w:r w:rsidR="0038418A">
        <w:t xml:space="preserve"> relève de la catégorie</w:t>
      </w:r>
      <w:r w:rsidR="00FE052C">
        <w:t> </w:t>
      </w:r>
      <w:r w:rsidR="0038418A">
        <w:t xml:space="preserve">II. </w:t>
      </w:r>
    </w:p>
    <w:p w:rsidR="0038418A" w:rsidRPr="00FB6089" w:rsidRDefault="0038418A" w:rsidP="0038418A">
      <w:pPr>
        <w:pStyle w:val="H56G"/>
      </w:pPr>
      <w:r>
        <w:tab/>
      </w:r>
      <w:r>
        <w:tab/>
      </w:r>
      <w:r w:rsidRPr="00FB6089">
        <w:t>Catégorie III</w:t>
      </w:r>
    </w:p>
    <w:p w:rsidR="0038418A" w:rsidRPr="00FB6089" w:rsidRDefault="00F04427" w:rsidP="00166E8C">
      <w:pPr>
        <w:pStyle w:val="SingleTxtG"/>
        <w:tabs>
          <w:tab w:val="right" w:pos="1021"/>
        </w:tabs>
        <w:ind w:left="1135"/>
      </w:pPr>
      <w:r>
        <w:t>23.</w:t>
      </w:r>
      <w:r>
        <w:tab/>
      </w:r>
      <w:r w:rsidR="0038418A" w:rsidRPr="00FB6089">
        <w:t>Selon la source, la procédure dirigée contre M.</w:t>
      </w:r>
      <w:r w:rsidR="00FE052C">
        <w:t> </w:t>
      </w:r>
      <w:proofErr w:type="spellStart"/>
      <w:r w:rsidR="0038418A" w:rsidRPr="00FB6089">
        <w:t>Bassir</w:t>
      </w:r>
      <w:proofErr w:type="spellEnd"/>
      <w:r w:rsidR="0038418A" w:rsidRPr="00FB6089">
        <w:t xml:space="preserve"> a été entachée d</w:t>
      </w:r>
      <w:r w:rsidR="0038418A">
        <w:t>’</w:t>
      </w:r>
      <w:r w:rsidR="0038418A" w:rsidRPr="00FB6089">
        <w:t>irrégularités au regard des normes internationales relatives au procès équitable. La sour</w:t>
      </w:r>
      <w:r w:rsidR="0038418A">
        <w:t xml:space="preserve">ce soutient que ces violations </w:t>
      </w:r>
      <w:r w:rsidR="0038418A" w:rsidRPr="00FB6089">
        <w:t>sont d</w:t>
      </w:r>
      <w:r w:rsidR="0038418A">
        <w:t>’</w:t>
      </w:r>
      <w:r w:rsidR="0038418A" w:rsidRPr="00FB6089">
        <w:t xml:space="preserve">une gravité </w:t>
      </w:r>
      <w:r w:rsidR="0038418A">
        <w:t xml:space="preserve">telle </w:t>
      </w:r>
      <w:r w:rsidR="0038418A" w:rsidRPr="00FB6089">
        <w:t>qu</w:t>
      </w:r>
      <w:r w:rsidR="0038418A">
        <w:t>’</w:t>
      </w:r>
      <w:r w:rsidR="0038418A" w:rsidRPr="00FB6089">
        <w:t>elles rendent la détention de M.</w:t>
      </w:r>
      <w:r w:rsidR="00FE052C">
        <w:t> </w:t>
      </w:r>
      <w:proofErr w:type="spellStart"/>
      <w:r w:rsidR="0038418A" w:rsidRPr="00FB6089">
        <w:t>Bassir</w:t>
      </w:r>
      <w:proofErr w:type="spellEnd"/>
      <w:r w:rsidR="0038418A" w:rsidRPr="00FB6089">
        <w:t xml:space="preserve"> arbitraire au titre de la catégorie</w:t>
      </w:r>
      <w:r w:rsidR="00FE052C">
        <w:t> </w:t>
      </w:r>
      <w:r w:rsidR="0038418A" w:rsidRPr="00FB6089">
        <w:t>III.</w:t>
      </w:r>
    </w:p>
    <w:p w:rsidR="0038418A" w:rsidRPr="00FB6089" w:rsidRDefault="00F04427" w:rsidP="00166E8C">
      <w:pPr>
        <w:pStyle w:val="SingleTxtG"/>
        <w:tabs>
          <w:tab w:val="right" w:pos="1021"/>
        </w:tabs>
        <w:ind w:left="1135"/>
      </w:pPr>
      <w:r>
        <w:t>24.</w:t>
      </w:r>
      <w:r>
        <w:tab/>
      </w:r>
      <w:r w:rsidR="0038418A" w:rsidRPr="00FB6089">
        <w:t>D</w:t>
      </w:r>
      <w:r w:rsidR="0038418A">
        <w:t>’</w:t>
      </w:r>
      <w:r w:rsidR="0038418A" w:rsidRPr="00FB6089">
        <w:t>après la source, M.</w:t>
      </w:r>
      <w:r w:rsidR="00FE052C">
        <w:t> </w:t>
      </w:r>
      <w:proofErr w:type="spellStart"/>
      <w:r w:rsidR="0038418A" w:rsidRPr="00FB6089">
        <w:t>Bassir</w:t>
      </w:r>
      <w:proofErr w:type="spellEnd"/>
      <w:r w:rsidR="0038418A" w:rsidRPr="00FB6089">
        <w:t xml:space="preserve"> a fini par signer, sous la contrainte, des aveux qui ont servi plus tard d</w:t>
      </w:r>
      <w:r w:rsidR="0038418A">
        <w:t>’</w:t>
      </w:r>
      <w:r w:rsidR="0038418A" w:rsidRPr="00FB6089">
        <w:t>unique base à sa condamnation. Cela constitue</w:t>
      </w:r>
      <w:r w:rsidR="0038418A">
        <w:t>rait</w:t>
      </w:r>
      <w:r w:rsidR="0038418A" w:rsidRPr="00FB6089">
        <w:t xml:space="preserve"> une violation de l</w:t>
      </w:r>
      <w:r w:rsidR="0038418A">
        <w:t>’</w:t>
      </w:r>
      <w:r w:rsidR="0038418A" w:rsidRPr="00FB6089">
        <w:t>article</w:t>
      </w:r>
      <w:r w:rsidR="00FE052C">
        <w:t> </w:t>
      </w:r>
      <w:r w:rsidR="0038418A" w:rsidRPr="00FB6089">
        <w:t>14 (</w:t>
      </w:r>
      <w:r w:rsidR="0038418A">
        <w:t>par.</w:t>
      </w:r>
      <w:r w:rsidR="00F81508">
        <w:t> </w:t>
      </w:r>
      <w:r w:rsidR="0038418A" w:rsidRPr="00FB6089">
        <w:t>3</w:t>
      </w:r>
      <w:r w:rsidR="00F81508">
        <w:t> </w:t>
      </w:r>
      <w:r w:rsidR="0038418A" w:rsidRPr="00FB6089">
        <w:t>g)</w:t>
      </w:r>
      <w:r w:rsidR="0038418A">
        <w:t>)</w:t>
      </w:r>
      <w:r w:rsidR="0038418A" w:rsidRPr="00FB6089">
        <w:t xml:space="preserve"> du Pacte, qui prohibe l</w:t>
      </w:r>
      <w:r w:rsidR="0038418A">
        <w:t>’</w:t>
      </w:r>
      <w:r w:rsidR="0038418A" w:rsidRPr="00FB6089">
        <w:t>auto-incrimination.</w:t>
      </w:r>
    </w:p>
    <w:p w:rsidR="0038418A" w:rsidRPr="00FB6089" w:rsidRDefault="00F04427" w:rsidP="00166E8C">
      <w:pPr>
        <w:pStyle w:val="SingleTxtG"/>
        <w:tabs>
          <w:tab w:val="right" w:pos="1021"/>
        </w:tabs>
        <w:ind w:left="1135"/>
      </w:pPr>
      <w:r>
        <w:t>25.</w:t>
      </w:r>
      <w:r>
        <w:tab/>
      </w:r>
      <w:r w:rsidR="0038418A" w:rsidRPr="00FB6089">
        <w:t>La source souligne que M.</w:t>
      </w:r>
      <w:r w:rsidR="00F81508">
        <w:t> </w:t>
      </w:r>
      <w:proofErr w:type="spellStart"/>
      <w:r w:rsidR="0038418A" w:rsidRPr="00FB6089">
        <w:t>Bassir</w:t>
      </w:r>
      <w:proofErr w:type="spellEnd"/>
      <w:r w:rsidR="0038418A" w:rsidRPr="00FB6089">
        <w:t xml:space="preserve"> a par ailleurs contesté la véracité de ses aveux devant les juges, qui n</w:t>
      </w:r>
      <w:r w:rsidR="0038418A">
        <w:t>’</w:t>
      </w:r>
      <w:r w:rsidR="0038418A" w:rsidRPr="00FB6089">
        <w:t>y ont donné aucune suite alors qu</w:t>
      </w:r>
      <w:r w:rsidR="0038418A">
        <w:t>’</w:t>
      </w:r>
      <w:r w:rsidR="0038418A" w:rsidRPr="00FB6089">
        <w:t>ils auraient dû les écarter, en vertu de l</w:t>
      </w:r>
      <w:r w:rsidR="0038418A">
        <w:t>’</w:t>
      </w:r>
      <w:r w:rsidR="0038418A" w:rsidRPr="00FB6089">
        <w:t>article</w:t>
      </w:r>
      <w:r w:rsidR="00F81508">
        <w:t> </w:t>
      </w:r>
      <w:r w:rsidR="0038418A" w:rsidRPr="00FB6089">
        <w:t>15 de la Convention contre la torture et autres peines ou traitements</w:t>
      </w:r>
      <w:r w:rsidR="0038418A">
        <w:t xml:space="preserve"> </w:t>
      </w:r>
      <w:r w:rsidR="0038418A" w:rsidRPr="00FB6089">
        <w:t>cruels, inhumains ou dégradants, et ordonner une enquête, pour ensuite poursuivre les auteurs</w:t>
      </w:r>
      <w:r w:rsidR="0038418A">
        <w:t>,</w:t>
      </w:r>
      <w:r w:rsidR="0038418A" w:rsidRPr="00FB6089">
        <w:t xml:space="preserve"> conformément aux articles</w:t>
      </w:r>
      <w:r w:rsidR="00F81508">
        <w:t> </w:t>
      </w:r>
      <w:r w:rsidR="0038418A" w:rsidRPr="00FB6089">
        <w:t xml:space="preserve">12, 13 et 14 de la même Convention. </w:t>
      </w:r>
    </w:p>
    <w:p w:rsidR="0038418A" w:rsidRPr="00FB6089" w:rsidRDefault="00F04427" w:rsidP="00166E8C">
      <w:pPr>
        <w:pStyle w:val="SingleTxtG"/>
        <w:tabs>
          <w:tab w:val="right" w:pos="1021"/>
        </w:tabs>
        <w:ind w:left="1135"/>
      </w:pPr>
      <w:r>
        <w:t>26.</w:t>
      </w:r>
      <w:r>
        <w:tab/>
      </w:r>
      <w:r w:rsidR="0038418A" w:rsidRPr="00FB6089">
        <w:t>D</w:t>
      </w:r>
      <w:r w:rsidR="0038418A">
        <w:t>’</w:t>
      </w:r>
      <w:r w:rsidR="0038418A" w:rsidRPr="00FB6089">
        <w:t>après la source, les autorités marocaines n</w:t>
      </w:r>
      <w:r w:rsidR="0038418A">
        <w:t>’</w:t>
      </w:r>
      <w:r w:rsidR="0038418A" w:rsidRPr="00FB6089">
        <w:t xml:space="preserve">ont pas observé leurs obligations </w:t>
      </w:r>
      <w:r w:rsidR="0038418A">
        <w:t>en vertu</w:t>
      </w:r>
      <w:r w:rsidR="0038418A" w:rsidRPr="00FB6089">
        <w:t xml:space="preserve"> de l</w:t>
      </w:r>
      <w:r w:rsidR="0038418A">
        <w:t>’article</w:t>
      </w:r>
      <w:r w:rsidR="00F81508">
        <w:t> </w:t>
      </w:r>
      <w:r w:rsidR="0038418A">
        <w:t>2 (par.</w:t>
      </w:r>
      <w:r w:rsidR="00F81508">
        <w:t> </w:t>
      </w:r>
      <w:r w:rsidR="0038418A">
        <w:t>1) du Pacte car</w:t>
      </w:r>
      <w:r w:rsidR="0038418A" w:rsidRPr="00FB6089">
        <w:t xml:space="preserve"> les juges ont utilisé comme moyens de preuve des aveux obtenus sous la contrainte et n</w:t>
      </w:r>
      <w:r w:rsidR="0038418A">
        <w:t>’</w:t>
      </w:r>
      <w:r w:rsidR="0038418A" w:rsidRPr="00FB6089">
        <w:t>ont pas ouvert d</w:t>
      </w:r>
      <w:r w:rsidR="0038418A">
        <w:t>’</w:t>
      </w:r>
      <w:r w:rsidR="0038418A" w:rsidRPr="00FB6089">
        <w:t>enquête à cet égard, alors même que la loi marocaine interdit l</w:t>
      </w:r>
      <w:r w:rsidR="0038418A">
        <w:t>’</w:t>
      </w:r>
      <w:r w:rsidR="0038418A" w:rsidRPr="00FB6089">
        <w:t>utilisation de tels moyens de preuve. La source souligne que la détention arbitraire de M.</w:t>
      </w:r>
      <w:r w:rsidR="00AD59D7">
        <w:t> </w:t>
      </w:r>
      <w:proofErr w:type="spellStart"/>
      <w:r w:rsidR="0038418A" w:rsidRPr="00FB6089">
        <w:t>Bassir</w:t>
      </w:r>
      <w:proofErr w:type="spellEnd"/>
      <w:r w:rsidR="0038418A" w:rsidRPr="00FB6089">
        <w:t xml:space="preserve"> se poursuit donc en violation de son droit à un recours effectif.</w:t>
      </w:r>
    </w:p>
    <w:p w:rsidR="0038418A" w:rsidRPr="00FB6089" w:rsidRDefault="0038418A" w:rsidP="0038418A">
      <w:pPr>
        <w:pStyle w:val="H56G"/>
      </w:pPr>
      <w:r>
        <w:tab/>
      </w:r>
      <w:r>
        <w:tab/>
      </w:r>
      <w:r w:rsidRPr="00FB6089">
        <w:t>Catégorie V</w:t>
      </w:r>
    </w:p>
    <w:p w:rsidR="0038418A" w:rsidRPr="00FB6089" w:rsidRDefault="00F04427" w:rsidP="00166E8C">
      <w:pPr>
        <w:pStyle w:val="SingleTxtG"/>
        <w:tabs>
          <w:tab w:val="right" w:pos="1021"/>
        </w:tabs>
        <w:ind w:left="1135"/>
      </w:pPr>
      <w:r>
        <w:rPr>
          <w:rStyle w:val="None"/>
        </w:rPr>
        <w:t>27.</w:t>
      </w:r>
      <w:r>
        <w:rPr>
          <w:rStyle w:val="None"/>
        </w:rPr>
        <w:tab/>
      </w:r>
      <w:r w:rsidR="0038418A" w:rsidRPr="00FB6089">
        <w:rPr>
          <w:rStyle w:val="None"/>
        </w:rPr>
        <w:t xml:space="preserve">La source </w:t>
      </w:r>
      <w:r w:rsidR="0038418A">
        <w:rPr>
          <w:rStyle w:val="None"/>
        </w:rPr>
        <w:t>souligne que les violations évoquées par le Groupe de travail dans son rapport de mission au Maroc (par.</w:t>
      </w:r>
      <w:r w:rsidR="00AD59D7">
        <w:rPr>
          <w:rStyle w:val="None"/>
        </w:rPr>
        <w:t> </w:t>
      </w:r>
      <w:r w:rsidR="0038418A">
        <w:rPr>
          <w:rStyle w:val="None"/>
        </w:rPr>
        <w:t xml:space="preserve">63), à savoir l’usage </w:t>
      </w:r>
      <w:r w:rsidR="0038418A" w:rsidRPr="00FB6089">
        <w:t>excessif de la force à l</w:t>
      </w:r>
      <w:r w:rsidR="0038418A">
        <w:t>’</w:t>
      </w:r>
      <w:r w:rsidR="0038418A" w:rsidRPr="00FB6089">
        <w:t xml:space="preserve">égard des manifestants et </w:t>
      </w:r>
      <w:r w:rsidR="0038418A">
        <w:t xml:space="preserve">le </w:t>
      </w:r>
      <w:r w:rsidR="0038418A" w:rsidRPr="00FB6089">
        <w:t>recours à la torture pour extorquer des aveux</w:t>
      </w:r>
      <w:r w:rsidR="0038418A">
        <w:t>,</w:t>
      </w:r>
      <w:r w:rsidR="0038418A" w:rsidRPr="00FB6089">
        <w:t xml:space="preserve"> visaient spécifiquement les Sahraouis</w:t>
      </w:r>
      <w:r w:rsidR="0038418A">
        <w:t>,</w:t>
      </w:r>
      <w:r w:rsidR="0038418A" w:rsidRPr="00FB6089">
        <w:t xml:space="preserve"> et particulièrement ceux faisant usage de leurs libertés fondamentales pour revendiquer l</w:t>
      </w:r>
      <w:r w:rsidR="0038418A">
        <w:t>’</w:t>
      </w:r>
      <w:r w:rsidR="0038418A" w:rsidRPr="00FB6089">
        <w:t>autodétermination du peuple sahraoui.</w:t>
      </w:r>
    </w:p>
    <w:p w:rsidR="0038418A" w:rsidRPr="00FB6089" w:rsidRDefault="00F04427" w:rsidP="00166E8C">
      <w:pPr>
        <w:pStyle w:val="SingleTxtG"/>
        <w:tabs>
          <w:tab w:val="right" w:pos="1021"/>
        </w:tabs>
        <w:ind w:left="1135"/>
      </w:pPr>
      <w:r>
        <w:t>28.</w:t>
      </w:r>
      <w:r>
        <w:tab/>
      </w:r>
      <w:r w:rsidR="0038418A" w:rsidRPr="00FB6089">
        <w:t xml:space="preserve">La source rappelle que </w:t>
      </w:r>
      <w:r w:rsidR="0038418A">
        <w:t>M.</w:t>
      </w:r>
      <w:r w:rsidR="00AD59D7">
        <w:t> </w:t>
      </w:r>
      <w:proofErr w:type="spellStart"/>
      <w:r w:rsidR="0038418A">
        <w:t>Bassir</w:t>
      </w:r>
      <w:proofErr w:type="spellEnd"/>
      <w:r w:rsidR="0038418A" w:rsidRPr="00FB6089">
        <w:t xml:space="preserve"> est journaliste au sein d</w:t>
      </w:r>
      <w:r w:rsidR="0038418A">
        <w:t>’</w:t>
      </w:r>
      <w:r w:rsidR="0038418A" w:rsidRPr="00FB6089">
        <w:t>une cha</w:t>
      </w:r>
      <w:r w:rsidR="0038418A">
        <w:t>î</w:t>
      </w:r>
      <w:r w:rsidR="0038418A" w:rsidRPr="00FB6089">
        <w:t>ne de télévision affiliée aux autorités du Polisario et que son arrestation semble découler de cette appartenance</w:t>
      </w:r>
      <w:r w:rsidR="0038418A">
        <w:t>,</w:t>
      </w:r>
      <w:r w:rsidR="0038418A" w:rsidRPr="00FB6089">
        <w:t xml:space="preserve"> étant donné qu</w:t>
      </w:r>
      <w:r w:rsidR="0038418A">
        <w:t>’</w:t>
      </w:r>
      <w:r w:rsidR="0038418A" w:rsidRPr="00FB6089">
        <w:t>avant M.</w:t>
      </w:r>
      <w:r w:rsidR="00AD59D7">
        <w:t> </w:t>
      </w:r>
      <w:proofErr w:type="spellStart"/>
      <w:r w:rsidR="0038418A" w:rsidRPr="00FB6089">
        <w:t>Bassir</w:t>
      </w:r>
      <w:proofErr w:type="spellEnd"/>
      <w:r w:rsidR="0038418A" w:rsidRPr="00FB6089">
        <w:t xml:space="preserve"> d</w:t>
      </w:r>
      <w:r w:rsidR="0038418A">
        <w:t>’</w:t>
      </w:r>
      <w:r w:rsidR="0038418A" w:rsidRPr="00FB6089">
        <w:t>autres journa</w:t>
      </w:r>
      <w:r w:rsidR="0038418A">
        <w:t>listes de la même chaîne ont</w:t>
      </w:r>
      <w:r w:rsidR="0038418A" w:rsidRPr="00FB6089">
        <w:t xml:space="preserve"> </w:t>
      </w:r>
      <w:r w:rsidR="0038418A">
        <w:t xml:space="preserve">également été </w:t>
      </w:r>
      <w:r w:rsidR="0038418A" w:rsidRPr="00FB6089">
        <w:t>arrêtés.</w:t>
      </w:r>
    </w:p>
    <w:p w:rsidR="0038418A" w:rsidRPr="00FB6089" w:rsidRDefault="00F04427" w:rsidP="00166E8C">
      <w:pPr>
        <w:pStyle w:val="SingleTxtG"/>
        <w:tabs>
          <w:tab w:val="right" w:pos="1021"/>
        </w:tabs>
        <w:ind w:left="1135"/>
      </w:pPr>
      <w:r>
        <w:t>29.</w:t>
      </w:r>
      <w:r>
        <w:tab/>
      </w:r>
      <w:r w:rsidR="0038418A" w:rsidRPr="00FB6089">
        <w:t>La source soutient que</w:t>
      </w:r>
      <w:r w:rsidR="0038418A">
        <w:t>,</w:t>
      </w:r>
      <w:r w:rsidR="0038418A" w:rsidRPr="00FB6089">
        <w:t xml:space="preserve"> dès lors que l</w:t>
      </w:r>
      <w:r w:rsidR="0038418A">
        <w:t>’</w:t>
      </w:r>
      <w:r w:rsidR="0038418A" w:rsidRPr="00FB6089">
        <w:t>arrestation et la détention de M.</w:t>
      </w:r>
      <w:r w:rsidR="00AD59D7">
        <w:t> </w:t>
      </w:r>
      <w:proofErr w:type="spellStart"/>
      <w:r w:rsidR="0038418A" w:rsidRPr="00FB6089">
        <w:t>Bassir</w:t>
      </w:r>
      <w:proofErr w:type="spellEnd"/>
      <w:r w:rsidR="0038418A" w:rsidRPr="00FB6089">
        <w:t xml:space="preserve"> trouvent leur cause dans ses revendications en faveur du droit des </w:t>
      </w:r>
      <w:r w:rsidR="0038418A">
        <w:t>S</w:t>
      </w:r>
      <w:r w:rsidR="0038418A" w:rsidRPr="00FB6089">
        <w:t>ahraouis à l</w:t>
      </w:r>
      <w:r w:rsidR="0038418A">
        <w:t>’</w:t>
      </w:r>
      <w:r w:rsidR="0038418A" w:rsidRPr="00FB6089">
        <w:t>autodétermination, elles constituent une discrimination basée sur l</w:t>
      </w:r>
      <w:r w:rsidR="0038418A">
        <w:t>’</w:t>
      </w:r>
      <w:r w:rsidR="0038418A" w:rsidRPr="00FB6089">
        <w:t>opinion politique et relèvent par conséquent de la catégorie</w:t>
      </w:r>
      <w:r w:rsidR="00AD59D7">
        <w:t> </w:t>
      </w:r>
      <w:r w:rsidR="0038418A" w:rsidRPr="00FB6089">
        <w:t>V</w:t>
      </w:r>
      <w:r w:rsidR="0038418A">
        <w:t>.</w:t>
      </w:r>
      <w:r w:rsidR="0038418A" w:rsidRPr="00FB6089">
        <w:t xml:space="preserve"> </w:t>
      </w:r>
    </w:p>
    <w:p w:rsidR="0038418A" w:rsidRPr="00FB6089" w:rsidRDefault="00F04427" w:rsidP="00166E8C">
      <w:pPr>
        <w:pStyle w:val="SingleTxtG"/>
        <w:tabs>
          <w:tab w:val="right" w:pos="1021"/>
        </w:tabs>
        <w:ind w:left="1135"/>
      </w:pPr>
      <w:r>
        <w:t>30.</w:t>
      </w:r>
      <w:r>
        <w:tab/>
      </w:r>
      <w:r w:rsidR="0038418A" w:rsidRPr="00FB6089">
        <w:t>De même, la source craint que les mauvais traitements que M.</w:t>
      </w:r>
      <w:r w:rsidR="00AD59D7">
        <w:t> </w:t>
      </w:r>
      <w:proofErr w:type="spellStart"/>
      <w:r w:rsidR="0038418A" w:rsidRPr="00FB6089">
        <w:t>Bassir</w:t>
      </w:r>
      <w:proofErr w:type="spellEnd"/>
      <w:r w:rsidR="0038418A" w:rsidRPr="00FB6089">
        <w:t xml:space="preserve"> subit en détention constituent des mesures de représailles prises en raison de ses activités de militant en faveur de l</w:t>
      </w:r>
      <w:r w:rsidR="0038418A">
        <w:t>’</w:t>
      </w:r>
      <w:r w:rsidR="0038418A" w:rsidRPr="00FB6089">
        <w:t>autonomie du Sahara occidental.</w:t>
      </w:r>
    </w:p>
    <w:p w:rsidR="0038418A" w:rsidRDefault="0038418A" w:rsidP="0038418A">
      <w:pPr>
        <w:pStyle w:val="H4G"/>
        <w:rPr>
          <w:lang w:val="fr-FR"/>
        </w:rPr>
      </w:pPr>
      <w:r w:rsidRPr="00A35936">
        <w:rPr>
          <w:lang w:val="fr-FR"/>
        </w:rPr>
        <w:tab/>
      </w:r>
      <w:r w:rsidRPr="00A35936">
        <w:rPr>
          <w:lang w:val="fr-FR"/>
        </w:rPr>
        <w:tab/>
        <w:t>Réponse du Gouvernement</w:t>
      </w:r>
    </w:p>
    <w:p w:rsidR="0038418A" w:rsidRPr="006B76CA" w:rsidRDefault="00F04427" w:rsidP="00166E8C">
      <w:pPr>
        <w:pStyle w:val="SingleTxtG"/>
        <w:tabs>
          <w:tab w:val="right" w:pos="1021"/>
        </w:tabs>
        <w:ind w:left="1135"/>
        <w:rPr>
          <w:rStyle w:val="None"/>
          <w:b/>
          <w:sz w:val="28"/>
          <w:lang w:val="fr-CA"/>
        </w:rPr>
      </w:pPr>
      <w:r>
        <w:t>31.</w:t>
      </w:r>
      <w:r>
        <w:tab/>
      </w:r>
      <w:r w:rsidR="0038418A">
        <w:t>Le 16</w:t>
      </w:r>
      <w:r w:rsidR="00AD59D7">
        <w:t> </w:t>
      </w:r>
      <w:r w:rsidR="0038418A">
        <w:t>janvier 2017</w:t>
      </w:r>
      <w:r w:rsidR="0038418A" w:rsidRPr="0052710F">
        <w:t>, le Groupe de travail a transmis les allégations de la so</w:t>
      </w:r>
      <w:r w:rsidR="0038418A">
        <w:t>urce au Gouvernement marocain</w:t>
      </w:r>
      <w:r w:rsidR="0038418A" w:rsidRPr="0052710F">
        <w:t xml:space="preserve"> en vertu de sa procédure de communication régulière. </w:t>
      </w:r>
      <w:r w:rsidR="0038418A" w:rsidRPr="0052710F">
        <w:rPr>
          <w:lang w:val="fr-CA"/>
        </w:rPr>
        <w:t>Le Groupe de travail a demandé au Gouvern</w:t>
      </w:r>
      <w:r w:rsidR="0038418A">
        <w:rPr>
          <w:lang w:val="fr-CA"/>
        </w:rPr>
        <w:t xml:space="preserve">ement de lui fournir, d’ici </w:t>
      </w:r>
      <w:r w:rsidR="003E1B37">
        <w:rPr>
          <w:lang w:val="fr-CA"/>
        </w:rPr>
        <w:t xml:space="preserve">au </w:t>
      </w:r>
      <w:r w:rsidR="0038418A">
        <w:rPr>
          <w:lang w:val="fr-CA"/>
        </w:rPr>
        <w:t>17</w:t>
      </w:r>
      <w:r w:rsidR="00AD59D7">
        <w:rPr>
          <w:lang w:val="fr-CA"/>
        </w:rPr>
        <w:t> </w:t>
      </w:r>
      <w:r w:rsidR="0038418A">
        <w:rPr>
          <w:lang w:val="fr-CA"/>
        </w:rPr>
        <w:t>mars 2017,</w:t>
      </w:r>
      <w:r w:rsidR="0038418A" w:rsidRPr="0052710F">
        <w:rPr>
          <w:lang w:val="fr-CA"/>
        </w:rPr>
        <w:t xml:space="preserve"> de plus amples informati</w:t>
      </w:r>
      <w:r w:rsidR="0038418A">
        <w:rPr>
          <w:lang w:val="fr-CA"/>
        </w:rPr>
        <w:t>ons sur la situation de M.</w:t>
      </w:r>
      <w:r w:rsidR="00AD59D7">
        <w:rPr>
          <w:lang w:val="fr-CA"/>
        </w:rPr>
        <w:t> </w:t>
      </w:r>
      <w:proofErr w:type="spellStart"/>
      <w:r w:rsidR="0038418A">
        <w:rPr>
          <w:lang w:val="fr-CA"/>
        </w:rPr>
        <w:t>Bassir</w:t>
      </w:r>
      <w:proofErr w:type="spellEnd"/>
      <w:r w:rsidR="0038418A" w:rsidRPr="0052710F">
        <w:rPr>
          <w:lang w:val="fr-CA"/>
        </w:rPr>
        <w:t xml:space="preserve"> depuis son arrestation, y compris les commentaires qu</w:t>
      </w:r>
      <w:r w:rsidR="0038418A">
        <w:rPr>
          <w:lang w:val="fr-CA"/>
        </w:rPr>
        <w:t>’</w:t>
      </w:r>
      <w:r w:rsidR="0038418A" w:rsidRPr="0052710F">
        <w:rPr>
          <w:lang w:val="fr-CA"/>
        </w:rPr>
        <w:t xml:space="preserve">il souhaiterait formuler au sujet des allégations énoncées dans cette communication. Le Groupe de travail a aussi demandé au Gouvernement de clarifier les faits et les dispositions juridiques </w:t>
      </w:r>
      <w:r w:rsidR="0038418A">
        <w:rPr>
          <w:lang w:val="fr-CA"/>
        </w:rPr>
        <w:t>sur lesquels se fonde</w:t>
      </w:r>
      <w:r w:rsidR="0038418A" w:rsidRPr="0052710F">
        <w:rPr>
          <w:lang w:val="fr-CA"/>
        </w:rPr>
        <w:t xml:space="preserve"> la </w:t>
      </w:r>
      <w:r w:rsidR="0038418A">
        <w:rPr>
          <w:lang w:val="fr-CA"/>
        </w:rPr>
        <w:t>privation de liberté de M.</w:t>
      </w:r>
      <w:r w:rsidR="00AD59D7">
        <w:rPr>
          <w:lang w:val="fr-CA"/>
        </w:rPr>
        <w:t> </w:t>
      </w:r>
      <w:proofErr w:type="spellStart"/>
      <w:r w:rsidR="0038418A">
        <w:rPr>
          <w:lang w:val="fr-CA"/>
        </w:rPr>
        <w:t>Bassir</w:t>
      </w:r>
      <w:proofErr w:type="spellEnd"/>
      <w:r w:rsidR="0038418A" w:rsidRPr="0052710F">
        <w:rPr>
          <w:lang w:val="fr-CA"/>
        </w:rPr>
        <w:t xml:space="preserve"> ainsi que leur compatibilité </w:t>
      </w:r>
      <w:r w:rsidR="0038418A">
        <w:rPr>
          <w:lang w:val="fr-CA"/>
        </w:rPr>
        <w:t>avec les obligations du Maroc</w:t>
      </w:r>
      <w:r w:rsidR="0038418A" w:rsidRPr="0052710F">
        <w:rPr>
          <w:lang w:val="fr-CA"/>
        </w:rPr>
        <w:t xml:space="preserve"> en matière de droit international des droits de l</w:t>
      </w:r>
      <w:r w:rsidR="0038418A">
        <w:rPr>
          <w:lang w:val="fr-CA"/>
        </w:rPr>
        <w:t>’</w:t>
      </w:r>
      <w:r w:rsidR="0038418A" w:rsidRPr="0052710F">
        <w:rPr>
          <w:lang w:val="fr-CA"/>
        </w:rPr>
        <w:t>homme et, en particulier, au regard des traités que l</w:t>
      </w:r>
      <w:r w:rsidR="0038418A">
        <w:rPr>
          <w:lang w:val="fr-CA"/>
        </w:rPr>
        <w:t>’État</w:t>
      </w:r>
      <w:r w:rsidR="0038418A" w:rsidRPr="0052710F">
        <w:rPr>
          <w:lang w:val="fr-CA"/>
        </w:rPr>
        <w:t xml:space="preserve"> a ratifié</w:t>
      </w:r>
      <w:r w:rsidR="0038418A">
        <w:rPr>
          <w:lang w:val="fr-CA"/>
        </w:rPr>
        <w:t>s</w:t>
      </w:r>
      <w:r w:rsidR="0038418A" w:rsidRPr="0052710F">
        <w:rPr>
          <w:lang w:val="fr-CA"/>
        </w:rPr>
        <w:t xml:space="preserve">. </w:t>
      </w:r>
      <w:r w:rsidR="0038418A">
        <w:rPr>
          <w:lang w:val="fr-CA"/>
        </w:rPr>
        <w:t xml:space="preserve">Le Gouvernement marocain a soumis </w:t>
      </w:r>
      <w:r w:rsidR="0038418A" w:rsidRPr="006B76CA">
        <w:rPr>
          <w:rStyle w:val="None"/>
        </w:rPr>
        <w:t>sa réponse le 17</w:t>
      </w:r>
      <w:r w:rsidR="00AD59D7">
        <w:rPr>
          <w:rStyle w:val="None"/>
        </w:rPr>
        <w:t> </w:t>
      </w:r>
      <w:r w:rsidR="0038418A" w:rsidRPr="006B76CA">
        <w:rPr>
          <w:rStyle w:val="None"/>
        </w:rPr>
        <w:t>mars 2017.</w:t>
      </w:r>
    </w:p>
    <w:p w:rsidR="0038418A" w:rsidRDefault="00F04427" w:rsidP="00166E8C">
      <w:pPr>
        <w:pStyle w:val="SingleTxtG"/>
        <w:tabs>
          <w:tab w:val="right" w:pos="1021"/>
        </w:tabs>
        <w:ind w:left="1135"/>
        <w:rPr>
          <w:rStyle w:val="None"/>
          <w:b/>
          <w:sz w:val="28"/>
        </w:rPr>
      </w:pPr>
      <w:r>
        <w:rPr>
          <w:rStyle w:val="None"/>
        </w:rPr>
        <w:t>32.</w:t>
      </w:r>
      <w:r>
        <w:rPr>
          <w:rStyle w:val="None"/>
        </w:rPr>
        <w:tab/>
      </w:r>
      <w:r w:rsidR="0038418A">
        <w:rPr>
          <w:rStyle w:val="None"/>
        </w:rPr>
        <w:t>D’après l</w:t>
      </w:r>
      <w:r w:rsidR="0038418A" w:rsidRPr="00FB6089">
        <w:rPr>
          <w:rStyle w:val="None"/>
        </w:rPr>
        <w:t>e Gouvernement</w:t>
      </w:r>
      <w:r w:rsidR="0038418A">
        <w:rPr>
          <w:rStyle w:val="None"/>
        </w:rPr>
        <w:t>,</w:t>
      </w:r>
      <w:r w:rsidR="0038418A" w:rsidRPr="00FB6089">
        <w:rPr>
          <w:rStyle w:val="None"/>
        </w:rPr>
        <w:t xml:space="preserve"> à la suite de troubles à l</w:t>
      </w:r>
      <w:r w:rsidR="0038418A">
        <w:rPr>
          <w:rStyle w:val="None"/>
        </w:rPr>
        <w:t>’</w:t>
      </w:r>
      <w:r w:rsidR="0038418A" w:rsidRPr="00FB6089">
        <w:rPr>
          <w:rStyle w:val="None"/>
        </w:rPr>
        <w:t>ordre public à Es-Smara, entre avril et début mai 2013, M.</w:t>
      </w:r>
      <w:r w:rsidR="00AD59D7">
        <w:rPr>
          <w:rStyle w:val="None"/>
        </w:rPr>
        <w:t> </w:t>
      </w:r>
      <w:proofErr w:type="spellStart"/>
      <w:r w:rsidR="0038418A" w:rsidRPr="00FB6089">
        <w:rPr>
          <w:rStyle w:val="None"/>
        </w:rPr>
        <w:t>Bassir</w:t>
      </w:r>
      <w:proofErr w:type="spellEnd"/>
      <w:r w:rsidR="0038418A" w:rsidRPr="00FB6089">
        <w:rPr>
          <w:rStyle w:val="None"/>
        </w:rPr>
        <w:t xml:space="preserve">, conscient du sérieux de sa participation à ces troubles, </w:t>
      </w:r>
      <w:r w:rsidR="0038418A">
        <w:rPr>
          <w:rStyle w:val="None"/>
        </w:rPr>
        <w:lastRenderedPageBreak/>
        <w:t>aurait quitté clandestinement le Maroc pour se rendre</w:t>
      </w:r>
      <w:r w:rsidR="0038418A" w:rsidRPr="00FB6089">
        <w:rPr>
          <w:rStyle w:val="None"/>
        </w:rPr>
        <w:t xml:space="preserve"> en Algérie. Au terme de ses enquêtes, le Gouvernement dit avoir </w:t>
      </w:r>
      <w:r w:rsidR="0038418A">
        <w:rPr>
          <w:rStyle w:val="None"/>
        </w:rPr>
        <w:t>conclu que M.</w:t>
      </w:r>
      <w:r w:rsidR="00AD59D7">
        <w:rPr>
          <w:rStyle w:val="None"/>
        </w:rPr>
        <w:t> </w:t>
      </w:r>
      <w:proofErr w:type="spellStart"/>
      <w:r w:rsidR="0038418A">
        <w:rPr>
          <w:rStyle w:val="None"/>
        </w:rPr>
        <w:t>Bassir</w:t>
      </w:r>
      <w:proofErr w:type="spellEnd"/>
      <w:r w:rsidR="0038418A">
        <w:rPr>
          <w:rStyle w:val="None"/>
        </w:rPr>
        <w:t xml:space="preserve"> était l’un des principaux instigateurs des troubles survenus à Es-Smara et avoir </w:t>
      </w:r>
      <w:r w:rsidR="0038418A" w:rsidRPr="00FB6089">
        <w:rPr>
          <w:rStyle w:val="None"/>
        </w:rPr>
        <w:t xml:space="preserve">émis un avis de recherche </w:t>
      </w:r>
      <w:r w:rsidR="0038418A">
        <w:rPr>
          <w:rStyle w:val="None"/>
        </w:rPr>
        <w:t xml:space="preserve">à son encontre </w:t>
      </w:r>
      <w:r w:rsidR="0038418A" w:rsidRPr="00FB6089">
        <w:rPr>
          <w:rStyle w:val="None"/>
        </w:rPr>
        <w:t>le 7</w:t>
      </w:r>
      <w:r w:rsidR="00AD59D7">
        <w:rPr>
          <w:rStyle w:val="None"/>
        </w:rPr>
        <w:t> </w:t>
      </w:r>
      <w:r w:rsidR="0004018E" w:rsidRPr="00FB6089">
        <w:rPr>
          <w:rStyle w:val="None"/>
        </w:rPr>
        <w:t>juin</w:t>
      </w:r>
      <w:r w:rsidR="0004018E">
        <w:rPr>
          <w:rStyle w:val="None"/>
        </w:rPr>
        <w:t> </w:t>
      </w:r>
      <w:r w:rsidR="0038418A" w:rsidRPr="00FB6089">
        <w:rPr>
          <w:rStyle w:val="None"/>
        </w:rPr>
        <w:t>2014</w:t>
      </w:r>
      <w:r w:rsidR="0038418A">
        <w:rPr>
          <w:rStyle w:val="None"/>
        </w:rPr>
        <w:t>.</w:t>
      </w:r>
    </w:p>
    <w:p w:rsidR="0038418A" w:rsidRDefault="00F04427" w:rsidP="00166E8C">
      <w:pPr>
        <w:pStyle w:val="SingleTxtG"/>
        <w:tabs>
          <w:tab w:val="right" w:pos="1021"/>
        </w:tabs>
        <w:ind w:left="1135"/>
        <w:rPr>
          <w:rStyle w:val="None"/>
          <w:b/>
          <w:sz w:val="28"/>
        </w:rPr>
      </w:pPr>
      <w:r>
        <w:rPr>
          <w:rStyle w:val="None"/>
        </w:rPr>
        <w:t>33.</w:t>
      </w:r>
      <w:r>
        <w:rPr>
          <w:rStyle w:val="None"/>
        </w:rPr>
        <w:tab/>
      </w:r>
      <w:r w:rsidR="0038418A" w:rsidRPr="00FB6089">
        <w:rPr>
          <w:rStyle w:val="None"/>
        </w:rPr>
        <w:t>Le Gouvernement affirme</w:t>
      </w:r>
      <w:r w:rsidR="0038418A">
        <w:rPr>
          <w:rStyle w:val="None"/>
        </w:rPr>
        <w:t xml:space="preserve"> qu’après avoir passé deux années en Algérie, M.</w:t>
      </w:r>
      <w:r w:rsidR="00AD59D7">
        <w:rPr>
          <w:rStyle w:val="None"/>
        </w:rPr>
        <w:t> </w:t>
      </w:r>
      <w:proofErr w:type="spellStart"/>
      <w:r w:rsidR="0038418A">
        <w:rPr>
          <w:rStyle w:val="None"/>
        </w:rPr>
        <w:t>Bassir</w:t>
      </w:r>
      <w:proofErr w:type="spellEnd"/>
      <w:r w:rsidR="0038418A">
        <w:rPr>
          <w:rStyle w:val="None"/>
        </w:rPr>
        <w:t xml:space="preserve"> serait rentré au Maroc en utilisant un faux passeport et une fausse identité algérienne.</w:t>
      </w:r>
      <w:r w:rsidR="0038418A" w:rsidRPr="00FB6089">
        <w:rPr>
          <w:rStyle w:val="None"/>
        </w:rPr>
        <w:t xml:space="preserve"> </w:t>
      </w:r>
      <w:r w:rsidR="0038418A">
        <w:rPr>
          <w:rStyle w:val="None"/>
        </w:rPr>
        <w:t>Il</w:t>
      </w:r>
      <w:r w:rsidR="0038418A" w:rsidRPr="00FB6089">
        <w:rPr>
          <w:rStyle w:val="None"/>
        </w:rPr>
        <w:t xml:space="preserve"> a été arrêté le 7</w:t>
      </w:r>
      <w:r w:rsidR="00AD59D7">
        <w:rPr>
          <w:rStyle w:val="None"/>
        </w:rPr>
        <w:t> </w:t>
      </w:r>
      <w:r w:rsidR="0038418A" w:rsidRPr="00FB6089">
        <w:rPr>
          <w:rStyle w:val="None"/>
        </w:rPr>
        <w:t xml:space="preserve">juin 2015 et présenté au </w:t>
      </w:r>
      <w:r w:rsidR="0038418A">
        <w:rPr>
          <w:rStyle w:val="None"/>
        </w:rPr>
        <w:t>P</w:t>
      </w:r>
      <w:r w:rsidR="0038418A" w:rsidRPr="00FB6089">
        <w:rPr>
          <w:rStyle w:val="None"/>
        </w:rPr>
        <w:t xml:space="preserve">rocureur général du Roi près la </w:t>
      </w:r>
      <w:r w:rsidR="0038418A">
        <w:rPr>
          <w:rStyle w:val="None"/>
        </w:rPr>
        <w:t>c</w:t>
      </w:r>
      <w:r w:rsidR="0038418A" w:rsidRPr="00FB6089">
        <w:rPr>
          <w:rStyle w:val="None"/>
        </w:rPr>
        <w:t>our d</w:t>
      </w:r>
      <w:r w:rsidR="0038418A">
        <w:rPr>
          <w:rStyle w:val="None"/>
        </w:rPr>
        <w:t>’</w:t>
      </w:r>
      <w:r w:rsidR="0038418A" w:rsidRPr="00FB6089">
        <w:rPr>
          <w:rStyle w:val="None"/>
        </w:rPr>
        <w:t xml:space="preserve">appel de </w:t>
      </w:r>
      <w:proofErr w:type="spellStart"/>
      <w:r w:rsidR="0038418A" w:rsidRPr="00FB6089">
        <w:rPr>
          <w:rStyle w:val="None"/>
        </w:rPr>
        <w:t>Laâyou</w:t>
      </w:r>
      <w:r w:rsidR="0038418A">
        <w:rPr>
          <w:rStyle w:val="None"/>
        </w:rPr>
        <w:t>n</w:t>
      </w:r>
      <w:r w:rsidR="0038418A" w:rsidRPr="00FB6089">
        <w:rPr>
          <w:rStyle w:val="None"/>
        </w:rPr>
        <w:t>e</w:t>
      </w:r>
      <w:proofErr w:type="spellEnd"/>
      <w:r w:rsidR="0038418A">
        <w:rPr>
          <w:rStyle w:val="None"/>
        </w:rPr>
        <w:t xml:space="preserve"> le 8</w:t>
      </w:r>
      <w:r w:rsidR="00AD59D7">
        <w:rPr>
          <w:rStyle w:val="None"/>
        </w:rPr>
        <w:t> </w:t>
      </w:r>
      <w:r w:rsidR="0038418A">
        <w:rPr>
          <w:rStyle w:val="None"/>
        </w:rPr>
        <w:t>juin</w:t>
      </w:r>
      <w:r w:rsidR="0038418A" w:rsidRPr="00FB6089">
        <w:rPr>
          <w:rStyle w:val="None"/>
        </w:rPr>
        <w:t xml:space="preserve">. </w:t>
      </w:r>
      <w:r w:rsidR="0038418A">
        <w:rPr>
          <w:rStyle w:val="None"/>
        </w:rPr>
        <w:t xml:space="preserve">D’après le Gouvernement, les autorités auraient recueilli des </w:t>
      </w:r>
      <w:r w:rsidR="0038418A" w:rsidRPr="00FB6089">
        <w:rPr>
          <w:rStyle w:val="None"/>
        </w:rPr>
        <w:t>preuves matérielles</w:t>
      </w:r>
      <w:r w:rsidR="0038418A">
        <w:rPr>
          <w:rStyle w:val="None"/>
        </w:rPr>
        <w:t xml:space="preserve"> contre</w:t>
      </w:r>
      <w:r w:rsidR="0038418A" w:rsidRPr="00FB6089">
        <w:rPr>
          <w:rStyle w:val="None"/>
        </w:rPr>
        <w:t xml:space="preserve"> M.</w:t>
      </w:r>
      <w:r w:rsidR="00AD59D7">
        <w:rPr>
          <w:rStyle w:val="None"/>
        </w:rPr>
        <w:t> </w:t>
      </w:r>
      <w:proofErr w:type="spellStart"/>
      <w:r w:rsidR="0038418A" w:rsidRPr="00FB6089">
        <w:rPr>
          <w:rStyle w:val="None"/>
        </w:rPr>
        <w:t>Bassir</w:t>
      </w:r>
      <w:proofErr w:type="spellEnd"/>
      <w:r w:rsidR="0038418A">
        <w:rPr>
          <w:rStyle w:val="None"/>
        </w:rPr>
        <w:t>, notamment une séquence vidéo le montrant en train de cibler les forces de l’ordre par des jets de pierres. Par ailleurs, deux des complices de M.</w:t>
      </w:r>
      <w:r w:rsidR="00AD59D7">
        <w:rPr>
          <w:rStyle w:val="None"/>
        </w:rPr>
        <w:t> </w:t>
      </w:r>
      <w:proofErr w:type="spellStart"/>
      <w:r w:rsidR="0038418A">
        <w:rPr>
          <w:rStyle w:val="None"/>
        </w:rPr>
        <w:t>Bassir</w:t>
      </w:r>
      <w:proofErr w:type="spellEnd"/>
      <w:r w:rsidR="0038418A">
        <w:rPr>
          <w:rStyle w:val="None"/>
        </w:rPr>
        <w:t xml:space="preserve"> auraient précisé dans leurs procès-verbaux d’audition que M.</w:t>
      </w:r>
      <w:r w:rsidR="00AD59D7">
        <w:rPr>
          <w:rStyle w:val="None"/>
        </w:rPr>
        <w:t> </w:t>
      </w:r>
      <w:proofErr w:type="spellStart"/>
      <w:r w:rsidR="0038418A">
        <w:rPr>
          <w:rStyle w:val="None"/>
        </w:rPr>
        <w:t>Bassir</w:t>
      </w:r>
      <w:proofErr w:type="spellEnd"/>
      <w:r w:rsidR="0038418A">
        <w:rPr>
          <w:rStyle w:val="None"/>
        </w:rPr>
        <w:t xml:space="preserve"> était l’instigateur principal des troubles.</w:t>
      </w:r>
    </w:p>
    <w:p w:rsidR="0038418A" w:rsidRDefault="00F04427" w:rsidP="00166E8C">
      <w:pPr>
        <w:pStyle w:val="SingleTxtG"/>
        <w:tabs>
          <w:tab w:val="right" w:pos="1021"/>
        </w:tabs>
        <w:ind w:left="1135"/>
        <w:rPr>
          <w:rStyle w:val="None"/>
          <w:b/>
          <w:sz w:val="28"/>
        </w:rPr>
      </w:pPr>
      <w:r>
        <w:rPr>
          <w:rStyle w:val="None"/>
        </w:rPr>
        <w:t>34.</w:t>
      </w:r>
      <w:r>
        <w:rPr>
          <w:rStyle w:val="None"/>
        </w:rPr>
        <w:tab/>
      </w:r>
      <w:r w:rsidR="0038418A">
        <w:rPr>
          <w:rStyle w:val="None"/>
        </w:rPr>
        <w:t xml:space="preserve">Le Gouvernement soutient qu’au cours de son audition </w:t>
      </w:r>
      <w:r w:rsidR="0038418A" w:rsidRPr="00FB6089">
        <w:rPr>
          <w:rStyle w:val="None"/>
        </w:rPr>
        <w:t>M.</w:t>
      </w:r>
      <w:r w:rsidR="00AD59D7">
        <w:rPr>
          <w:rStyle w:val="None"/>
        </w:rPr>
        <w:t> </w:t>
      </w:r>
      <w:proofErr w:type="spellStart"/>
      <w:r w:rsidR="0038418A" w:rsidRPr="00FB6089">
        <w:rPr>
          <w:rStyle w:val="None"/>
        </w:rPr>
        <w:t>Bassir</w:t>
      </w:r>
      <w:proofErr w:type="spellEnd"/>
      <w:r w:rsidR="0038418A">
        <w:rPr>
          <w:rStyle w:val="None"/>
        </w:rPr>
        <w:t xml:space="preserve"> a déclaré avoir planifié les actes de troubles à l’ordre public à Es-Smara en 2013, y avoir pris part et avoir constitué un groupe d’associés, dont des mineurs, animés comme lui par une colère contre les autorités marocaines et disposés à commettre des actes de violence contre les symboles de l’État marocain.</w:t>
      </w:r>
    </w:p>
    <w:p w:rsidR="0038418A" w:rsidRPr="004740A1" w:rsidRDefault="00F04427" w:rsidP="00166E8C">
      <w:pPr>
        <w:pStyle w:val="SingleTxtG"/>
        <w:tabs>
          <w:tab w:val="right" w:pos="1021"/>
        </w:tabs>
        <w:ind w:left="1135"/>
        <w:rPr>
          <w:rStyle w:val="None"/>
          <w:b/>
          <w:sz w:val="28"/>
        </w:rPr>
      </w:pPr>
      <w:r>
        <w:rPr>
          <w:rStyle w:val="None"/>
        </w:rPr>
        <w:t>35.</w:t>
      </w:r>
      <w:r>
        <w:rPr>
          <w:rStyle w:val="None"/>
        </w:rPr>
        <w:tab/>
      </w:r>
      <w:r w:rsidR="0038418A">
        <w:rPr>
          <w:rStyle w:val="None"/>
        </w:rPr>
        <w:t>D’après le Gouvernement, M.</w:t>
      </w:r>
      <w:r w:rsidR="00AD59D7">
        <w:rPr>
          <w:rStyle w:val="None"/>
        </w:rPr>
        <w:t> </w:t>
      </w:r>
      <w:proofErr w:type="spellStart"/>
      <w:r w:rsidR="0038418A">
        <w:rPr>
          <w:rStyle w:val="None"/>
        </w:rPr>
        <w:t>Bassir</w:t>
      </w:r>
      <w:proofErr w:type="spellEnd"/>
      <w:r w:rsidR="0038418A">
        <w:rPr>
          <w:rStyle w:val="None"/>
        </w:rPr>
        <w:t xml:space="preserve"> </w:t>
      </w:r>
      <w:r w:rsidR="0038418A" w:rsidRPr="00FB6089">
        <w:rPr>
          <w:rStyle w:val="None"/>
        </w:rPr>
        <w:t>a été présenté au juge d</w:t>
      </w:r>
      <w:r w:rsidR="0038418A">
        <w:rPr>
          <w:rStyle w:val="None"/>
        </w:rPr>
        <w:t>’</w:t>
      </w:r>
      <w:r w:rsidR="0038418A" w:rsidRPr="00FB6089">
        <w:rPr>
          <w:rStyle w:val="None"/>
        </w:rPr>
        <w:t>instruction pour l</w:t>
      </w:r>
      <w:r w:rsidR="0038418A">
        <w:rPr>
          <w:rStyle w:val="None"/>
        </w:rPr>
        <w:t>’</w:t>
      </w:r>
      <w:r w:rsidR="0038418A" w:rsidRPr="00FB6089">
        <w:rPr>
          <w:rStyle w:val="None"/>
        </w:rPr>
        <w:t>ouverture d</w:t>
      </w:r>
      <w:r w:rsidR="0038418A">
        <w:rPr>
          <w:rStyle w:val="None"/>
        </w:rPr>
        <w:t>’</w:t>
      </w:r>
      <w:r w:rsidR="0038418A" w:rsidRPr="00FB6089">
        <w:rPr>
          <w:rStyle w:val="None"/>
        </w:rPr>
        <w:t>une information judiciaire</w:t>
      </w:r>
      <w:r w:rsidR="0038418A">
        <w:rPr>
          <w:rStyle w:val="None"/>
        </w:rPr>
        <w:t xml:space="preserve"> pour association de malfaiteurs en vue de commettre des crimes, entrave à la circulation publique, participation à un incendie de façon à permettre la propagation et la communication dudit incendie, violences contre des fonctionnaires, participation à un attroupement armé et destruction et dégradation de biens destinés à l’utilité publique.</w:t>
      </w:r>
      <w:r w:rsidR="0038418A" w:rsidRPr="00FB6089">
        <w:rPr>
          <w:rStyle w:val="None"/>
        </w:rPr>
        <w:t xml:space="preserve"> </w:t>
      </w:r>
      <w:r w:rsidR="0038418A">
        <w:rPr>
          <w:rStyle w:val="None"/>
        </w:rPr>
        <w:t>L</w:t>
      </w:r>
      <w:r w:rsidR="0038418A" w:rsidRPr="00FB6089">
        <w:rPr>
          <w:rStyle w:val="None"/>
        </w:rPr>
        <w:t>e 30</w:t>
      </w:r>
      <w:r w:rsidR="00AD59D7">
        <w:rPr>
          <w:rStyle w:val="None"/>
        </w:rPr>
        <w:t> </w:t>
      </w:r>
      <w:r w:rsidR="0038418A" w:rsidRPr="00FB6089">
        <w:rPr>
          <w:rStyle w:val="None"/>
        </w:rPr>
        <w:t>septembre 2015, M.</w:t>
      </w:r>
      <w:r w:rsidR="00AD59D7">
        <w:rPr>
          <w:rStyle w:val="None"/>
        </w:rPr>
        <w:t> </w:t>
      </w:r>
      <w:proofErr w:type="spellStart"/>
      <w:r w:rsidR="0038418A" w:rsidRPr="00FB6089">
        <w:rPr>
          <w:rStyle w:val="None"/>
        </w:rPr>
        <w:t>Bassir</w:t>
      </w:r>
      <w:proofErr w:type="spellEnd"/>
      <w:r w:rsidR="0038418A" w:rsidRPr="00FB6089">
        <w:rPr>
          <w:rStyle w:val="None"/>
        </w:rPr>
        <w:t xml:space="preserve"> a été c</w:t>
      </w:r>
      <w:r w:rsidR="0038418A">
        <w:rPr>
          <w:rStyle w:val="None"/>
        </w:rPr>
        <w:t xml:space="preserve">ondamné en première instance pour tous </w:t>
      </w:r>
      <w:r w:rsidR="0038418A" w:rsidRPr="00FB6089">
        <w:rPr>
          <w:rStyle w:val="None"/>
        </w:rPr>
        <w:t xml:space="preserve">les </w:t>
      </w:r>
      <w:r w:rsidR="0038418A">
        <w:rPr>
          <w:rStyle w:val="None"/>
        </w:rPr>
        <w:t>chefs d’accusation</w:t>
      </w:r>
      <w:r w:rsidR="0038418A" w:rsidRPr="00FB6089">
        <w:rPr>
          <w:rStyle w:val="None"/>
        </w:rPr>
        <w:t xml:space="preserve"> sauf </w:t>
      </w:r>
      <w:r w:rsidR="0038418A">
        <w:rPr>
          <w:rStyle w:val="None"/>
        </w:rPr>
        <w:t>celui</w:t>
      </w:r>
      <w:r w:rsidR="0038418A" w:rsidRPr="00FB6089">
        <w:rPr>
          <w:rStyle w:val="None"/>
        </w:rPr>
        <w:t xml:space="preserve"> d</w:t>
      </w:r>
      <w:r w:rsidR="0038418A">
        <w:rPr>
          <w:rStyle w:val="None"/>
        </w:rPr>
        <w:t>’</w:t>
      </w:r>
      <w:r w:rsidR="0038418A" w:rsidRPr="00FB6089">
        <w:rPr>
          <w:rStyle w:val="None"/>
        </w:rPr>
        <w:t xml:space="preserve">association de malfaiteurs. Ce jugement </w:t>
      </w:r>
      <w:r w:rsidR="0038418A">
        <w:rPr>
          <w:rStyle w:val="None"/>
        </w:rPr>
        <w:t xml:space="preserve">a été </w:t>
      </w:r>
      <w:r w:rsidR="0038418A" w:rsidRPr="00FB6089">
        <w:rPr>
          <w:rStyle w:val="None"/>
        </w:rPr>
        <w:t>confirmé en appel le 21</w:t>
      </w:r>
      <w:r w:rsidR="00AD59D7">
        <w:rPr>
          <w:rStyle w:val="None"/>
        </w:rPr>
        <w:t> </w:t>
      </w:r>
      <w:r w:rsidR="0038418A" w:rsidRPr="00FB6089">
        <w:rPr>
          <w:rStyle w:val="None"/>
        </w:rPr>
        <w:t>novembre 2015.</w:t>
      </w:r>
    </w:p>
    <w:p w:rsidR="0038418A" w:rsidRPr="00FB6089" w:rsidRDefault="00F04427" w:rsidP="00166E8C">
      <w:pPr>
        <w:pStyle w:val="SingleTxtG"/>
        <w:tabs>
          <w:tab w:val="right" w:pos="1021"/>
        </w:tabs>
        <w:ind w:left="1135"/>
        <w:rPr>
          <w:rStyle w:val="None"/>
          <w:b/>
          <w:sz w:val="28"/>
        </w:rPr>
      </w:pPr>
      <w:r>
        <w:rPr>
          <w:rStyle w:val="None"/>
        </w:rPr>
        <w:t>36.</w:t>
      </w:r>
      <w:r>
        <w:rPr>
          <w:rStyle w:val="None"/>
        </w:rPr>
        <w:tab/>
      </w:r>
      <w:r w:rsidR="0038418A">
        <w:rPr>
          <w:rStyle w:val="None"/>
        </w:rPr>
        <w:t xml:space="preserve">De plus, </w:t>
      </w:r>
      <w:r w:rsidR="0038418A" w:rsidRPr="00FB6089">
        <w:rPr>
          <w:rStyle w:val="None"/>
        </w:rPr>
        <w:t>le Gouvernement affirme que M.</w:t>
      </w:r>
      <w:r w:rsidR="00AD59D7">
        <w:rPr>
          <w:rStyle w:val="None"/>
        </w:rPr>
        <w:t> </w:t>
      </w:r>
      <w:proofErr w:type="spellStart"/>
      <w:r w:rsidR="0038418A" w:rsidRPr="00FB6089">
        <w:rPr>
          <w:rStyle w:val="None"/>
        </w:rPr>
        <w:t>Bassir</w:t>
      </w:r>
      <w:proofErr w:type="spellEnd"/>
      <w:r w:rsidR="0038418A" w:rsidRPr="00FB6089">
        <w:rPr>
          <w:rStyle w:val="None"/>
        </w:rPr>
        <w:t xml:space="preserve"> </w:t>
      </w:r>
      <w:r w:rsidR="0038418A">
        <w:rPr>
          <w:rStyle w:val="None"/>
        </w:rPr>
        <w:t xml:space="preserve">refuse de respecter le règlement intérieur de la prison et qu’il est connu pour être un fauteur de troubles au sein de la prison d’Aït </w:t>
      </w:r>
      <w:proofErr w:type="spellStart"/>
      <w:r w:rsidR="0038418A">
        <w:rPr>
          <w:rStyle w:val="None"/>
        </w:rPr>
        <w:t>Melloul</w:t>
      </w:r>
      <w:proofErr w:type="spellEnd"/>
      <w:r w:rsidR="0038418A">
        <w:rPr>
          <w:rStyle w:val="None"/>
        </w:rPr>
        <w:t xml:space="preserve">. Il serait l’auteur d’infractions graves, telles que provocation de rixes, agression d’autres détenus et détention d’objets tranchants. </w:t>
      </w:r>
    </w:p>
    <w:p w:rsidR="0038418A" w:rsidRPr="00FB6089" w:rsidRDefault="00F04427" w:rsidP="00166E8C">
      <w:pPr>
        <w:pStyle w:val="SingleTxtG"/>
        <w:tabs>
          <w:tab w:val="right" w:pos="1021"/>
        </w:tabs>
        <w:ind w:left="1135"/>
        <w:rPr>
          <w:rStyle w:val="None"/>
          <w:b/>
          <w:sz w:val="28"/>
        </w:rPr>
      </w:pPr>
      <w:r>
        <w:rPr>
          <w:rStyle w:val="None"/>
        </w:rPr>
        <w:t>37.</w:t>
      </w:r>
      <w:r>
        <w:rPr>
          <w:rStyle w:val="None"/>
        </w:rPr>
        <w:tab/>
      </w:r>
      <w:r w:rsidR="0038418A">
        <w:rPr>
          <w:rStyle w:val="None"/>
        </w:rPr>
        <w:t xml:space="preserve">Le Gouvernement nie les </w:t>
      </w:r>
      <w:r w:rsidR="0038418A" w:rsidRPr="00FB6089">
        <w:rPr>
          <w:rStyle w:val="None"/>
        </w:rPr>
        <w:t>allégations de torture</w:t>
      </w:r>
      <w:r w:rsidR="0038418A">
        <w:rPr>
          <w:rStyle w:val="None"/>
        </w:rPr>
        <w:t xml:space="preserve"> et précise que l’ensemble des documents et procès-verbaux</w:t>
      </w:r>
      <w:r w:rsidR="0038418A" w:rsidRPr="00FB6089">
        <w:rPr>
          <w:rStyle w:val="None"/>
        </w:rPr>
        <w:t xml:space="preserve"> relatifs à l</w:t>
      </w:r>
      <w:r w:rsidR="0038418A">
        <w:rPr>
          <w:rStyle w:val="None"/>
        </w:rPr>
        <w:t>’</w:t>
      </w:r>
      <w:r w:rsidR="0038418A" w:rsidRPr="00FB6089">
        <w:rPr>
          <w:rStyle w:val="None"/>
        </w:rPr>
        <w:t>arrestation</w:t>
      </w:r>
      <w:r w:rsidR="0038418A">
        <w:rPr>
          <w:rStyle w:val="None"/>
        </w:rPr>
        <w:t xml:space="preserve"> de M.</w:t>
      </w:r>
      <w:r w:rsidR="00AD59D7">
        <w:rPr>
          <w:rStyle w:val="None"/>
        </w:rPr>
        <w:t> </w:t>
      </w:r>
      <w:proofErr w:type="spellStart"/>
      <w:r w:rsidR="0038418A">
        <w:rPr>
          <w:rStyle w:val="None"/>
        </w:rPr>
        <w:t>Bassir</w:t>
      </w:r>
      <w:proofErr w:type="spellEnd"/>
      <w:r w:rsidR="0038418A" w:rsidRPr="00FB6089">
        <w:rPr>
          <w:rStyle w:val="None"/>
        </w:rPr>
        <w:t xml:space="preserve"> portent sa propre signature.</w:t>
      </w:r>
      <w:r w:rsidR="0038418A">
        <w:rPr>
          <w:rStyle w:val="None"/>
        </w:rPr>
        <w:t xml:space="preserve"> Il estime également que M.</w:t>
      </w:r>
      <w:r w:rsidR="00AD59D7">
        <w:rPr>
          <w:rStyle w:val="None"/>
        </w:rPr>
        <w:t> </w:t>
      </w:r>
      <w:proofErr w:type="spellStart"/>
      <w:r w:rsidR="0038418A">
        <w:rPr>
          <w:rStyle w:val="None"/>
        </w:rPr>
        <w:t>Bassir</w:t>
      </w:r>
      <w:proofErr w:type="spellEnd"/>
      <w:r w:rsidR="0038418A">
        <w:rPr>
          <w:rStyle w:val="None"/>
        </w:rPr>
        <w:t xml:space="preserve"> a été présenté à tort comme un journaliste et défenseur des droits de l’homme dans l’unique but d’attirer la sympathie et le soutien injustifié des organisations non gouvernementales et des instances internationales. </w:t>
      </w:r>
    </w:p>
    <w:p w:rsidR="0038418A" w:rsidRPr="00FB6089" w:rsidRDefault="00F04427" w:rsidP="00166E8C">
      <w:pPr>
        <w:pStyle w:val="SingleTxtG"/>
        <w:tabs>
          <w:tab w:val="right" w:pos="1021"/>
        </w:tabs>
        <w:ind w:left="1135"/>
        <w:rPr>
          <w:rStyle w:val="None"/>
          <w:b/>
          <w:sz w:val="28"/>
        </w:rPr>
      </w:pPr>
      <w:r>
        <w:rPr>
          <w:rStyle w:val="None"/>
        </w:rPr>
        <w:t>38.</w:t>
      </w:r>
      <w:r>
        <w:rPr>
          <w:rStyle w:val="None"/>
        </w:rPr>
        <w:tab/>
      </w:r>
      <w:r w:rsidR="0038418A" w:rsidRPr="00FB6089">
        <w:rPr>
          <w:rStyle w:val="None"/>
        </w:rPr>
        <w:t xml:space="preserve">Pour conclure, le Gouvernement affirme </w:t>
      </w:r>
      <w:r w:rsidR="0038418A">
        <w:rPr>
          <w:rStyle w:val="None"/>
        </w:rPr>
        <w:t>que</w:t>
      </w:r>
      <w:r w:rsidR="0038418A" w:rsidRPr="00FB6089">
        <w:rPr>
          <w:rStyle w:val="None"/>
        </w:rPr>
        <w:t xml:space="preserve"> M.</w:t>
      </w:r>
      <w:r w:rsidR="00AD59D7">
        <w:rPr>
          <w:rStyle w:val="None"/>
        </w:rPr>
        <w:t> </w:t>
      </w:r>
      <w:proofErr w:type="spellStart"/>
      <w:r w:rsidR="0038418A" w:rsidRPr="00FB6089">
        <w:rPr>
          <w:rStyle w:val="None"/>
        </w:rPr>
        <w:t>Bassir</w:t>
      </w:r>
      <w:proofErr w:type="spellEnd"/>
      <w:r w:rsidR="0038418A">
        <w:rPr>
          <w:rStyle w:val="None"/>
        </w:rPr>
        <w:t xml:space="preserve"> a été arrêté, jugé et incarcéré dans un total respect des garanties du procès équitable et dans un total respect des délais raisonnables, conformément aux normes nationales et internationales. Dès lors,</w:t>
      </w:r>
      <w:r w:rsidR="0038418A" w:rsidRPr="00FB6089">
        <w:rPr>
          <w:rStyle w:val="None"/>
        </w:rPr>
        <w:t xml:space="preserve"> </w:t>
      </w:r>
      <w:r w:rsidR="0038418A">
        <w:rPr>
          <w:rStyle w:val="None"/>
        </w:rPr>
        <w:t>s</w:t>
      </w:r>
      <w:r w:rsidR="0038418A" w:rsidRPr="00FB6089">
        <w:rPr>
          <w:rStyle w:val="None"/>
        </w:rPr>
        <w:t>a détention ne saurait être considérée comme arbitraire.</w:t>
      </w:r>
    </w:p>
    <w:p w:rsidR="0038418A" w:rsidRPr="000D6F32" w:rsidRDefault="0038418A" w:rsidP="0038418A">
      <w:pPr>
        <w:pStyle w:val="H4G"/>
        <w:rPr>
          <w:rStyle w:val="None"/>
        </w:rPr>
      </w:pPr>
      <w:r>
        <w:rPr>
          <w:lang w:val="fr-FR"/>
        </w:rPr>
        <w:tab/>
      </w:r>
      <w:r w:rsidRPr="00CD5DD7">
        <w:rPr>
          <w:color w:val="FF0000"/>
          <w:lang w:val="fr-FR"/>
        </w:rPr>
        <w:tab/>
      </w:r>
      <w:r w:rsidRPr="00B94E7D">
        <w:rPr>
          <w:rStyle w:val="None"/>
          <w:rFonts w:eastAsia="Arial Unicode MS"/>
        </w:rPr>
        <w:t>Observations</w:t>
      </w:r>
      <w:r>
        <w:rPr>
          <w:rStyle w:val="None"/>
          <w:rFonts w:eastAsia="Arial Unicode MS" w:cs="Arial Unicode MS"/>
        </w:rPr>
        <w:t xml:space="preserve"> supplémentaires de la source</w:t>
      </w:r>
    </w:p>
    <w:p w:rsidR="0038418A" w:rsidRPr="00FB6089" w:rsidRDefault="00F04427" w:rsidP="00166E8C">
      <w:pPr>
        <w:pStyle w:val="SingleTxtG"/>
        <w:tabs>
          <w:tab w:val="right" w:pos="1021"/>
        </w:tabs>
        <w:ind w:left="1135"/>
        <w:rPr>
          <w:rStyle w:val="None"/>
          <w:b/>
          <w:sz w:val="28"/>
        </w:rPr>
      </w:pPr>
      <w:r>
        <w:rPr>
          <w:rStyle w:val="None"/>
        </w:rPr>
        <w:t>39.</w:t>
      </w:r>
      <w:r>
        <w:rPr>
          <w:rStyle w:val="None"/>
        </w:rPr>
        <w:tab/>
      </w:r>
      <w:r w:rsidR="0038418A" w:rsidRPr="00FB6089">
        <w:rPr>
          <w:rStyle w:val="None"/>
        </w:rPr>
        <w:t>Le 23</w:t>
      </w:r>
      <w:r w:rsidR="00AD59D7">
        <w:rPr>
          <w:rStyle w:val="None"/>
        </w:rPr>
        <w:t> </w:t>
      </w:r>
      <w:r w:rsidR="0038418A" w:rsidRPr="00FB6089">
        <w:rPr>
          <w:rStyle w:val="None"/>
        </w:rPr>
        <w:t>mars 2017, le Groupe de travail a transmis la réponse du Gouvernement</w:t>
      </w:r>
      <w:r w:rsidR="0038418A">
        <w:rPr>
          <w:rStyle w:val="None"/>
        </w:rPr>
        <w:t xml:space="preserve"> </w:t>
      </w:r>
      <w:r w:rsidR="0038418A" w:rsidRPr="00FB6089">
        <w:rPr>
          <w:rStyle w:val="None"/>
        </w:rPr>
        <w:t>à la source</w:t>
      </w:r>
      <w:r w:rsidR="0038418A">
        <w:rPr>
          <w:rStyle w:val="None"/>
        </w:rPr>
        <w:t xml:space="preserve">, </w:t>
      </w:r>
      <w:r w:rsidR="0038418A" w:rsidRPr="005678A6">
        <w:rPr>
          <w:rStyle w:val="None"/>
        </w:rPr>
        <w:t>qui a soumis les observations supplémentaires suivantes.</w:t>
      </w:r>
    </w:p>
    <w:p w:rsidR="0038418A" w:rsidRPr="00FB6089" w:rsidRDefault="00F04427" w:rsidP="00166E8C">
      <w:pPr>
        <w:pStyle w:val="SingleTxtG"/>
        <w:tabs>
          <w:tab w:val="right" w:pos="1021"/>
        </w:tabs>
        <w:ind w:left="1135"/>
        <w:rPr>
          <w:rStyle w:val="None"/>
          <w:b/>
          <w:sz w:val="28"/>
        </w:rPr>
      </w:pPr>
      <w:r>
        <w:rPr>
          <w:rStyle w:val="None"/>
        </w:rPr>
        <w:t>40.</w:t>
      </w:r>
      <w:r>
        <w:rPr>
          <w:rStyle w:val="None"/>
        </w:rPr>
        <w:tab/>
      </w:r>
      <w:r w:rsidR="0038418A">
        <w:rPr>
          <w:rStyle w:val="None"/>
        </w:rPr>
        <w:t xml:space="preserve">La source a rectifié dans ses allégations </w:t>
      </w:r>
      <w:r w:rsidR="0038418A" w:rsidRPr="00FB6089">
        <w:rPr>
          <w:rStyle w:val="None"/>
        </w:rPr>
        <w:t xml:space="preserve">la date de retour </w:t>
      </w:r>
      <w:r w:rsidR="0038418A">
        <w:rPr>
          <w:rStyle w:val="None"/>
        </w:rPr>
        <w:t>de M.</w:t>
      </w:r>
      <w:r w:rsidR="00AD59D7">
        <w:rPr>
          <w:rStyle w:val="None"/>
        </w:rPr>
        <w:t> </w:t>
      </w:r>
      <w:proofErr w:type="spellStart"/>
      <w:r w:rsidR="0038418A">
        <w:rPr>
          <w:rStyle w:val="None"/>
        </w:rPr>
        <w:t>Bassir</w:t>
      </w:r>
      <w:proofErr w:type="spellEnd"/>
      <w:r w:rsidR="0038418A">
        <w:rPr>
          <w:rStyle w:val="None"/>
        </w:rPr>
        <w:t xml:space="preserve"> au Maroc (6</w:t>
      </w:r>
      <w:r w:rsidR="00AD59D7">
        <w:rPr>
          <w:rStyle w:val="None"/>
        </w:rPr>
        <w:t> </w:t>
      </w:r>
      <w:r w:rsidR="0038418A">
        <w:rPr>
          <w:rStyle w:val="None"/>
        </w:rPr>
        <w:t>juin 2015), s</w:t>
      </w:r>
      <w:r w:rsidR="0038418A" w:rsidRPr="00FB6089">
        <w:rPr>
          <w:rStyle w:val="None"/>
        </w:rPr>
        <w:t>a date d</w:t>
      </w:r>
      <w:r w:rsidR="0038418A">
        <w:rPr>
          <w:rStyle w:val="None"/>
        </w:rPr>
        <w:t>’arrestation (7</w:t>
      </w:r>
      <w:r w:rsidR="00AD59D7">
        <w:rPr>
          <w:rStyle w:val="None"/>
        </w:rPr>
        <w:t> </w:t>
      </w:r>
      <w:r w:rsidR="0038418A">
        <w:rPr>
          <w:rStyle w:val="None"/>
        </w:rPr>
        <w:t>juin 2015), ainsi que sa</w:t>
      </w:r>
      <w:r w:rsidR="0038418A" w:rsidRPr="00FB6089">
        <w:rPr>
          <w:rStyle w:val="None"/>
        </w:rPr>
        <w:t xml:space="preserve"> date de présentation au </w:t>
      </w:r>
      <w:r w:rsidR="0038418A">
        <w:rPr>
          <w:rStyle w:val="None"/>
        </w:rPr>
        <w:t>P</w:t>
      </w:r>
      <w:r w:rsidR="0038418A" w:rsidRPr="00FB6089">
        <w:rPr>
          <w:rStyle w:val="None"/>
        </w:rPr>
        <w:t xml:space="preserve">rocureur </w:t>
      </w:r>
      <w:r w:rsidR="0038418A">
        <w:rPr>
          <w:rStyle w:val="None"/>
        </w:rPr>
        <w:t xml:space="preserve">général </w:t>
      </w:r>
      <w:r w:rsidR="0038418A" w:rsidRPr="00FB6089">
        <w:rPr>
          <w:rStyle w:val="None"/>
        </w:rPr>
        <w:t>du Roi (8</w:t>
      </w:r>
      <w:r w:rsidR="00AD59D7">
        <w:rPr>
          <w:rStyle w:val="None"/>
        </w:rPr>
        <w:t> </w:t>
      </w:r>
      <w:r w:rsidR="0038418A" w:rsidRPr="00FB6089">
        <w:rPr>
          <w:rStyle w:val="None"/>
        </w:rPr>
        <w:t>juin 2015) et au juge d</w:t>
      </w:r>
      <w:r w:rsidR="0038418A">
        <w:rPr>
          <w:rStyle w:val="None"/>
        </w:rPr>
        <w:t>’</w:t>
      </w:r>
      <w:r w:rsidR="0038418A" w:rsidRPr="00FB6089">
        <w:rPr>
          <w:rStyle w:val="None"/>
        </w:rPr>
        <w:t>instruction (29</w:t>
      </w:r>
      <w:r w:rsidR="00AD59D7">
        <w:rPr>
          <w:rStyle w:val="None"/>
        </w:rPr>
        <w:t> </w:t>
      </w:r>
      <w:r w:rsidR="0038418A" w:rsidRPr="00FB6089">
        <w:rPr>
          <w:rStyle w:val="None"/>
        </w:rPr>
        <w:t xml:space="preserve">juin 2015). </w:t>
      </w:r>
      <w:r w:rsidR="0038418A">
        <w:rPr>
          <w:rStyle w:val="None"/>
        </w:rPr>
        <w:t>Cependant,</w:t>
      </w:r>
      <w:r w:rsidR="0038418A" w:rsidRPr="00FB6089">
        <w:rPr>
          <w:rStyle w:val="None"/>
        </w:rPr>
        <w:t xml:space="preserve"> la source affirme que ces correctifs n</w:t>
      </w:r>
      <w:r w:rsidR="0038418A">
        <w:rPr>
          <w:rStyle w:val="None"/>
        </w:rPr>
        <w:t>’</w:t>
      </w:r>
      <w:r w:rsidR="0038418A" w:rsidRPr="00FB6089">
        <w:rPr>
          <w:rStyle w:val="None"/>
        </w:rPr>
        <w:t>affectent en rien la substance de ses arguments sur le caractère arbitraire de la détention</w:t>
      </w:r>
      <w:r w:rsidR="0038418A">
        <w:rPr>
          <w:rStyle w:val="None"/>
        </w:rPr>
        <w:t xml:space="preserve"> de M.</w:t>
      </w:r>
      <w:r w:rsidR="00AD59D7">
        <w:rPr>
          <w:rStyle w:val="None"/>
        </w:rPr>
        <w:t> </w:t>
      </w:r>
      <w:proofErr w:type="spellStart"/>
      <w:r w:rsidR="0038418A">
        <w:rPr>
          <w:rStyle w:val="None"/>
        </w:rPr>
        <w:t>Bassir</w:t>
      </w:r>
      <w:proofErr w:type="spellEnd"/>
      <w:r w:rsidR="0038418A" w:rsidRPr="00FB6089">
        <w:rPr>
          <w:rStyle w:val="None"/>
        </w:rPr>
        <w:t>.</w:t>
      </w:r>
    </w:p>
    <w:p w:rsidR="0038418A" w:rsidRDefault="00F04427" w:rsidP="00166E8C">
      <w:pPr>
        <w:pStyle w:val="SingleTxtG"/>
        <w:tabs>
          <w:tab w:val="right" w:pos="1021"/>
        </w:tabs>
        <w:ind w:left="1135"/>
        <w:rPr>
          <w:rStyle w:val="None"/>
          <w:b/>
          <w:sz w:val="28"/>
        </w:rPr>
      </w:pPr>
      <w:r>
        <w:rPr>
          <w:rStyle w:val="None"/>
        </w:rPr>
        <w:t>41.</w:t>
      </w:r>
      <w:r>
        <w:rPr>
          <w:rStyle w:val="None"/>
        </w:rPr>
        <w:tab/>
      </w:r>
      <w:r w:rsidR="0038418A" w:rsidRPr="00FB6089">
        <w:rPr>
          <w:rStyle w:val="None"/>
        </w:rPr>
        <w:t>La source apporte à l</w:t>
      </w:r>
      <w:r w:rsidR="0038418A">
        <w:rPr>
          <w:rStyle w:val="None"/>
        </w:rPr>
        <w:t>’</w:t>
      </w:r>
      <w:r w:rsidR="0038418A" w:rsidRPr="00FB6089">
        <w:rPr>
          <w:rStyle w:val="None"/>
        </w:rPr>
        <w:t xml:space="preserve">appui de ses affirmations </w:t>
      </w:r>
      <w:r w:rsidR="0038418A">
        <w:rPr>
          <w:rStyle w:val="None"/>
        </w:rPr>
        <w:t xml:space="preserve">la version originale en arabe de </w:t>
      </w:r>
      <w:r w:rsidR="0038418A" w:rsidRPr="00FB6089">
        <w:rPr>
          <w:rStyle w:val="None"/>
        </w:rPr>
        <w:t>l</w:t>
      </w:r>
      <w:r w:rsidR="0038418A">
        <w:rPr>
          <w:rStyle w:val="None"/>
        </w:rPr>
        <w:t>’</w:t>
      </w:r>
      <w:r w:rsidR="0038418A" w:rsidRPr="00FB6089">
        <w:rPr>
          <w:rStyle w:val="None"/>
        </w:rPr>
        <w:t>ordonnance de renvoi du 8</w:t>
      </w:r>
      <w:r w:rsidR="00AD59D7">
        <w:rPr>
          <w:rStyle w:val="None"/>
        </w:rPr>
        <w:t> </w:t>
      </w:r>
      <w:r w:rsidR="0038418A" w:rsidRPr="00FB6089">
        <w:rPr>
          <w:rStyle w:val="None"/>
        </w:rPr>
        <w:t>juillet 2015</w:t>
      </w:r>
      <w:r w:rsidR="0038418A">
        <w:rPr>
          <w:rStyle w:val="None"/>
        </w:rPr>
        <w:t>,</w:t>
      </w:r>
      <w:r w:rsidR="0038418A" w:rsidRPr="00FB6089">
        <w:rPr>
          <w:rStyle w:val="None"/>
        </w:rPr>
        <w:t xml:space="preserve"> qui résume l</w:t>
      </w:r>
      <w:r w:rsidR="0038418A">
        <w:rPr>
          <w:rStyle w:val="None"/>
        </w:rPr>
        <w:t>’</w:t>
      </w:r>
      <w:r w:rsidR="0038418A" w:rsidRPr="00FB6089">
        <w:rPr>
          <w:rStyle w:val="None"/>
        </w:rPr>
        <w:t>intégralité de la procédure d</w:t>
      </w:r>
      <w:r w:rsidR="0038418A">
        <w:rPr>
          <w:rStyle w:val="None"/>
        </w:rPr>
        <w:t>’</w:t>
      </w:r>
      <w:r w:rsidR="0038418A" w:rsidRPr="00FB6089">
        <w:rPr>
          <w:rStyle w:val="None"/>
        </w:rPr>
        <w:t>enquête, et en particulier l</w:t>
      </w:r>
      <w:r w:rsidR="0038418A">
        <w:rPr>
          <w:rStyle w:val="None"/>
        </w:rPr>
        <w:t>’</w:t>
      </w:r>
      <w:r w:rsidR="0038418A" w:rsidRPr="00FB6089">
        <w:rPr>
          <w:rStyle w:val="None"/>
        </w:rPr>
        <w:t>enquête de police préliminaire</w:t>
      </w:r>
      <w:r w:rsidR="0038418A">
        <w:rPr>
          <w:rStyle w:val="None"/>
        </w:rPr>
        <w:t>,</w:t>
      </w:r>
      <w:r w:rsidR="0038418A" w:rsidRPr="00FB6089">
        <w:rPr>
          <w:rStyle w:val="None"/>
        </w:rPr>
        <w:t xml:space="preserve"> avec pour </w:t>
      </w:r>
      <w:r w:rsidR="0038418A">
        <w:rPr>
          <w:rStyle w:val="None"/>
        </w:rPr>
        <w:t>seule preuve à charge le procès-</w:t>
      </w:r>
      <w:r w:rsidR="0038418A" w:rsidRPr="00FB6089">
        <w:rPr>
          <w:rStyle w:val="None"/>
        </w:rPr>
        <w:t xml:space="preserve">verbal de police. Cette ordonnance </w:t>
      </w:r>
      <w:r w:rsidR="0038418A" w:rsidRPr="0051073E">
        <w:rPr>
          <w:rStyle w:val="None"/>
        </w:rPr>
        <w:t>contiendrait</w:t>
      </w:r>
      <w:r w:rsidR="0038418A" w:rsidRPr="00FB6089">
        <w:rPr>
          <w:rStyle w:val="None"/>
        </w:rPr>
        <w:t xml:space="preserve"> aussi l</w:t>
      </w:r>
      <w:r w:rsidR="0038418A">
        <w:rPr>
          <w:rStyle w:val="None"/>
        </w:rPr>
        <w:t>’</w:t>
      </w:r>
      <w:r w:rsidR="0038418A" w:rsidRPr="00FB6089">
        <w:rPr>
          <w:rStyle w:val="None"/>
        </w:rPr>
        <w:t>affirmation par l</w:t>
      </w:r>
      <w:r w:rsidR="0038418A">
        <w:rPr>
          <w:rStyle w:val="None"/>
        </w:rPr>
        <w:t>’</w:t>
      </w:r>
      <w:r w:rsidR="0038418A" w:rsidRPr="00FB6089">
        <w:rPr>
          <w:rStyle w:val="None"/>
        </w:rPr>
        <w:t>accusé qu</w:t>
      </w:r>
      <w:r w:rsidR="0038418A">
        <w:rPr>
          <w:rStyle w:val="None"/>
        </w:rPr>
        <w:t>’</w:t>
      </w:r>
      <w:r w:rsidR="0038418A" w:rsidRPr="00FB6089">
        <w:rPr>
          <w:rStyle w:val="None"/>
        </w:rPr>
        <w:t>il a été forcé de signer les confessions sans avoir pri</w:t>
      </w:r>
      <w:r w:rsidR="0038418A">
        <w:rPr>
          <w:rStyle w:val="None"/>
        </w:rPr>
        <w:t>s connaissance de leur contenu.</w:t>
      </w:r>
    </w:p>
    <w:p w:rsidR="0038418A" w:rsidRDefault="00F04427" w:rsidP="00166E8C">
      <w:pPr>
        <w:pStyle w:val="SingleTxtG"/>
        <w:tabs>
          <w:tab w:val="right" w:pos="1021"/>
        </w:tabs>
        <w:ind w:left="1135"/>
        <w:rPr>
          <w:lang w:val="fr-FR"/>
        </w:rPr>
      </w:pPr>
      <w:r>
        <w:rPr>
          <w:rStyle w:val="None"/>
        </w:rPr>
        <w:t>42.</w:t>
      </w:r>
      <w:r>
        <w:rPr>
          <w:rStyle w:val="None"/>
        </w:rPr>
        <w:tab/>
      </w:r>
      <w:r w:rsidR="0038418A" w:rsidRPr="00FB6089">
        <w:rPr>
          <w:rStyle w:val="None"/>
        </w:rPr>
        <w:t>De plus, la même ordonnance de ren</w:t>
      </w:r>
      <w:r w:rsidR="0038418A">
        <w:rPr>
          <w:rStyle w:val="None"/>
        </w:rPr>
        <w:t>voi ne ferait aucune mention de</w:t>
      </w:r>
      <w:r w:rsidR="0038418A" w:rsidRPr="00FB6089">
        <w:rPr>
          <w:rStyle w:val="None"/>
        </w:rPr>
        <w:t xml:space="preserve"> </w:t>
      </w:r>
      <w:r w:rsidR="0038418A">
        <w:rPr>
          <w:rStyle w:val="None"/>
        </w:rPr>
        <w:t>l’</w:t>
      </w:r>
      <w:r w:rsidR="0038418A" w:rsidRPr="00FB6089">
        <w:rPr>
          <w:rStyle w:val="None"/>
        </w:rPr>
        <w:t>audi</w:t>
      </w:r>
      <w:r w:rsidR="0038418A">
        <w:rPr>
          <w:rStyle w:val="None"/>
        </w:rPr>
        <w:t>tion des deux complices mentionnée par le</w:t>
      </w:r>
      <w:r w:rsidR="0038418A" w:rsidRPr="00FB6089">
        <w:rPr>
          <w:rStyle w:val="None"/>
        </w:rPr>
        <w:t xml:space="preserve"> Gouvernement</w:t>
      </w:r>
      <w:r w:rsidR="0038418A">
        <w:rPr>
          <w:rStyle w:val="None"/>
        </w:rPr>
        <w:t>. La source affirme</w:t>
      </w:r>
      <w:r w:rsidR="0038418A" w:rsidRPr="00FB6089">
        <w:rPr>
          <w:rStyle w:val="None"/>
        </w:rPr>
        <w:t xml:space="preserve"> par ailleurs que </w:t>
      </w:r>
      <w:r w:rsidR="0038418A" w:rsidRPr="00FB6089">
        <w:rPr>
          <w:rStyle w:val="None"/>
        </w:rPr>
        <w:lastRenderedPageBreak/>
        <w:t>l</w:t>
      </w:r>
      <w:r w:rsidR="0038418A">
        <w:rPr>
          <w:rStyle w:val="None"/>
        </w:rPr>
        <w:t>’</w:t>
      </w:r>
      <w:r w:rsidR="0038418A" w:rsidRPr="00FB6089">
        <w:rPr>
          <w:rStyle w:val="None"/>
        </w:rPr>
        <w:t>accusé n</w:t>
      </w:r>
      <w:r w:rsidR="0038418A">
        <w:rPr>
          <w:rStyle w:val="None"/>
        </w:rPr>
        <w:t>’</w:t>
      </w:r>
      <w:r w:rsidR="0038418A" w:rsidRPr="00FB6089">
        <w:rPr>
          <w:rStyle w:val="None"/>
        </w:rPr>
        <w:t xml:space="preserve">a pas pu se confronter </w:t>
      </w:r>
      <w:r w:rsidR="0038418A">
        <w:rPr>
          <w:rStyle w:val="None"/>
        </w:rPr>
        <w:t>à</w:t>
      </w:r>
      <w:r w:rsidR="0038418A" w:rsidRPr="00FB6089">
        <w:rPr>
          <w:rStyle w:val="None"/>
        </w:rPr>
        <w:t xml:space="preserve"> eux durant son procès. </w:t>
      </w:r>
      <w:r w:rsidR="0038418A">
        <w:rPr>
          <w:rStyle w:val="None"/>
        </w:rPr>
        <w:t>Elle</w:t>
      </w:r>
      <w:r w:rsidR="0038418A" w:rsidRPr="00FB6089">
        <w:rPr>
          <w:rStyle w:val="None"/>
        </w:rPr>
        <w:t xml:space="preserve"> affirme </w:t>
      </w:r>
      <w:r w:rsidR="0038418A">
        <w:rPr>
          <w:rStyle w:val="None"/>
        </w:rPr>
        <w:t xml:space="preserve">également </w:t>
      </w:r>
      <w:r w:rsidR="0038418A" w:rsidRPr="00FB6089">
        <w:rPr>
          <w:rStyle w:val="None"/>
        </w:rPr>
        <w:t>qu</w:t>
      </w:r>
      <w:r w:rsidR="0038418A">
        <w:rPr>
          <w:rStyle w:val="None"/>
        </w:rPr>
        <w:t>’</w:t>
      </w:r>
      <w:r w:rsidR="0038418A" w:rsidRPr="00FB6089">
        <w:rPr>
          <w:rStyle w:val="None"/>
        </w:rPr>
        <w:t>il n</w:t>
      </w:r>
      <w:r w:rsidR="0038418A">
        <w:rPr>
          <w:rStyle w:val="None"/>
        </w:rPr>
        <w:t>’</w:t>
      </w:r>
      <w:r w:rsidR="0038418A" w:rsidRPr="00FB6089">
        <w:rPr>
          <w:rStyle w:val="None"/>
        </w:rPr>
        <w:t>est nulle part établi que ces deux soi-disant complices soient les coaccusés de la victime comme le Gouvernement l</w:t>
      </w:r>
      <w:r w:rsidR="0038418A">
        <w:rPr>
          <w:rStyle w:val="None"/>
        </w:rPr>
        <w:t>’affirme</w:t>
      </w:r>
      <w:r w:rsidR="0038418A" w:rsidRPr="00FB6089">
        <w:rPr>
          <w:rStyle w:val="None"/>
        </w:rPr>
        <w:t xml:space="preserve">. </w:t>
      </w:r>
      <w:r w:rsidR="0038418A">
        <w:rPr>
          <w:rStyle w:val="None"/>
        </w:rPr>
        <w:t>L</w:t>
      </w:r>
      <w:r w:rsidR="0038418A" w:rsidRPr="00FB6089">
        <w:rPr>
          <w:rStyle w:val="None"/>
        </w:rPr>
        <w:t xml:space="preserve">a source souligne </w:t>
      </w:r>
      <w:r w:rsidR="0038418A">
        <w:rPr>
          <w:rStyle w:val="None"/>
        </w:rPr>
        <w:t xml:space="preserve">également </w:t>
      </w:r>
      <w:r w:rsidR="0038418A" w:rsidRPr="00FB6089">
        <w:rPr>
          <w:rStyle w:val="None"/>
        </w:rPr>
        <w:t>qu</w:t>
      </w:r>
      <w:r w:rsidR="0038418A">
        <w:rPr>
          <w:rStyle w:val="None"/>
        </w:rPr>
        <w:t>’en dépit des demandes de la défense, aucun des témoins</w:t>
      </w:r>
      <w:r w:rsidR="0038418A" w:rsidRPr="00FB6089">
        <w:rPr>
          <w:rStyle w:val="None"/>
        </w:rPr>
        <w:t xml:space="preserve"> qui auraient prétendument affirmé</w:t>
      </w:r>
      <w:r w:rsidR="0038418A">
        <w:rPr>
          <w:rStyle w:val="None"/>
        </w:rPr>
        <w:t>,</w:t>
      </w:r>
      <w:r w:rsidR="0038418A" w:rsidRPr="00FB6089">
        <w:rPr>
          <w:rStyle w:val="None"/>
        </w:rPr>
        <w:t xml:space="preserve"> selon le procès-verbal de police</w:t>
      </w:r>
      <w:r w:rsidR="0038418A">
        <w:rPr>
          <w:rStyle w:val="None"/>
        </w:rPr>
        <w:t>,</w:t>
      </w:r>
      <w:r w:rsidR="0038418A" w:rsidRPr="00FB6089">
        <w:rPr>
          <w:rStyle w:val="None"/>
        </w:rPr>
        <w:t xml:space="preserve"> la participation de M.</w:t>
      </w:r>
      <w:r w:rsidR="00AD59D7">
        <w:rPr>
          <w:rStyle w:val="None"/>
        </w:rPr>
        <w:t> </w:t>
      </w:r>
      <w:proofErr w:type="spellStart"/>
      <w:r w:rsidR="0038418A" w:rsidRPr="00FB6089">
        <w:rPr>
          <w:rStyle w:val="None"/>
        </w:rPr>
        <w:t>Bassir</w:t>
      </w:r>
      <w:proofErr w:type="spellEnd"/>
      <w:r w:rsidR="0038418A" w:rsidRPr="00FB6089">
        <w:rPr>
          <w:rStyle w:val="None"/>
        </w:rPr>
        <w:t xml:space="preserve"> à des actes de violence n</w:t>
      </w:r>
      <w:r w:rsidR="0038418A">
        <w:rPr>
          <w:rStyle w:val="None"/>
        </w:rPr>
        <w:t>’</w:t>
      </w:r>
      <w:r w:rsidR="0038418A" w:rsidRPr="00FB6089">
        <w:rPr>
          <w:rStyle w:val="None"/>
        </w:rPr>
        <w:t>a été cité à comparaître devant les juridictions de jugement, en violation du droit de questionner les témoins de l</w:t>
      </w:r>
      <w:r w:rsidR="0038418A">
        <w:rPr>
          <w:rStyle w:val="None"/>
        </w:rPr>
        <w:t>’</w:t>
      </w:r>
      <w:r w:rsidR="0038418A" w:rsidRPr="00FB6089">
        <w:rPr>
          <w:rStyle w:val="None"/>
        </w:rPr>
        <w:t>accusation.</w:t>
      </w:r>
      <w:r w:rsidR="0038418A">
        <w:rPr>
          <w:rStyle w:val="None"/>
        </w:rPr>
        <w:t xml:space="preserve"> Enfin, la source précise que M.</w:t>
      </w:r>
      <w:r w:rsidR="00AD59D7">
        <w:rPr>
          <w:rStyle w:val="None"/>
        </w:rPr>
        <w:t> </w:t>
      </w:r>
      <w:proofErr w:type="spellStart"/>
      <w:r w:rsidR="0038418A">
        <w:rPr>
          <w:rStyle w:val="None"/>
        </w:rPr>
        <w:t>Bassir</w:t>
      </w:r>
      <w:proofErr w:type="spellEnd"/>
      <w:r w:rsidR="0038418A">
        <w:rPr>
          <w:rStyle w:val="None"/>
        </w:rPr>
        <w:t xml:space="preserve"> n’a jamais nié s’être rendu dans les camps de Tindouf en Algérie mais qu’il a franchi le point de contrôle muni d’un passeport régulièrement délivré par les autorités algériennes aux réfugiés sahraouis. Dès lors, ce document ne saurait être considéré comme un faux. </w:t>
      </w:r>
    </w:p>
    <w:p w:rsidR="0038418A" w:rsidRDefault="0038418A" w:rsidP="0038418A">
      <w:pPr>
        <w:pStyle w:val="H23G"/>
        <w:rPr>
          <w:lang w:val="fr-FR"/>
        </w:rPr>
      </w:pPr>
      <w:r>
        <w:rPr>
          <w:lang w:val="fr-FR"/>
        </w:rPr>
        <w:tab/>
      </w:r>
      <w:r w:rsidRPr="00A35936">
        <w:rPr>
          <w:lang w:val="fr-FR"/>
        </w:rPr>
        <w:tab/>
        <w:t>Examen</w:t>
      </w:r>
    </w:p>
    <w:p w:rsidR="0038418A" w:rsidRPr="00FB6089" w:rsidRDefault="00F04427" w:rsidP="00166E8C">
      <w:pPr>
        <w:pStyle w:val="SingleTxtG"/>
        <w:tabs>
          <w:tab w:val="right" w:pos="1021"/>
        </w:tabs>
        <w:ind w:left="1135"/>
        <w:rPr>
          <w:rStyle w:val="None"/>
          <w:b/>
          <w:sz w:val="28"/>
        </w:rPr>
      </w:pPr>
      <w:r>
        <w:rPr>
          <w:rStyle w:val="None"/>
        </w:rPr>
        <w:t>43.</w:t>
      </w:r>
      <w:r>
        <w:rPr>
          <w:rStyle w:val="None"/>
        </w:rPr>
        <w:tab/>
      </w:r>
      <w:r w:rsidR="0038418A" w:rsidRPr="00FB6089">
        <w:rPr>
          <w:rStyle w:val="None"/>
        </w:rPr>
        <w:t xml:space="preserve">Le Groupe de </w:t>
      </w:r>
      <w:r w:rsidR="0038418A">
        <w:rPr>
          <w:rStyle w:val="None"/>
        </w:rPr>
        <w:t>t</w:t>
      </w:r>
      <w:r w:rsidR="0038418A" w:rsidRPr="00FB6089">
        <w:rPr>
          <w:rStyle w:val="None"/>
        </w:rPr>
        <w:t xml:space="preserve">ravail se félicite de la coopération du Maroc </w:t>
      </w:r>
      <w:r w:rsidR="0038418A">
        <w:rPr>
          <w:rStyle w:val="None"/>
        </w:rPr>
        <w:t xml:space="preserve">dans la présente affaire. </w:t>
      </w:r>
      <w:r w:rsidR="0038418A" w:rsidRPr="00FB6089">
        <w:rPr>
          <w:rStyle w:val="None"/>
        </w:rPr>
        <w:t>Toutefois, il regrette que</w:t>
      </w:r>
      <w:r w:rsidR="0038418A">
        <w:rPr>
          <w:rStyle w:val="None"/>
        </w:rPr>
        <w:t xml:space="preserve"> le Gouvernement ait réfuté</w:t>
      </w:r>
      <w:r w:rsidR="0038418A" w:rsidRPr="00FB6089">
        <w:rPr>
          <w:rStyle w:val="None"/>
        </w:rPr>
        <w:t xml:space="preserve"> les allégations </w:t>
      </w:r>
      <w:r w:rsidR="0038418A">
        <w:rPr>
          <w:rStyle w:val="None"/>
        </w:rPr>
        <w:t xml:space="preserve">de la source </w:t>
      </w:r>
      <w:r w:rsidR="0038418A" w:rsidRPr="00FB6089">
        <w:rPr>
          <w:rStyle w:val="None"/>
        </w:rPr>
        <w:t>sans apporter d</w:t>
      </w:r>
      <w:r w:rsidR="0038418A">
        <w:rPr>
          <w:rStyle w:val="None"/>
        </w:rPr>
        <w:t>’</w:t>
      </w:r>
      <w:r w:rsidR="0038418A" w:rsidRPr="00FB6089">
        <w:rPr>
          <w:rStyle w:val="None"/>
        </w:rPr>
        <w:t>éléments de preuve pour étayer une telle réfutation</w:t>
      </w:r>
      <w:r w:rsidR="0038418A" w:rsidRPr="00FB6089">
        <w:rPr>
          <w:rStyle w:val="FootnoteReference"/>
        </w:rPr>
        <w:footnoteReference w:id="2"/>
      </w:r>
      <w:r w:rsidR="0038418A">
        <w:rPr>
          <w:rStyle w:val="None"/>
        </w:rPr>
        <w:t>.</w:t>
      </w:r>
      <w:r w:rsidR="0038418A" w:rsidRPr="00FB6089">
        <w:rPr>
          <w:rStyle w:val="None"/>
        </w:rPr>
        <w:t xml:space="preserve"> </w:t>
      </w:r>
      <w:r w:rsidR="0038418A">
        <w:rPr>
          <w:rStyle w:val="None"/>
        </w:rPr>
        <w:t>La production</w:t>
      </w:r>
      <w:r w:rsidR="0038418A" w:rsidRPr="00FB6089">
        <w:rPr>
          <w:rStyle w:val="None"/>
        </w:rPr>
        <w:t xml:space="preserve"> </w:t>
      </w:r>
      <w:r w:rsidR="0038418A">
        <w:rPr>
          <w:rStyle w:val="None"/>
        </w:rPr>
        <w:t>d’éléments de preuve aurait été particulièrement importante</w:t>
      </w:r>
      <w:r w:rsidR="0038418A" w:rsidRPr="00FB6089">
        <w:rPr>
          <w:rStyle w:val="None"/>
        </w:rPr>
        <w:t xml:space="preserve"> dans l</w:t>
      </w:r>
      <w:r w:rsidR="0038418A">
        <w:rPr>
          <w:rStyle w:val="None"/>
        </w:rPr>
        <w:t>’examen de la</w:t>
      </w:r>
      <w:r w:rsidR="0038418A" w:rsidRPr="00FB6089">
        <w:rPr>
          <w:rStyle w:val="None"/>
        </w:rPr>
        <w:t xml:space="preserve"> situation </w:t>
      </w:r>
      <w:r w:rsidR="0038418A">
        <w:rPr>
          <w:rStyle w:val="None"/>
        </w:rPr>
        <w:t>de M.</w:t>
      </w:r>
      <w:r w:rsidR="00AD59D7">
        <w:rPr>
          <w:rStyle w:val="None"/>
        </w:rPr>
        <w:t> </w:t>
      </w:r>
      <w:proofErr w:type="spellStart"/>
      <w:r w:rsidR="0038418A">
        <w:rPr>
          <w:rStyle w:val="None"/>
        </w:rPr>
        <w:t>Bassir</w:t>
      </w:r>
      <w:proofErr w:type="spellEnd"/>
      <w:r w:rsidR="0038418A">
        <w:rPr>
          <w:rStyle w:val="None"/>
        </w:rPr>
        <w:t xml:space="preserve"> étant donné que celle-ci</w:t>
      </w:r>
      <w:r w:rsidR="0038418A" w:rsidRPr="00FB6089">
        <w:rPr>
          <w:rStyle w:val="None"/>
        </w:rPr>
        <w:t xml:space="preserve"> s</w:t>
      </w:r>
      <w:r w:rsidR="0038418A">
        <w:rPr>
          <w:rStyle w:val="None"/>
        </w:rPr>
        <w:t>’</w:t>
      </w:r>
      <w:r w:rsidR="0038418A" w:rsidRPr="00FB6089">
        <w:rPr>
          <w:rStyle w:val="None"/>
        </w:rPr>
        <w:t xml:space="preserve">inscrit dans </w:t>
      </w:r>
      <w:r w:rsidR="0038418A">
        <w:rPr>
          <w:rStyle w:val="None"/>
        </w:rPr>
        <w:t xml:space="preserve">le prolongement des tendances observées par </w:t>
      </w:r>
      <w:r w:rsidR="0038418A" w:rsidRPr="00FB6089">
        <w:rPr>
          <w:rStyle w:val="None"/>
        </w:rPr>
        <w:t>le Groupe de travail</w:t>
      </w:r>
      <w:r w:rsidR="0038418A">
        <w:rPr>
          <w:rStyle w:val="None"/>
        </w:rPr>
        <w:t xml:space="preserve"> dans le cadre de sa visite au Maroc du 9 au 18</w:t>
      </w:r>
      <w:r w:rsidR="00AD59D7">
        <w:rPr>
          <w:rStyle w:val="None"/>
        </w:rPr>
        <w:t> </w:t>
      </w:r>
      <w:r w:rsidR="0038418A" w:rsidRPr="00FB6089">
        <w:rPr>
          <w:rStyle w:val="None"/>
        </w:rPr>
        <w:t>décembre 2013 (</w:t>
      </w:r>
      <w:r w:rsidR="0038418A">
        <w:rPr>
          <w:rStyle w:val="None"/>
        </w:rPr>
        <w:t xml:space="preserve">voir </w:t>
      </w:r>
      <w:r w:rsidR="0038418A" w:rsidRPr="00FB6089">
        <w:rPr>
          <w:rStyle w:val="None"/>
        </w:rPr>
        <w:t>A/HRC/27/48/Add.5</w:t>
      </w:r>
      <w:r w:rsidR="0038418A">
        <w:rPr>
          <w:rStyle w:val="None"/>
        </w:rPr>
        <w:t>, par.</w:t>
      </w:r>
      <w:r w:rsidR="00AD59D7">
        <w:rPr>
          <w:rStyle w:val="None"/>
        </w:rPr>
        <w:t> </w:t>
      </w:r>
      <w:r w:rsidR="0038418A">
        <w:rPr>
          <w:rStyle w:val="None"/>
        </w:rPr>
        <w:t>62 à 71</w:t>
      </w:r>
      <w:r w:rsidR="0038418A" w:rsidRPr="00FB6089">
        <w:rPr>
          <w:rStyle w:val="None"/>
        </w:rPr>
        <w:t>).</w:t>
      </w:r>
    </w:p>
    <w:p w:rsidR="0038418A" w:rsidRPr="001D5A7C" w:rsidRDefault="00F04427" w:rsidP="00166E8C">
      <w:pPr>
        <w:pStyle w:val="SingleTxtG"/>
        <w:tabs>
          <w:tab w:val="right" w:pos="1021"/>
        </w:tabs>
        <w:ind w:left="1135"/>
        <w:rPr>
          <w:iCs/>
        </w:rPr>
      </w:pPr>
      <w:r>
        <w:rPr>
          <w:rStyle w:val="None"/>
        </w:rPr>
        <w:t>44.</w:t>
      </w:r>
      <w:r>
        <w:rPr>
          <w:rStyle w:val="None"/>
        </w:rPr>
        <w:tab/>
      </w:r>
      <w:r w:rsidR="0038418A">
        <w:rPr>
          <w:rStyle w:val="None"/>
        </w:rPr>
        <w:t xml:space="preserve">Dans son rapport de mission, le Groupe de travail avait examiné la situation à </w:t>
      </w:r>
      <w:proofErr w:type="spellStart"/>
      <w:r w:rsidR="0038418A">
        <w:rPr>
          <w:iCs/>
          <w:lang w:val="fr-FR"/>
        </w:rPr>
        <w:t>Laâyoune</w:t>
      </w:r>
      <w:proofErr w:type="spellEnd"/>
      <w:r w:rsidR="0038418A">
        <w:rPr>
          <w:iCs/>
          <w:lang w:val="fr-FR"/>
        </w:rPr>
        <w:t>, au Sahara occidental, et</w:t>
      </w:r>
      <w:r w:rsidR="0038418A" w:rsidRPr="00A62DC4">
        <w:rPr>
          <w:iCs/>
          <w:lang w:val="fr-FR"/>
        </w:rPr>
        <w:t xml:space="preserve"> « constaté que la torture et les mauvais traitements étaient pratiqués pour arracher des aveux et que les agents de la force publique faisaient un usage excessif de la force à l</w:t>
      </w:r>
      <w:r w:rsidR="0038418A">
        <w:rPr>
          <w:iCs/>
          <w:lang w:val="fr-FR"/>
        </w:rPr>
        <w:t>’</w:t>
      </w:r>
      <w:r w:rsidR="0038418A" w:rsidRPr="00A62DC4">
        <w:rPr>
          <w:iCs/>
          <w:lang w:val="fr-FR"/>
        </w:rPr>
        <w:t>égard des manifestants » (par.</w:t>
      </w:r>
      <w:r w:rsidR="00AD59D7">
        <w:rPr>
          <w:iCs/>
          <w:lang w:val="fr-FR"/>
        </w:rPr>
        <w:t> </w:t>
      </w:r>
      <w:r w:rsidR="0038418A" w:rsidRPr="00A62DC4">
        <w:rPr>
          <w:iCs/>
          <w:lang w:val="fr-FR"/>
        </w:rPr>
        <w:t>63)</w:t>
      </w:r>
      <w:r w:rsidR="0038418A">
        <w:rPr>
          <w:iCs/>
          <w:lang w:val="fr-FR"/>
        </w:rPr>
        <w:t>. Il</w:t>
      </w:r>
      <w:r w:rsidR="0038418A" w:rsidRPr="00A62DC4">
        <w:rPr>
          <w:iCs/>
          <w:lang w:val="fr-FR"/>
        </w:rPr>
        <w:t xml:space="preserve"> a</w:t>
      </w:r>
      <w:r w:rsidR="0038418A">
        <w:rPr>
          <w:iCs/>
          <w:lang w:val="fr-FR"/>
        </w:rPr>
        <w:t>vait</w:t>
      </w:r>
      <w:r w:rsidR="0038418A" w:rsidRPr="00A62DC4">
        <w:rPr>
          <w:iCs/>
          <w:lang w:val="fr-FR"/>
        </w:rPr>
        <w:t xml:space="preserve"> également « </w:t>
      </w:r>
      <w:r w:rsidR="0038418A" w:rsidRPr="00A62DC4">
        <w:rPr>
          <w:iCs/>
        </w:rPr>
        <w:t>reçu de nombreuses plaintes faisant état d</w:t>
      </w:r>
      <w:r w:rsidR="0038418A">
        <w:rPr>
          <w:iCs/>
        </w:rPr>
        <w:t>’</w:t>
      </w:r>
      <w:r w:rsidR="0038418A" w:rsidRPr="00A62DC4">
        <w:rPr>
          <w:iCs/>
        </w:rPr>
        <w:t>un usage excessif systématique de la force pour réprimer les manifestations et arrêter les manifestants ou les personnes soupçonnées de participer à des manifestations en faveur de l</w:t>
      </w:r>
      <w:r w:rsidR="0038418A">
        <w:rPr>
          <w:iCs/>
        </w:rPr>
        <w:t>’</w:t>
      </w:r>
      <w:r w:rsidR="0038418A" w:rsidRPr="00A62DC4">
        <w:rPr>
          <w:iCs/>
        </w:rPr>
        <w:t xml:space="preserve">autodétermination de la population sahraouie » </w:t>
      </w:r>
      <w:r w:rsidR="0038418A" w:rsidRPr="00A62DC4">
        <w:rPr>
          <w:iCs/>
          <w:lang w:val="fr-FR"/>
        </w:rPr>
        <w:t>(par.</w:t>
      </w:r>
      <w:r w:rsidR="00AD59D7">
        <w:rPr>
          <w:iCs/>
          <w:lang w:val="fr-FR"/>
        </w:rPr>
        <w:t> </w:t>
      </w:r>
      <w:r w:rsidR="0038418A" w:rsidRPr="00A62DC4">
        <w:rPr>
          <w:iCs/>
          <w:lang w:val="fr-FR"/>
        </w:rPr>
        <w:t>64).</w:t>
      </w:r>
      <w:r w:rsidR="0038418A">
        <w:rPr>
          <w:iCs/>
          <w:lang w:val="fr-FR"/>
        </w:rPr>
        <w:t xml:space="preserve"> </w:t>
      </w:r>
    </w:p>
    <w:p w:rsidR="0038418A" w:rsidRPr="008D6E72" w:rsidRDefault="00F04427" w:rsidP="00166E8C">
      <w:pPr>
        <w:pStyle w:val="SingleTxtG"/>
        <w:tabs>
          <w:tab w:val="right" w:pos="1021"/>
        </w:tabs>
        <w:ind w:left="1135"/>
        <w:rPr>
          <w:lang w:val="fr-FR"/>
        </w:rPr>
      </w:pPr>
      <w:r>
        <w:rPr>
          <w:rStyle w:val="None"/>
        </w:rPr>
        <w:t>45.</w:t>
      </w:r>
      <w:r>
        <w:rPr>
          <w:rStyle w:val="None"/>
        </w:rPr>
        <w:tab/>
      </w:r>
      <w:r w:rsidR="0038418A">
        <w:rPr>
          <w:rStyle w:val="None"/>
        </w:rPr>
        <w:t xml:space="preserve">Le Groupe de travail note que, </w:t>
      </w:r>
      <w:r w:rsidR="0038418A" w:rsidRPr="0051073E">
        <w:rPr>
          <w:rStyle w:val="None"/>
        </w:rPr>
        <w:t xml:space="preserve">à </w:t>
      </w:r>
      <w:r w:rsidR="0038418A">
        <w:rPr>
          <w:rStyle w:val="None"/>
        </w:rPr>
        <w:t>la lumière de la réponse du Gouvernement aux allégations de</w:t>
      </w:r>
      <w:r w:rsidR="0038418A" w:rsidRPr="0051073E">
        <w:rPr>
          <w:rStyle w:val="None"/>
        </w:rPr>
        <w:t xml:space="preserve"> la source</w:t>
      </w:r>
      <w:r w:rsidR="0038418A">
        <w:rPr>
          <w:rStyle w:val="None"/>
        </w:rPr>
        <w:t>, celle-ci</w:t>
      </w:r>
      <w:r w:rsidR="0038418A" w:rsidRPr="0051073E">
        <w:rPr>
          <w:rStyle w:val="None"/>
        </w:rPr>
        <w:t xml:space="preserve"> a soumis des observations supplémentaires </w:t>
      </w:r>
      <w:r w:rsidR="0038418A">
        <w:rPr>
          <w:rStyle w:val="None"/>
        </w:rPr>
        <w:t xml:space="preserve">et </w:t>
      </w:r>
      <w:r w:rsidR="0038418A" w:rsidRPr="0051073E">
        <w:rPr>
          <w:rStyle w:val="None"/>
        </w:rPr>
        <w:t>effectu</w:t>
      </w:r>
      <w:r w:rsidR="0038418A">
        <w:rPr>
          <w:rStyle w:val="None"/>
        </w:rPr>
        <w:t>é quelques rectifications</w:t>
      </w:r>
      <w:r w:rsidR="0038418A" w:rsidRPr="0051073E">
        <w:rPr>
          <w:rStyle w:val="None"/>
        </w:rPr>
        <w:t xml:space="preserve"> de dates</w:t>
      </w:r>
      <w:r w:rsidR="0038418A">
        <w:rPr>
          <w:rStyle w:val="None"/>
        </w:rPr>
        <w:t>. Cependant, l</w:t>
      </w:r>
      <w:r w:rsidR="0038418A" w:rsidRPr="00FB6089">
        <w:rPr>
          <w:rStyle w:val="None"/>
        </w:rPr>
        <w:t>e fond de l</w:t>
      </w:r>
      <w:r w:rsidR="0038418A">
        <w:rPr>
          <w:rStyle w:val="None"/>
        </w:rPr>
        <w:t>’</w:t>
      </w:r>
      <w:r w:rsidR="0038418A" w:rsidRPr="00FB6089">
        <w:rPr>
          <w:rStyle w:val="None"/>
        </w:rPr>
        <w:t xml:space="preserve">affaire </w:t>
      </w:r>
      <w:r w:rsidR="0038418A">
        <w:rPr>
          <w:rStyle w:val="None"/>
        </w:rPr>
        <w:t xml:space="preserve">n’est pas affecté par ces rectifications. En l’espèce, </w:t>
      </w:r>
      <w:r w:rsidR="0038418A" w:rsidRPr="008D6E72">
        <w:rPr>
          <w:lang w:val="fr-FR"/>
        </w:rPr>
        <w:t>M. </w:t>
      </w:r>
      <w:proofErr w:type="spellStart"/>
      <w:r w:rsidR="0038418A" w:rsidRPr="008D6E72">
        <w:rPr>
          <w:lang w:val="fr-FR"/>
        </w:rPr>
        <w:t>Bassir</w:t>
      </w:r>
      <w:proofErr w:type="spellEnd"/>
      <w:r w:rsidR="0038418A" w:rsidRPr="008D6E72">
        <w:rPr>
          <w:lang w:val="fr-FR"/>
        </w:rPr>
        <w:t xml:space="preserve"> a été arrêté et détenu suite à une condamnation pour des crimes dont il conteste la réalité en raison d’allégations de torture, avec à l’appui des violations alléguées de son droit à un procès équitable.</w:t>
      </w:r>
    </w:p>
    <w:p w:rsidR="0038418A" w:rsidRPr="00FB6089" w:rsidRDefault="00F04427" w:rsidP="00166E8C">
      <w:pPr>
        <w:pStyle w:val="SingleTxtG"/>
        <w:tabs>
          <w:tab w:val="right" w:pos="1021"/>
        </w:tabs>
        <w:ind w:left="1135"/>
        <w:rPr>
          <w:rStyle w:val="None"/>
        </w:rPr>
      </w:pPr>
      <w:r>
        <w:rPr>
          <w:rStyle w:val="None"/>
        </w:rPr>
        <w:t>46.</w:t>
      </w:r>
      <w:r>
        <w:rPr>
          <w:rStyle w:val="None"/>
        </w:rPr>
        <w:tab/>
      </w:r>
      <w:r w:rsidR="0038418A">
        <w:rPr>
          <w:rStyle w:val="None"/>
        </w:rPr>
        <w:t>L</w:t>
      </w:r>
      <w:r w:rsidR="0038418A" w:rsidRPr="00FB6089">
        <w:rPr>
          <w:rStyle w:val="None"/>
        </w:rPr>
        <w:t>a source affirme qu</w:t>
      </w:r>
      <w:r w:rsidR="0038418A">
        <w:rPr>
          <w:rStyle w:val="None"/>
        </w:rPr>
        <w:t>’</w:t>
      </w:r>
      <w:r w:rsidR="0038418A" w:rsidRPr="00FB6089">
        <w:rPr>
          <w:rStyle w:val="None"/>
        </w:rPr>
        <w:t xml:space="preserve">une fois </w:t>
      </w:r>
      <w:proofErr w:type="gramStart"/>
      <w:r w:rsidR="0038418A" w:rsidRPr="00FB6089">
        <w:rPr>
          <w:rStyle w:val="None"/>
        </w:rPr>
        <w:t>arrêté</w:t>
      </w:r>
      <w:proofErr w:type="gramEnd"/>
      <w:r w:rsidR="0038418A" w:rsidRPr="00FB6089">
        <w:rPr>
          <w:rStyle w:val="None"/>
        </w:rPr>
        <w:t>, M.</w:t>
      </w:r>
      <w:r w:rsidR="00AD59D7">
        <w:rPr>
          <w:rStyle w:val="None"/>
        </w:rPr>
        <w:t> </w:t>
      </w:r>
      <w:proofErr w:type="spellStart"/>
      <w:r w:rsidR="0038418A" w:rsidRPr="00FB6089">
        <w:rPr>
          <w:rStyle w:val="None"/>
        </w:rPr>
        <w:t>Bassir</w:t>
      </w:r>
      <w:proofErr w:type="spellEnd"/>
      <w:r w:rsidR="0038418A" w:rsidRPr="00FB6089">
        <w:rPr>
          <w:rStyle w:val="None"/>
        </w:rPr>
        <w:t xml:space="preserve"> a été e</w:t>
      </w:r>
      <w:r w:rsidR="0038418A">
        <w:rPr>
          <w:rStyle w:val="None"/>
        </w:rPr>
        <w:t>ntendu dès le lendemain par le P</w:t>
      </w:r>
      <w:r w:rsidR="0038418A" w:rsidRPr="00FB6089">
        <w:rPr>
          <w:rStyle w:val="None"/>
        </w:rPr>
        <w:t>rocureur du Roi, mais présenté au juge seulement trois semaines a</w:t>
      </w:r>
      <w:r w:rsidR="0038418A">
        <w:rPr>
          <w:rStyle w:val="None"/>
        </w:rPr>
        <w:t>près son arrestation. L</w:t>
      </w:r>
      <w:r w:rsidR="0038418A" w:rsidRPr="00FB6089">
        <w:rPr>
          <w:rStyle w:val="None"/>
        </w:rPr>
        <w:t xml:space="preserve">a source affirme </w:t>
      </w:r>
      <w:r w:rsidR="0038418A">
        <w:rPr>
          <w:rStyle w:val="None"/>
        </w:rPr>
        <w:t xml:space="preserve">également </w:t>
      </w:r>
      <w:r w:rsidR="0038418A" w:rsidRPr="00FB6089">
        <w:rPr>
          <w:rStyle w:val="None"/>
        </w:rPr>
        <w:t>qu</w:t>
      </w:r>
      <w:r w:rsidR="0038418A">
        <w:rPr>
          <w:rStyle w:val="None"/>
        </w:rPr>
        <w:t>’</w:t>
      </w:r>
      <w:r w:rsidR="0038418A" w:rsidRPr="00FB6089">
        <w:rPr>
          <w:rStyle w:val="None"/>
        </w:rPr>
        <w:t>il a fait l</w:t>
      </w:r>
      <w:r w:rsidR="0038418A">
        <w:rPr>
          <w:rStyle w:val="None"/>
        </w:rPr>
        <w:t>’</w:t>
      </w:r>
      <w:r w:rsidR="0038418A" w:rsidRPr="00FB6089">
        <w:rPr>
          <w:rStyle w:val="None"/>
        </w:rPr>
        <w:t>objet de violences</w:t>
      </w:r>
      <w:r w:rsidR="0038418A">
        <w:rPr>
          <w:rStyle w:val="None"/>
        </w:rPr>
        <w:t>,</w:t>
      </w:r>
      <w:r w:rsidR="0038418A" w:rsidRPr="00FB6089">
        <w:rPr>
          <w:rStyle w:val="None"/>
        </w:rPr>
        <w:t xml:space="preserve"> avec le témoignage de proches qui ont pu observer les séquelles de </w:t>
      </w:r>
      <w:r w:rsidR="0038418A">
        <w:rPr>
          <w:rStyle w:val="None"/>
        </w:rPr>
        <w:t>ces</w:t>
      </w:r>
      <w:r w:rsidR="0038418A" w:rsidRPr="00FB6089">
        <w:rPr>
          <w:rStyle w:val="None"/>
        </w:rPr>
        <w:t xml:space="preserve"> violences durant une visite en détention. Enfin, le régime même de la détention de M.</w:t>
      </w:r>
      <w:r w:rsidR="00AD59D7">
        <w:rPr>
          <w:rStyle w:val="None"/>
        </w:rPr>
        <w:t> </w:t>
      </w:r>
      <w:proofErr w:type="spellStart"/>
      <w:r w:rsidR="0038418A" w:rsidRPr="00FB6089">
        <w:rPr>
          <w:rStyle w:val="None"/>
        </w:rPr>
        <w:t>Bassir</w:t>
      </w:r>
      <w:proofErr w:type="spellEnd"/>
      <w:r w:rsidR="0038418A" w:rsidRPr="00FB6089">
        <w:rPr>
          <w:rStyle w:val="None"/>
        </w:rPr>
        <w:t xml:space="preserve"> avec </w:t>
      </w:r>
      <w:r w:rsidR="0038418A">
        <w:rPr>
          <w:rStyle w:val="None"/>
        </w:rPr>
        <w:t>d</w:t>
      </w:r>
      <w:r w:rsidR="0038418A" w:rsidRPr="00FB6089">
        <w:rPr>
          <w:rStyle w:val="None"/>
        </w:rPr>
        <w:t>es sanctions internes d</w:t>
      </w:r>
      <w:r w:rsidR="0038418A">
        <w:rPr>
          <w:rStyle w:val="None"/>
        </w:rPr>
        <w:t>’</w:t>
      </w:r>
      <w:r w:rsidR="0038418A" w:rsidRPr="00FB6089">
        <w:rPr>
          <w:rStyle w:val="None"/>
        </w:rPr>
        <w:t>isolement est considéré par la source comme contribuant</w:t>
      </w:r>
      <w:r w:rsidR="0038418A">
        <w:rPr>
          <w:rStyle w:val="None"/>
        </w:rPr>
        <w:t xml:space="preserve"> à la violence contre M.</w:t>
      </w:r>
      <w:r w:rsidR="00AD59D7">
        <w:rPr>
          <w:rStyle w:val="None"/>
        </w:rPr>
        <w:t> </w:t>
      </w:r>
      <w:proofErr w:type="spellStart"/>
      <w:r w:rsidR="0038418A">
        <w:rPr>
          <w:rStyle w:val="None"/>
        </w:rPr>
        <w:t>Bassir</w:t>
      </w:r>
      <w:proofErr w:type="spellEnd"/>
      <w:r w:rsidR="0038418A">
        <w:rPr>
          <w:rStyle w:val="None"/>
        </w:rPr>
        <w:t xml:space="preserve"> et comme</w:t>
      </w:r>
      <w:r w:rsidR="0038418A" w:rsidRPr="00FB6089">
        <w:rPr>
          <w:rStyle w:val="None"/>
        </w:rPr>
        <w:t xml:space="preserve"> </w:t>
      </w:r>
      <w:r w:rsidR="0038418A">
        <w:rPr>
          <w:rStyle w:val="None"/>
        </w:rPr>
        <w:t xml:space="preserve">une </w:t>
      </w:r>
      <w:r w:rsidR="0038418A" w:rsidRPr="00FB6089">
        <w:rPr>
          <w:rStyle w:val="None"/>
        </w:rPr>
        <w:t>mesure de représailles contre l</w:t>
      </w:r>
      <w:r w:rsidR="0038418A">
        <w:rPr>
          <w:rStyle w:val="None"/>
        </w:rPr>
        <w:t>’exercice de sa liberté d’expression</w:t>
      </w:r>
      <w:r w:rsidR="0038418A" w:rsidRPr="00FB6089">
        <w:rPr>
          <w:rStyle w:val="None"/>
        </w:rPr>
        <w:t>.</w:t>
      </w:r>
    </w:p>
    <w:p w:rsidR="0038418A" w:rsidRPr="00FB6089" w:rsidRDefault="00F04427" w:rsidP="00166E8C">
      <w:pPr>
        <w:pStyle w:val="SingleTxtG"/>
        <w:tabs>
          <w:tab w:val="right" w:pos="1021"/>
        </w:tabs>
        <w:ind w:left="1135"/>
        <w:rPr>
          <w:rStyle w:val="None"/>
        </w:rPr>
      </w:pPr>
      <w:r>
        <w:rPr>
          <w:rStyle w:val="None"/>
        </w:rPr>
        <w:t>47.</w:t>
      </w:r>
      <w:r>
        <w:rPr>
          <w:rStyle w:val="None"/>
        </w:rPr>
        <w:tab/>
      </w:r>
      <w:r w:rsidR="0038418A">
        <w:rPr>
          <w:rStyle w:val="None"/>
        </w:rPr>
        <w:t xml:space="preserve">Le Groupe de travail note </w:t>
      </w:r>
      <w:r w:rsidR="0038418A" w:rsidRPr="00FB6089">
        <w:rPr>
          <w:rStyle w:val="None"/>
        </w:rPr>
        <w:t xml:space="preserve">les liens </w:t>
      </w:r>
      <w:r w:rsidR="0038418A">
        <w:rPr>
          <w:rStyle w:val="None"/>
        </w:rPr>
        <w:t xml:space="preserve">qui existent </w:t>
      </w:r>
      <w:r w:rsidR="0038418A" w:rsidRPr="00FB6089">
        <w:rPr>
          <w:rStyle w:val="None"/>
        </w:rPr>
        <w:t>entre M.</w:t>
      </w:r>
      <w:r w:rsidR="00AD59D7">
        <w:rPr>
          <w:rStyle w:val="None"/>
        </w:rPr>
        <w:t> </w:t>
      </w:r>
      <w:proofErr w:type="spellStart"/>
      <w:r w:rsidR="0038418A" w:rsidRPr="00FB6089">
        <w:rPr>
          <w:rStyle w:val="None"/>
        </w:rPr>
        <w:t>Bas</w:t>
      </w:r>
      <w:r w:rsidR="0038418A">
        <w:rPr>
          <w:rStyle w:val="None"/>
        </w:rPr>
        <w:t>sir</w:t>
      </w:r>
      <w:proofErr w:type="spellEnd"/>
      <w:r w:rsidR="0038418A">
        <w:rPr>
          <w:rStyle w:val="None"/>
        </w:rPr>
        <w:t xml:space="preserve"> et la situation politique au</w:t>
      </w:r>
      <w:r w:rsidR="0038418A" w:rsidRPr="00FB6089">
        <w:rPr>
          <w:rStyle w:val="None"/>
        </w:rPr>
        <w:t xml:space="preserve"> S</w:t>
      </w:r>
      <w:r w:rsidR="0038418A">
        <w:rPr>
          <w:rStyle w:val="None"/>
        </w:rPr>
        <w:t xml:space="preserve">ahara occidental. </w:t>
      </w:r>
      <w:r w:rsidR="0038418A" w:rsidRPr="00FB6089">
        <w:rPr>
          <w:rStyle w:val="None"/>
        </w:rPr>
        <w:t>M.</w:t>
      </w:r>
      <w:r w:rsidR="00AD59D7">
        <w:rPr>
          <w:rStyle w:val="None"/>
        </w:rPr>
        <w:t> </w:t>
      </w:r>
      <w:proofErr w:type="spellStart"/>
      <w:r w:rsidR="0038418A" w:rsidRPr="00FB6089">
        <w:rPr>
          <w:rStyle w:val="None"/>
        </w:rPr>
        <w:t>Bassir</w:t>
      </w:r>
      <w:proofErr w:type="spellEnd"/>
      <w:r w:rsidR="0038418A" w:rsidRPr="00FB6089">
        <w:rPr>
          <w:rStyle w:val="None"/>
        </w:rPr>
        <w:t xml:space="preserve"> reconnaît son association avec le mouvement politique d</w:t>
      </w:r>
      <w:r w:rsidR="0038418A">
        <w:rPr>
          <w:rStyle w:val="None"/>
        </w:rPr>
        <w:t>’</w:t>
      </w:r>
      <w:r w:rsidR="0038418A" w:rsidRPr="00FB6089">
        <w:rPr>
          <w:rStyle w:val="None"/>
        </w:rPr>
        <w:t>indépend</w:t>
      </w:r>
      <w:r w:rsidR="0038418A">
        <w:rPr>
          <w:rStyle w:val="None"/>
        </w:rPr>
        <w:t xml:space="preserve">ance du Sahara occidental. Par ailleurs, </w:t>
      </w:r>
      <w:r w:rsidR="0038418A" w:rsidRPr="00FB6089">
        <w:rPr>
          <w:rStyle w:val="None"/>
        </w:rPr>
        <w:t>les événements en cause</w:t>
      </w:r>
      <w:r w:rsidR="0038418A">
        <w:rPr>
          <w:rStyle w:val="None"/>
        </w:rPr>
        <w:t xml:space="preserve"> ainsi que son arrestation ont </w:t>
      </w:r>
      <w:r w:rsidR="0038418A" w:rsidRPr="00FB6089">
        <w:rPr>
          <w:rStyle w:val="None"/>
        </w:rPr>
        <w:t xml:space="preserve">eu lieu dans cette région. </w:t>
      </w:r>
    </w:p>
    <w:p w:rsidR="0038418A" w:rsidRPr="00FB6089" w:rsidRDefault="00F04427" w:rsidP="00166E8C">
      <w:pPr>
        <w:pStyle w:val="SingleTxtG"/>
        <w:tabs>
          <w:tab w:val="right" w:pos="1021"/>
        </w:tabs>
        <w:ind w:left="1135"/>
        <w:rPr>
          <w:rStyle w:val="None"/>
        </w:rPr>
      </w:pPr>
      <w:r>
        <w:rPr>
          <w:rStyle w:val="None"/>
        </w:rPr>
        <w:t>48.</w:t>
      </w:r>
      <w:r>
        <w:rPr>
          <w:rStyle w:val="None"/>
        </w:rPr>
        <w:tab/>
      </w:r>
      <w:r w:rsidR="0038418A">
        <w:rPr>
          <w:rStyle w:val="None"/>
        </w:rPr>
        <w:t>Le Groupe de travail considère</w:t>
      </w:r>
      <w:r w:rsidR="0038418A" w:rsidRPr="00FB6089">
        <w:rPr>
          <w:rStyle w:val="None"/>
        </w:rPr>
        <w:t xml:space="preserve"> que M.</w:t>
      </w:r>
      <w:r w:rsidR="00AD59D7">
        <w:rPr>
          <w:rStyle w:val="None"/>
        </w:rPr>
        <w:t> </w:t>
      </w:r>
      <w:proofErr w:type="spellStart"/>
      <w:r w:rsidR="0038418A" w:rsidRPr="00FB6089">
        <w:rPr>
          <w:rStyle w:val="None"/>
        </w:rPr>
        <w:t>Bassir</w:t>
      </w:r>
      <w:proofErr w:type="spellEnd"/>
      <w:r w:rsidR="0038418A" w:rsidRPr="00FB6089">
        <w:rPr>
          <w:rStyle w:val="None"/>
        </w:rPr>
        <w:t xml:space="preserve"> est victime d</w:t>
      </w:r>
      <w:r w:rsidR="0038418A">
        <w:rPr>
          <w:rStyle w:val="None"/>
        </w:rPr>
        <w:t>’</w:t>
      </w:r>
      <w:r w:rsidR="0038418A" w:rsidRPr="00FB6089">
        <w:rPr>
          <w:rStyle w:val="None"/>
        </w:rPr>
        <w:t>avoir exprimé son opinion politique sur la situation du Sahara occidental, en violation de la protection dont il bénéficie en vertu des articles</w:t>
      </w:r>
      <w:r w:rsidR="00AD59D7">
        <w:rPr>
          <w:rStyle w:val="None"/>
        </w:rPr>
        <w:t> </w:t>
      </w:r>
      <w:r w:rsidR="0038418A" w:rsidRPr="00FB6089">
        <w:rPr>
          <w:rStyle w:val="None"/>
        </w:rPr>
        <w:t>18, 19 et 26 du</w:t>
      </w:r>
      <w:r w:rsidR="0038418A">
        <w:rPr>
          <w:rStyle w:val="None"/>
        </w:rPr>
        <w:t xml:space="preserve"> Pacte</w:t>
      </w:r>
      <w:r w:rsidR="0038418A" w:rsidRPr="00FB6089">
        <w:rPr>
          <w:rStyle w:val="None"/>
        </w:rPr>
        <w:t xml:space="preserve"> </w:t>
      </w:r>
      <w:r w:rsidR="0038418A" w:rsidRPr="00036AF3">
        <w:rPr>
          <w:rStyle w:val="None"/>
        </w:rPr>
        <w:t>qui protègent contre la discrimination fondée sur l’opinion politique.</w:t>
      </w:r>
      <w:r w:rsidR="0038418A" w:rsidRPr="00FB6089">
        <w:rPr>
          <w:rStyle w:val="None"/>
        </w:rPr>
        <w:t xml:space="preserve"> Le Groupe de travail </w:t>
      </w:r>
      <w:r w:rsidR="0038418A">
        <w:rPr>
          <w:rStyle w:val="None"/>
        </w:rPr>
        <w:t xml:space="preserve">conclut </w:t>
      </w:r>
      <w:r w:rsidR="0038418A" w:rsidRPr="00FB6089">
        <w:rPr>
          <w:rStyle w:val="None"/>
        </w:rPr>
        <w:t>que M.</w:t>
      </w:r>
      <w:r w:rsidR="00AD59D7">
        <w:rPr>
          <w:rStyle w:val="None"/>
        </w:rPr>
        <w:t> </w:t>
      </w:r>
      <w:proofErr w:type="spellStart"/>
      <w:r w:rsidR="0038418A" w:rsidRPr="00FB6089">
        <w:rPr>
          <w:rStyle w:val="None"/>
        </w:rPr>
        <w:t>Bassir</w:t>
      </w:r>
      <w:proofErr w:type="spellEnd"/>
      <w:r w:rsidR="0038418A" w:rsidRPr="00FB6089">
        <w:rPr>
          <w:rStyle w:val="None"/>
        </w:rPr>
        <w:t xml:space="preserve"> est arbitrairement détenu au titre de la catégorie</w:t>
      </w:r>
      <w:r w:rsidR="00AD59D7">
        <w:rPr>
          <w:rStyle w:val="None"/>
        </w:rPr>
        <w:t> </w:t>
      </w:r>
      <w:r w:rsidR="0038418A" w:rsidRPr="00FB6089">
        <w:rPr>
          <w:rStyle w:val="None"/>
        </w:rPr>
        <w:t>II.</w:t>
      </w:r>
    </w:p>
    <w:p w:rsidR="0038418A" w:rsidRPr="00FB6089" w:rsidRDefault="00F04427" w:rsidP="00166E8C">
      <w:pPr>
        <w:pStyle w:val="SingleTxtG"/>
        <w:tabs>
          <w:tab w:val="right" w:pos="1021"/>
        </w:tabs>
        <w:ind w:left="1135"/>
        <w:rPr>
          <w:rStyle w:val="None"/>
        </w:rPr>
      </w:pPr>
      <w:r>
        <w:rPr>
          <w:rStyle w:val="None"/>
        </w:rPr>
        <w:lastRenderedPageBreak/>
        <w:t>49.</w:t>
      </w:r>
      <w:r>
        <w:rPr>
          <w:rStyle w:val="None"/>
        </w:rPr>
        <w:tab/>
      </w:r>
      <w:r w:rsidR="0038418A">
        <w:rPr>
          <w:rStyle w:val="None"/>
        </w:rPr>
        <w:t>L</w:t>
      </w:r>
      <w:r w:rsidR="0038418A" w:rsidRPr="00FB6089">
        <w:rPr>
          <w:rStyle w:val="None"/>
        </w:rPr>
        <w:t>a source affirme que M.</w:t>
      </w:r>
      <w:r w:rsidR="00AD59D7">
        <w:rPr>
          <w:rStyle w:val="None"/>
        </w:rPr>
        <w:t> </w:t>
      </w:r>
      <w:proofErr w:type="spellStart"/>
      <w:r w:rsidR="0038418A" w:rsidRPr="00FB6089">
        <w:rPr>
          <w:rStyle w:val="None"/>
        </w:rPr>
        <w:t>Bassir</w:t>
      </w:r>
      <w:proofErr w:type="spellEnd"/>
      <w:r w:rsidR="0038418A" w:rsidRPr="00FB6089">
        <w:rPr>
          <w:rStyle w:val="None"/>
        </w:rPr>
        <w:t xml:space="preserve"> était journaliste à la chaîne RASD</w:t>
      </w:r>
      <w:r w:rsidR="00AD59D7">
        <w:rPr>
          <w:rStyle w:val="None"/>
        </w:rPr>
        <w:t> </w:t>
      </w:r>
      <w:r w:rsidR="0038418A" w:rsidRPr="00FB6089">
        <w:rPr>
          <w:rStyle w:val="None"/>
        </w:rPr>
        <w:t>TV</w:t>
      </w:r>
      <w:r w:rsidR="0038418A">
        <w:rPr>
          <w:rStyle w:val="FootnoteReference"/>
        </w:rPr>
        <w:footnoteReference w:id="3"/>
      </w:r>
      <w:r w:rsidR="0038418A">
        <w:rPr>
          <w:rStyle w:val="None"/>
        </w:rPr>
        <w:t>,</w:t>
      </w:r>
      <w:r w:rsidR="0038418A" w:rsidRPr="00FB6089">
        <w:rPr>
          <w:rStyle w:val="None"/>
        </w:rPr>
        <w:t xml:space="preserve"> </w:t>
      </w:r>
      <w:r w:rsidR="0038418A">
        <w:rPr>
          <w:rStyle w:val="None"/>
        </w:rPr>
        <w:t xml:space="preserve">mais </w:t>
      </w:r>
      <w:r w:rsidR="0038418A" w:rsidRPr="00FB6089">
        <w:rPr>
          <w:rStyle w:val="None"/>
        </w:rPr>
        <w:t>sans s</w:t>
      </w:r>
      <w:r w:rsidR="0038418A">
        <w:rPr>
          <w:rStyle w:val="None"/>
        </w:rPr>
        <w:t>’</w:t>
      </w:r>
      <w:r w:rsidR="0038418A" w:rsidRPr="00FB6089">
        <w:rPr>
          <w:rStyle w:val="None"/>
        </w:rPr>
        <w:t>appuyer sur une quelconque preuve. Le Gouvernement conteste cette affirmation sans a</w:t>
      </w:r>
      <w:r w:rsidR="0038418A">
        <w:rPr>
          <w:rStyle w:val="None"/>
        </w:rPr>
        <w:t>pporter non plus de preuve. C</w:t>
      </w:r>
      <w:r w:rsidR="0038418A" w:rsidRPr="00FB6089">
        <w:rPr>
          <w:rStyle w:val="None"/>
        </w:rPr>
        <w:t>ette contradiction n</w:t>
      </w:r>
      <w:r w:rsidR="0038418A">
        <w:rPr>
          <w:rStyle w:val="None"/>
        </w:rPr>
        <w:t>’</w:t>
      </w:r>
      <w:r w:rsidR="0038418A" w:rsidRPr="00FB6089">
        <w:rPr>
          <w:rStyle w:val="None"/>
        </w:rPr>
        <w:t>affecte en rien les constatations faites pré</w:t>
      </w:r>
      <w:r w:rsidR="0038418A">
        <w:rPr>
          <w:rStyle w:val="None"/>
        </w:rPr>
        <w:t xml:space="preserve">cédemment. </w:t>
      </w:r>
      <w:r w:rsidR="0038418A" w:rsidRPr="0051073E">
        <w:rPr>
          <w:rStyle w:val="None"/>
        </w:rPr>
        <w:t>Cependant, l’impossibilité pour le Groupe de travail de déterminer les faits à cet égard</w:t>
      </w:r>
      <w:r w:rsidR="0038418A" w:rsidRPr="00FB6089">
        <w:rPr>
          <w:rStyle w:val="None"/>
        </w:rPr>
        <w:t xml:space="preserve"> </w:t>
      </w:r>
      <w:r w:rsidR="0038418A">
        <w:rPr>
          <w:rStyle w:val="None"/>
        </w:rPr>
        <w:t>l’</w:t>
      </w:r>
      <w:r w:rsidR="0038418A" w:rsidRPr="00FB6089">
        <w:rPr>
          <w:rStyle w:val="None"/>
        </w:rPr>
        <w:t>empêche de conclure à la protection de M.</w:t>
      </w:r>
      <w:r w:rsidR="00AD59D7">
        <w:rPr>
          <w:rStyle w:val="None"/>
        </w:rPr>
        <w:t> </w:t>
      </w:r>
      <w:proofErr w:type="spellStart"/>
      <w:r w:rsidR="0038418A" w:rsidRPr="00FB6089">
        <w:rPr>
          <w:rStyle w:val="None"/>
        </w:rPr>
        <w:t>Bassir</w:t>
      </w:r>
      <w:proofErr w:type="spellEnd"/>
      <w:r w:rsidR="0038418A" w:rsidRPr="00FB6089">
        <w:rPr>
          <w:rStyle w:val="None"/>
        </w:rPr>
        <w:t xml:space="preserve"> en tant que professionnel de l</w:t>
      </w:r>
      <w:r w:rsidR="0038418A">
        <w:rPr>
          <w:rStyle w:val="None"/>
        </w:rPr>
        <w:t>’</w:t>
      </w:r>
      <w:r w:rsidR="0038418A" w:rsidRPr="00FB6089">
        <w:rPr>
          <w:rStyle w:val="None"/>
        </w:rPr>
        <w:t>information (</w:t>
      </w:r>
      <w:r w:rsidR="0038418A">
        <w:rPr>
          <w:rStyle w:val="None"/>
        </w:rPr>
        <w:t>a</w:t>
      </w:r>
      <w:r w:rsidR="0038418A" w:rsidRPr="00FB6089">
        <w:rPr>
          <w:rStyle w:val="None"/>
        </w:rPr>
        <w:t>rt. 19 du P</w:t>
      </w:r>
      <w:r w:rsidR="0038418A">
        <w:rPr>
          <w:rStyle w:val="None"/>
        </w:rPr>
        <w:t>acte</w:t>
      </w:r>
      <w:r w:rsidR="0038418A" w:rsidRPr="00FB6089">
        <w:rPr>
          <w:rStyle w:val="None"/>
        </w:rPr>
        <w:t>) au titre de la catégorie</w:t>
      </w:r>
      <w:r w:rsidR="00AD59D7">
        <w:rPr>
          <w:rStyle w:val="None"/>
        </w:rPr>
        <w:t> </w:t>
      </w:r>
      <w:r w:rsidR="0038418A" w:rsidRPr="00FB6089">
        <w:rPr>
          <w:rStyle w:val="None"/>
        </w:rPr>
        <w:t>II.</w:t>
      </w:r>
    </w:p>
    <w:p w:rsidR="0038418A" w:rsidRPr="00FB6089" w:rsidRDefault="00F04427" w:rsidP="00166E8C">
      <w:pPr>
        <w:pStyle w:val="SingleTxtG"/>
        <w:tabs>
          <w:tab w:val="right" w:pos="1021"/>
        </w:tabs>
        <w:ind w:left="1135"/>
        <w:rPr>
          <w:rStyle w:val="None"/>
        </w:rPr>
      </w:pPr>
      <w:r>
        <w:rPr>
          <w:rStyle w:val="None"/>
        </w:rPr>
        <w:t>50.</w:t>
      </w:r>
      <w:r>
        <w:rPr>
          <w:rStyle w:val="None"/>
        </w:rPr>
        <w:tab/>
      </w:r>
      <w:r w:rsidR="0038418A">
        <w:rPr>
          <w:rStyle w:val="None"/>
        </w:rPr>
        <w:t>L</w:t>
      </w:r>
      <w:r w:rsidR="0038418A" w:rsidRPr="00FB6089">
        <w:rPr>
          <w:rStyle w:val="None"/>
        </w:rPr>
        <w:t>a procédure pénale contre M.</w:t>
      </w:r>
      <w:r w:rsidR="00AD59D7">
        <w:rPr>
          <w:rStyle w:val="None"/>
        </w:rPr>
        <w:t> </w:t>
      </w:r>
      <w:proofErr w:type="spellStart"/>
      <w:r w:rsidR="0038418A" w:rsidRPr="00FB6089">
        <w:rPr>
          <w:rStyle w:val="None"/>
        </w:rPr>
        <w:t>Bassir</w:t>
      </w:r>
      <w:proofErr w:type="spellEnd"/>
      <w:r w:rsidR="0038418A" w:rsidRPr="00FB6089">
        <w:rPr>
          <w:rStyle w:val="None"/>
        </w:rPr>
        <w:t xml:space="preserve"> a été construite autour</w:t>
      </w:r>
      <w:r w:rsidR="0038418A">
        <w:rPr>
          <w:rStyle w:val="None"/>
        </w:rPr>
        <w:t xml:space="preserve"> de confessions supposées </w:t>
      </w:r>
      <w:r w:rsidR="0038418A" w:rsidRPr="00FB6089">
        <w:rPr>
          <w:rStyle w:val="None"/>
        </w:rPr>
        <w:t>de l</w:t>
      </w:r>
      <w:r w:rsidR="0038418A">
        <w:rPr>
          <w:rStyle w:val="None"/>
        </w:rPr>
        <w:t>’</w:t>
      </w:r>
      <w:r w:rsidR="0038418A" w:rsidRPr="00FB6089">
        <w:rPr>
          <w:rStyle w:val="None"/>
        </w:rPr>
        <w:t>accusé. Les faits confessés tels que le Gouvernement le</w:t>
      </w:r>
      <w:r w:rsidR="0038418A">
        <w:rPr>
          <w:rStyle w:val="None"/>
        </w:rPr>
        <w:t xml:space="preserve">s rappelle sont </w:t>
      </w:r>
      <w:r w:rsidR="0038418A" w:rsidRPr="00FB6089">
        <w:rPr>
          <w:rStyle w:val="None"/>
        </w:rPr>
        <w:t>surprenants :</w:t>
      </w:r>
    </w:p>
    <w:p w:rsidR="0038418A" w:rsidRPr="00FB6089" w:rsidRDefault="0038418A" w:rsidP="00166E8C">
      <w:pPr>
        <w:pStyle w:val="SingleTxtG"/>
        <w:ind w:left="1701" w:firstLine="567"/>
        <w:rPr>
          <w:iCs/>
        </w:rPr>
      </w:pPr>
      <w:r w:rsidRPr="00FB6089">
        <w:rPr>
          <w:iCs/>
        </w:rPr>
        <w:t>« Aussi, lors de son audition le concerné avait déclaré avoir planifié et pris part aux actes de troubles à l</w:t>
      </w:r>
      <w:r>
        <w:rPr>
          <w:iCs/>
        </w:rPr>
        <w:t>’</w:t>
      </w:r>
      <w:r w:rsidRPr="00FB6089">
        <w:rPr>
          <w:iCs/>
        </w:rPr>
        <w:t>ordre public qu</w:t>
      </w:r>
      <w:r>
        <w:rPr>
          <w:iCs/>
        </w:rPr>
        <w:t>’</w:t>
      </w:r>
      <w:r w:rsidRPr="00FB6089">
        <w:rPr>
          <w:iCs/>
        </w:rPr>
        <w:t>a connu la ville d</w:t>
      </w:r>
      <w:r>
        <w:rPr>
          <w:iCs/>
        </w:rPr>
        <w:t>’</w:t>
      </w:r>
      <w:r w:rsidRPr="00FB6089">
        <w:rPr>
          <w:iCs/>
        </w:rPr>
        <w:t>Es</w:t>
      </w:r>
      <w:r>
        <w:rPr>
          <w:iCs/>
        </w:rPr>
        <w:t>-</w:t>
      </w:r>
      <w:r w:rsidRPr="00FB6089">
        <w:rPr>
          <w:iCs/>
        </w:rPr>
        <w:t>Smara en 2013, avoir constitué un groupe d</w:t>
      </w:r>
      <w:r>
        <w:rPr>
          <w:iCs/>
        </w:rPr>
        <w:t>’</w:t>
      </w:r>
      <w:r w:rsidRPr="00FB6089">
        <w:rPr>
          <w:iCs/>
        </w:rPr>
        <w:t xml:space="preserve">associés, dont des mineurs, animés comme lui par une colère contre les autorités marocaines et prédisposés </w:t>
      </w:r>
      <w:r w:rsidRPr="00FB6089">
        <w:rPr>
          <w:rStyle w:val="None"/>
          <w:iCs/>
          <w:sz w:val="21"/>
          <w:szCs w:val="21"/>
        </w:rPr>
        <w:t xml:space="preserve">à </w:t>
      </w:r>
      <w:r w:rsidRPr="00FB6089">
        <w:rPr>
          <w:iCs/>
        </w:rPr>
        <w:t>perpétrer des actes de violence contre les symboles de l</w:t>
      </w:r>
      <w:r>
        <w:rPr>
          <w:iCs/>
        </w:rPr>
        <w:t>’É</w:t>
      </w:r>
      <w:r w:rsidRPr="00FB6089">
        <w:rPr>
          <w:iCs/>
        </w:rPr>
        <w:t>tat marocain, en ajoutant que son groupe avait perpétré entre 2012 et 2013, une série d</w:t>
      </w:r>
      <w:r>
        <w:rPr>
          <w:iCs/>
        </w:rPr>
        <w:t>’</w:t>
      </w:r>
      <w:r w:rsidRPr="00FB6089">
        <w:rPr>
          <w:iCs/>
        </w:rPr>
        <w:t>actes de malveillance ciblant les forces de l</w:t>
      </w:r>
      <w:r>
        <w:rPr>
          <w:iCs/>
        </w:rPr>
        <w:t>’</w:t>
      </w:r>
      <w:r w:rsidRPr="00FB6089">
        <w:rPr>
          <w:iCs/>
        </w:rPr>
        <w:t>ordre et les édifices publics dans le but d</w:t>
      </w:r>
      <w:r>
        <w:rPr>
          <w:iCs/>
        </w:rPr>
        <w:t>’</w:t>
      </w:r>
      <w:r w:rsidRPr="00FB6089">
        <w:rPr>
          <w:iCs/>
        </w:rPr>
        <w:t>exercer des pressions sur les autorités pour la satisfaction de leurs revendications notamment l</w:t>
      </w:r>
      <w:r>
        <w:rPr>
          <w:rStyle w:val="None"/>
          <w:iCs/>
        </w:rPr>
        <w:t>’</w:t>
      </w:r>
      <w:r w:rsidRPr="00FB6089">
        <w:rPr>
          <w:iCs/>
        </w:rPr>
        <w:t>embauche.</w:t>
      </w:r>
    </w:p>
    <w:p w:rsidR="0038418A" w:rsidRPr="00FB6089" w:rsidRDefault="0038418A" w:rsidP="00166E8C">
      <w:pPr>
        <w:pStyle w:val="SingleTxtG"/>
        <w:ind w:left="1701" w:firstLine="567"/>
        <w:rPr>
          <w:rStyle w:val="None"/>
          <w:iCs/>
        </w:rPr>
      </w:pPr>
      <w:r w:rsidRPr="00FB6089">
        <w:rPr>
          <w:iCs/>
        </w:rPr>
        <w:t xml:space="preserve">Lors de son audition, le concerné avait également reconnu avoir planifié et mené des manifestations, dressé avec ses acolytes des barricades sur la route et avoir </w:t>
      </w:r>
      <w:r>
        <w:rPr>
          <w:iCs/>
        </w:rPr>
        <w:t>i</w:t>
      </w:r>
      <w:r w:rsidRPr="00FB6089">
        <w:rPr>
          <w:iCs/>
        </w:rPr>
        <w:t>ncité ses complices à attirer les forces de l</w:t>
      </w:r>
      <w:r>
        <w:rPr>
          <w:iCs/>
        </w:rPr>
        <w:t>’</w:t>
      </w:r>
      <w:r w:rsidRPr="00FB6089">
        <w:rPr>
          <w:iCs/>
        </w:rPr>
        <w:t xml:space="preserve">ordre vers les ruelles exiguës des quartiers </w:t>
      </w:r>
      <w:r w:rsidRPr="00C74F0D">
        <w:rPr>
          <w:lang w:val="fr-FR"/>
        </w:rPr>
        <w:t>“</w:t>
      </w:r>
      <w:r w:rsidRPr="00FB6089">
        <w:rPr>
          <w:iCs/>
        </w:rPr>
        <w:t>l</w:t>
      </w:r>
      <w:r>
        <w:rPr>
          <w:iCs/>
        </w:rPr>
        <w:t>’</w:t>
      </w:r>
      <w:r w:rsidRPr="00FB6089">
        <w:rPr>
          <w:iCs/>
        </w:rPr>
        <w:t>habitat</w:t>
      </w:r>
      <w:r w:rsidRPr="00C74F0D">
        <w:rPr>
          <w:lang w:val="fr-FR"/>
        </w:rPr>
        <w:t>”</w:t>
      </w:r>
      <w:r w:rsidRPr="00FB6089">
        <w:rPr>
          <w:iCs/>
        </w:rPr>
        <w:t xml:space="preserve"> et </w:t>
      </w:r>
      <w:r w:rsidRPr="00C74F0D">
        <w:rPr>
          <w:lang w:val="fr-FR"/>
        </w:rPr>
        <w:t>“</w:t>
      </w:r>
      <w:r w:rsidRPr="00FB6089">
        <w:rPr>
          <w:iCs/>
        </w:rPr>
        <w:t>Tan-Tan</w:t>
      </w:r>
      <w:r w:rsidRPr="00C74F0D">
        <w:rPr>
          <w:lang w:val="fr-FR"/>
        </w:rPr>
        <w:t>”</w:t>
      </w:r>
      <w:r w:rsidRPr="00FB6089">
        <w:rPr>
          <w:iCs/>
        </w:rPr>
        <w:t xml:space="preserve"> </w:t>
      </w:r>
      <w:r w:rsidRPr="00FB6089">
        <w:rPr>
          <w:rStyle w:val="None"/>
          <w:iCs/>
          <w:sz w:val="21"/>
          <w:szCs w:val="21"/>
        </w:rPr>
        <w:t xml:space="preserve">à </w:t>
      </w:r>
      <w:r w:rsidRPr="00FB6089">
        <w:rPr>
          <w:iCs/>
        </w:rPr>
        <w:t>la ville d</w:t>
      </w:r>
      <w:r>
        <w:rPr>
          <w:iCs/>
        </w:rPr>
        <w:t>’</w:t>
      </w:r>
      <w:r w:rsidRPr="00FB6089">
        <w:rPr>
          <w:iCs/>
        </w:rPr>
        <w:t xml:space="preserve">Es-Smara, afin de les cibler </w:t>
      </w:r>
      <w:r w:rsidRPr="00FB6089">
        <w:rPr>
          <w:rStyle w:val="None"/>
          <w:iCs/>
          <w:sz w:val="21"/>
          <w:szCs w:val="21"/>
        </w:rPr>
        <w:t xml:space="preserve">à </w:t>
      </w:r>
      <w:r w:rsidRPr="00FB6089">
        <w:rPr>
          <w:iCs/>
        </w:rPr>
        <w:t xml:space="preserve">partir des terrasses des maisons par des jets de pierres et des projectiles incendiaires, voire des bonbonnes de gaz enflammées, occasionnant ainsi des dégâts matériels importants et des blessés </w:t>
      </w:r>
      <w:proofErr w:type="spellStart"/>
      <w:r w:rsidRPr="00FB6089">
        <w:rPr>
          <w:iCs/>
        </w:rPr>
        <w:t>parm</w:t>
      </w:r>
      <w:proofErr w:type="spellEnd"/>
      <w:r w:rsidRPr="00FB6089">
        <w:rPr>
          <w:rStyle w:val="None"/>
          <w:iCs/>
        </w:rPr>
        <w:t xml:space="preserve">i </w:t>
      </w:r>
      <w:r w:rsidRPr="00FB6089">
        <w:rPr>
          <w:iCs/>
        </w:rPr>
        <w:t>les forces de l</w:t>
      </w:r>
      <w:r>
        <w:rPr>
          <w:iCs/>
        </w:rPr>
        <w:t>’</w:t>
      </w:r>
      <w:r w:rsidRPr="00FB6089">
        <w:rPr>
          <w:iCs/>
        </w:rPr>
        <w:t>ordre</w:t>
      </w:r>
      <w:r w:rsidRPr="00FB6089">
        <w:rPr>
          <w:rStyle w:val="None"/>
          <w:iCs/>
        </w:rPr>
        <w:t>. »</w:t>
      </w:r>
    </w:p>
    <w:p w:rsidR="0038418A" w:rsidRPr="00FB6089" w:rsidRDefault="00F04427" w:rsidP="00166E8C">
      <w:pPr>
        <w:pStyle w:val="SingleTxtG"/>
        <w:tabs>
          <w:tab w:val="right" w:pos="1021"/>
        </w:tabs>
        <w:ind w:left="1135"/>
        <w:rPr>
          <w:rStyle w:val="None"/>
        </w:rPr>
      </w:pPr>
      <w:r>
        <w:rPr>
          <w:rStyle w:val="None"/>
        </w:rPr>
        <w:t>51.</w:t>
      </w:r>
      <w:r>
        <w:rPr>
          <w:rStyle w:val="None"/>
        </w:rPr>
        <w:tab/>
      </w:r>
      <w:r w:rsidR="0038418A" w:rsidRPr="00B91581">
        <w:rPr>
          <w:rStyle w:val="None"/>
        </w:rPr>
        <w:t>Le Groupe de travail estime que ces confessions ne sont pas crédibles</w:t>
      </w:r>
      <w:r w:rsidR="0038418A" w:rsidRPr="00FB6089">
        <w:rPr>
          <w:rStyle w:val="None"/>
        </w:rPr>
        <w:t xml:space="preserve"> et ne pouvaient qu</w:t>
      </w:r>
      <w:r w:rsidR="0038418A">
        <w:rPr>
          <w:rStyle w:val="None"/>
        </w:rPr>
        <w:t>’</w:t>
      </w:r>
      <w:r w:rsidR="0038418A" w:rsidRPr="00FB6089">
        <w:rPr>
          <w:rStyle w:val="None"/>
        </w:rPr>
        <w:t>être la conséquence de pressions subies par M.</w:t>
      </w:r>
      <w:r w:rsidR="00AD59D7">
        <w:rPr>
          <w:rStyle w:val="None"/>
        </w:rPr>
        <w:t> </w:t>
      </w:r>
      <w:proofErr w:type="spellStart"/>
      <w:r w:rsidR="0038418A" w:rsidRPr="00FB6089">
        <w:rPr>
          <w:rStyle w:val="None"/>
        </w:rPr>
        <w:t>Bassir</w:t>
      </w:r>
      <w:proofErr w:type="spellEnd"/>
      <w:r w:rsidR="0038418A" w:rsidRPr="00FB6089">
        <w:rPr>
          <w:rStyle w:val="None"/>
        </w:rPr>
        <w:t>. Malheureusement</w:t>
      </w:r>
      <w:r w:rsidR="0038418A">
        <w:rPr>
          <w:rStyle w:val="None"/>
        </w:rPr>
        <w:t>,</w:t>
      </w:r>
      <w:r w:rsidR="0038418A" w:rsidRPr="00FB6089">
        <w:rPr>
          <w:rStyle w:val="None"/>
        </w:rPr>
        <w:t xml:space="preserve"> le </w:t>
      </w:r>
      <w:r w:rsidR="0038418A">
        <w:rPr>
          <w:rStyle w:val="None"/>
        </w:rPr>
        <w:t>Gouvernement</w:t>
      </w:r>
      <w:r w:rsidR="0038418A" w:rsidRPr="00FB6089">
        <w:rPr>
          <w:rStyle w:val="None"/>
        </w:rPr>
        <w:t xml:space="preserve"> n</w:t>
      </w:r>
      <w:r w:rsidR="0038418A">
        <w:rPr>
          <w:rStyle w:val="None"/>
        </w:rPr>
        <w:t>’apporte aucun élément</w:t>
      </w:r>
      <w:r w:rsidR="0038418A" w:rsidRPr="00FB6089">
        <w:rPr>
          <w:rStyle w:val="None"/>
        </w:rPr>
        <w:t xml:space="preserve"> sur l</w:t>
      </w:r>
      <w:r w:rsidR="0038418A">
        <w:rPr>
          <w:rStyle w:val="None"/>
        </w:rPr>
        <w:t>’</w:t>
      </w:r>
      <w:r w:rsidR="0038418A" w:rsidRPr="00FB6089">
        <w:rPr>
          <w:rStyle w:val="None"/>
        </w:rPr>
        <w:t xml:space="preserve">existence des autres preuves dont il fait état comme la vidéo </w:t>
      </w:r>
      <w:r w:rsidR="0038418A">
        <w:rPr>
          <w:rStyle w:val="None"/>
        </w:rPr>
        <w:t>ou</w:t>
      </w:r>
      <w:r w:rsidR="0038418A" w:rsidRPr="00FB6089">
        <w:rPr>
          <w:rStyle w:val="None"/>
        </w:rPr>
        <w:t xml:space="preserve"> les témoignages de complice</w:t>
      </w:r>
      <w:r w:rsidR="0038418A">
        <w:rPr>
          <w:rStyle w:val="None"/>
        </w:rPr>
        <w:t xml:space="preserve">s. La </w:t>
      </w:r>
      <w:r w:rsidR="0038418A" w:rsidRPr="00FB6089">
        <w:rPr>
          <w:rStyle w:val="None"/>
        </w:rPr>
        <w:t>communication des actes de justice comme le jugement et l</w:t>
      </w:r>
      <w:r w:rsidR="0038418A">
        <w:rPr>
          <w:rStyle w:val="None"/>
        </w:rPr>
        <w:t>’</w:t>
      </w:r>
      <w:r w:rsidR="0038418A" w:rsidRPr="00FB6089">
        <w:rPr>
          <w:rStyle w:val="None"/>
        </w:rPr>
        <w:t>arrêt aurait pu soutenir ces affirmations</w:t>
      </w:r>
      <w:r w:rsidR="0038418A">
        <w:rPr>
          <w:rStyle w:val="None"/>
        </w:rPr>
        <w:t>. Il convient de rappeler que ces affirmations</w:t>
      </w:r>
      <w:r w:rsidR="0038418A" w:rsidRPr="00FB6089">
        <w:rPr>
          <w:rStyle w:val="None"/>
        </w:rPr>
        <w:t xml:space="preserve"> </w:t>
      </w:r>
      <w:r w:rsidR="0038418A">
        <w:rPr>
          <w:rStyle w:val="None"/>
        </w:rPr>
        <w:t>sont</w:t>
      </w:r>
      <w:r w:rsidR="0038418A" w:rsidRPr="00FB6089">
        <w:rPr>
          <w:rStyle w:val="None"/>
        </w:rPr>
        <w:t xml:space="preserve"> formellement contestée</w:t>
      </w:r>
      <w:r w:rsidR="0038418A">
        <w:rPr>
          <w:rStyle w:val="None"/>
        </w:rPr>
        <w:t xml:space="preserve">s par la source qui </w:t>
      </w:r>
      <w:r w:rsidR="0038418A" w:rsidRPr="00FB6089">
        <w:rPr>
          <w:rStyle w:val="None"/>
        </w:rPr>
        <w:t>a présenté l</w:t>
      </w:r>
      <w:r w:rsidR="0038418A">
        <w:rPr>
          <w:rStyle w:val="None"/>
        </w:rPr>
        <w:t>’</w:t>
      </w:r>
      <w:r w:rsidR="0038418A" w:rsidRPr="00FB6089">
        <w:rPr>
          <w:rStyle w:val="None"/>
        </w:rPr>
        <w:t>ordonnance de renvoi du juge d</w:t>
      </w:r>
      <w:r w:rsidR="0038418A">
        <w:rPr>
          <w:rStyle w:val="None"/>
        </w:rPr>
        <w:t>’</w:t>
      </w:r>
      <w:r w:rsidR="0038418A" w:rsidRPr="00FB6089">
        <w:rPr>
          <w:rStyle w:val="None"/>
        </w:rPr>
        <w:t xml:space="preserve">instruction. </w:t>
      </w:r>
      <w:r w:rsidR="0038418A" w:rsidRPr="004B7D87">
        <w:rPr>
          <w:rStyle w:val="None"/>
        </w:rPr>
        <w:t>Par conséquent, le Groupe de travail</w:t>
      </w:r>
      <w:r w:rsidR="0038418A" w:rsidRPr="00602FE2">
        <w:rPr>
          <w:rStyle w:val="None"/>
        </w:rPr>
        <w:t xml:space="preserve"> est d</w:t>
      </w:r>
      <w:r w:rsidR="0038418A">
        <w:rPr>
          <w:rStyle w:val="None"/>
        </w:rPr>
        <w:t>’</w:t>
      </w:r>
      <w:r w:rsidR="0038418A" w:rsidRPr="00602FE2">
        <w:rPr>
          <w:rStyle w:val="None"/>
        </w:rPr>
        <w:t xml:space="preserve">avis que </w:t>
      </w:r>
      <w:r w:rsidR="0038418A" w:rsidRPr="0051073E">
        <w:rPr>
          <w:rStyle w:val="None"/>
        </w:rPr>
        <w:t>les faits et la preuve</w:t>
      </w:r>
      <w:r w:rsidR="0038418A" w:rsidRPr="00602FE2">
        <w:rPr>
          <w:rStyle w:val="None"/>
        </w:rPr>
        <w:t xml:space="preserve"> du procès de M.</w:t>
      </w:r>
      <w:r w:rsidR="00AD59D7">
        <w:rPr>
          <w:rStyle w:val="None"/>
        </w:rPr>
        <w:t> </w:t>
      </w:r>
      <w:proofErr w:type="spellStart"/>
      <w:r w:rsidR="0038418A" w:rsidRPr="00602FE2">
        <w:rPr>
          <w:rStyle w:val="None"/>
        </w:rPr>
        <w:t>Bassir</w:t>
      </w:r>
      <w:proofErr w:type="spellEnd"/>
      <w:r w:rsidR="0038418A" w:rsidRPr="00602FE2">
        <w:rPr>
          <w:rStyle w:val="None"/>
        </w:rPr>
        <w:t xml:space="preserve"> sont affectés par les abus subis par l</w:t>
      </w:r>
      <w:r w:rsidR="0038418A">
        <w:rPr>
          <w:rStyle w:val="None"/>
        </w:rPr>
        <w:t>’</w:t>
      </w:r>
      <w:r w:rsidR="0038418A" w:rsidRPr="00602FE2">
        <w:rPr>
          <w:rStyle w:val="None"/>
        </w:rPr>
        <w:t>accusé en violation de son droit à un procès équitable.</w:t>
      </w:r>
    </w:p>
    <w:p w:rsidR="0038418A" w:rsidRPr="00FB6089" w:rsidRDefault="00F04427" w:rsidP="00166E8C">
      <w:pPr>
        <w:pStyle w:val="SingleTxtG"/>
        <w:tabs>
          <w:tab w:val="right" w:pos="1021"/>
        </w:tabs>
        <w:ind w:left="1135"/>
        <w:rPr>
          <w:rStyle w:val="None"/>
        </w:rPr>
      </w:pPr>
      <w:r>
        <w:rPr>
          <w:rStyle w:val="None"/>
        </w:rPr>
        <w:t>52.</w:t>
      </w:r>
      <w:r>
        <w:rPr>
          <w:rStyle w:val="None"/>
        </w:rPr>
        <w:tab/>
      </w:r>
      <w:r w:rsidR="0038418A" w:rsidRPr="00FB6089">
        <w:rPr>
          <w:rStyle w:val="None"/>
        </w:rPr>
        <w:t>L</w:t>
      </w:r>
      <w:r w:rsidR="0038418A">
        <w:rPr>
          <w:rStyle w:val="None"/>
        </w:rPr>
        <w:t>’</w:t>
      </w:r>
      <w:r w:rsidR="0038418A" w:rsidRPr="00FB6089">
        <w:rPr>
          <w:rStyle w:val="None"/>
        </w:rPr>
        <w:t>article</w:t>
      </w:r>
      <w:r w:rsidR="00AD59D7">
        <w:rPr>
          <w:rStyle w:val="None"/>
        </w:rPr>
        <w:t> </w:t>
      </w:r>
      <w:r w:rsidR="0038418A" w:rsidRPr="00FB6089">
        <w:rPr>
          <w:rStyle w:val="None"/>
        </w:rPr>
        <w:t>14</w:t>
      </w:r>
      <w:r w:rsidR="0038418A">
        <w:rPr>
          <w:rStyle w:val="None"/>
        </w:rPr>
        <w:t xml:space="preserve"> </w:t>
      </w:r>
      <w:r w:rsidR="0038418A" w:rsidRPr="00FB6089">
        <w:rPr>
          <w:rStyle w:val="None"/>
        </w:rPr>
        <w:t>(</w:t>
      </w:r>
      <w:r w:rsidR="0038418A">
        <w:rPr>
          <w:rStyle w:val="None"/>
        </w:rPr>
        <w:t>par.</w:t>
      </w:r>
      <w:r w:rsidR="00AD59D7">
        <w:rPr>
          <w:rStyle w:val="None"/>
        </w:rPr>
        <w:t> </w:t>
      </w:r>
      <w:r w:rsidR="0038418A" w:rsidRPr="00FB6089">
        <w:rPr>
          <w:rStyle w:val="None"/>
        </w:rPr>
        <w:t>3</w:t>
      </w:r>
      <w:r w:rsidR="00AD59D7">
        <w:rPr>
          <w:rStyle w:val="None"/>
        </w:rPr>
        <w:t> </w:t>
      </w:r>
      <w:r w:rsidR="0038418A" w:rsidRPr="00FB6089">
        <w:rPr>
          <w:rStyle w:val="None"/>
        </w:rPr>
        <w:t>g)</w:t>
      </w:r>
      <w:r w:rsidR="0038418A">
        <w:rPr>
          <w:rStyle w:val="None"/>
        </w:rPr>
        <w:t>)</w:t>
      </w:r>
      <w:r w:rsidR="0038418A" w:rsidRPr="00FB6089">
        <w:rPr>
          <w:rStyle w:val="None"/>
        </w:rPr>
        <w:t xml:space="preserve"> du </w:t>
      </w:r>
      <w:r w:rsidR="0038418A">
        <w:rPr>
          <w:rStyle w:val="None"/>
        </w:rPr>
        <w:t>Pacte</w:t>
      </w:r>
      <w:r w:rsidR="0038418A" w:rsidRPr="00FB6089">
        <w:rPr>
          <w:rStyle w:val="None"/>
        </w:rPr>
        <w:t xml:space="preserve"> interdit qu</w:t>
      </w:r>
      <w:r w:rsidR="0038418A">
        <w:rPr>
          <w:rStyle w:val="None"/>
        </w:rPr>
        <w:t>’</w:t>
      </w:r>
      <w:r w:rsidR="0038418A" w:rsidRPr="00FB6089">
        <w:rPr>
          <w:rStyle w:val="None"/>
        </w:rPr>
        <w:t>un accusé puisse être forcé à s</w:t>
      </w:r>
      <w:r w:rsidR="0038418A">
        <w:rPr>
          <w:rStyle w:val="None"/>
        </w:rPr>
        <w:t>’</w:t>
      </w:r>
      <w:r w:rsidR="0038418A" w:rsidRPr="00FB6089">
        <w:rPr>
          <w:rStyle w:val="None"/>
        </w:rPr>
        <w:t>auto-incriminer. Or</w:t>
      </w:r>
      <w:r w:rsidR="0038418A">
        <w:rPr>
          <w:rStyle w:val="None"/>
        </w:rPr>
        <w:t>,</w:t>
      </w:r>
      <w:r w:rsidR="0038418A" w:rsidRPr="00FB6089">
        <w:rPr>
          <w:rStyle w:val="None"/>
        </w:rPr>
        <w:t xml:space="preserve"> les confessions résultant de violences subies sont le modèle même de ce qui est prohibé dans cette disposition. Le droit de M.</w:t>
      </w:r>
      <w:r w:rsidR="00AD59D7">
        <w:rPr>
          <w:rStyle w:val="None"/>
        </w:rPr>
        <w:t> </w:t>
      </w:r>
      <w:proofErr w:type="spellStart"/>
      <w:r w:rsidR="0038418A" w:rsidRPr="00FB6089">
        <w:rPr>
          <w:rStyle w:val="None"/>
        </w:rPr>
        <w:t>Bassir</w:t>
      </w:r>
      <w:proofErr w:type="spellEnd"/>
      <w:r w:rsidR="0038418A" w:rsidRPr="00FB6089">
        <w:rPr>
          <w:rStyle w:val="None"/>
        </w:rPr>
        <w:t xml:space="preserve"> </w:t>
      </w:r>
      <w:r w:rsidR="0038418A">
        <w:rPr>
          <w:rStyle w:val="None"/>
        </w:rPr>
        <w:t>de</w:t>
      </w:r>
      <w:r w:rsidR="0038418A" w:rsidRPr="00FB6089">
        <w:rPr>
          <w:rStyle w:val="None"/>
        </w:rPr>
        <w:t xml:space="preserve"> ne pas être forcé de donner des preuves contre lui-même a dès lors été violé</w:t>
      </w:r>
      <w:r w:rsidR="0038418A">
        <w:rPr>
          <w:rStyle w:val="None"/>
        </w:rPr>
        <w:t>.</w:t>
      </w:r>
      <w:r w:rsidR="0038418A" w:rsidRPr="00FB6089">
        <w:rPr>
          <w:rStyle w:val="None"/>
        </w:rPr>
        <w:t xml:space="preserve"> </w:t>
      </w:r>
      <w:r w:rsidR="0038418A">
        <w:rPr>
          <w:rStyle w:val="None"/>
        </w:rPr>
        <w:t>C</w:t>
      </w:r>
      <w:r w:rsidR="0038418A" w:rsidRPr="00FB6089">
        <w:rPr>
          <w:rStyle w:val="None"/>
        </w:rPr>
        <w:t>ette violation est particulièrement sérieuse puisqu</w:t>
      </w:r>
      <w:r w:rsidR="0038418A">
        <w:rPr>
          <w:rStyle w:val="None"/>
        </w:rPr>
        <w:t>’</w:t>
      </w:r>
      <w:r w:rsidR="0038418A" w:rsidRPr="00FB6089">
        <w:rPr>
          <w:rStyle w:val="None"/>
        </w:rPr>
        <w:t>elle conduit à douter de la réalité des faits confessés, ce doute devant bénéficier à l</w:t>
      </w:r>
      <w:r w:rsidR="0038418A">
        <w:rPr>
          <w:rStyle w:val="None"/>
        </w:rPr>
        <w:t>’</w:t>
      </w:r>
      <w:r w:rsidR="0038418A" w:rsidRPr="00FB6089">
        <w:rPr>
          <w:rStyle w:val="None"/>
        </w:rPr>
        <w:t xml:space="preserve">accusé. En conséquence, </w:t>
      </w:r>
      <w:r w:rsidR="0038418A">
        <w:rPr>
          <w:rStyle w:val="None"/>
        </w:rPr>
        <w:t xml:space="preserve">le Groupe de travail considère que la détention de </w:t>
      </w:r>
      <w:r w:rsidR="0038418A" w:rsidRPr="00FB6089">
        <w:rPr>
          <w:rStyle w:val="None"/>
        </w:rPr>
        <w:t>M.</w:t>
      </w:r>
      <w:r w:rsidR="00AD59D7">
        <w:rPr>
          <w:rStyle w:val="None"/>
        </w:rPr>
        <w:t> </w:t>
      </w:r>
      <w:proofErr w:type="spellStart"/>
      <w:r w:rsidR="0038418A" w:rsidRPr="00FB6089">
        <w:rPr>
          <w:rStyle w:val="None"/>
        </w:rPr>
        <w:t>Bassir</w:t>
      </w:r>
      <w:proofErr w:type="spellEnd"/>
      <w:r w:rsidR="0038418A">
        <w:rPr>
          <w:rStyle w:val="None"/>
        </w:rPr>
        <w:t xml:space="preserve"> constitue une privation arbitraire de sa liberté</w:t>
      </w:r>
      <w:r w:rsidR="0038418A" w:rsidRPr="00FB6089">
        <w:rPr>
          <w:rStyle w:val="None"/>
        </w:rPr>
        <w:t xml:space="preserve"> au titre de la catégorie</w:t>
      </w:r>
      <w:r w:rsidR="00AD59D7">
        <w:rPr>
          <w:rStyle w:val="None"/>
        </w:rPr>
        <w:t> </w:t>
      </w:r>
      <w:r w:rsidR="0038418A" w:rsidRPr="00FB6089">
        <w:rPr>
          <w:rStyle w:val="None"/>
        </w:rPr>
        <w:t>III.</w:t>
      </w:r>
    </w:p>
    <w:p w:rsidR="0038418A" w:rsidRPr="00FB6089" w:rsidRDefault="00F04427" w:rsidP="00166E8C">
      <w:pPr>
        <w:pStyle w:val="SingleTxtG"/>
        <w:tabs>
          <w:tab w:val="right" w:pos="1021"/>
        </w:tabs>
        <w:ind w:left="1135"/>
        <w:rPr>
          <w:rStyle w:val="None"/>
        </w:rPr>
      </w:pPr>
      <w:r>
        <w:rPr>
          <w:rStyle w:val="None"/>
        </w:rPr>
        <w:t>53.</w:t>
      </w:r>
      <w:r>
        <w:rPr>
          <w:rStyle w:val="None"/>
        </w:rPr>
        <w:tab/>
      </w:r>
      <w:r w:rsidR="0038418A">
        <w:rPr>
          <w:rStyle w:val="None"/>
        </w:rPr>
        <w:t>Par ailleurs, l</w:t>
      </w:r>
      <w:r w:rsidR="0038418A" w:rsidRPr="00FB6089">
        <w:rPr>
          <w:rStyle w:val="None"/>
        </w:rPr>
        <w:t>e Groupe de travail note qu</w:t>
      </w:r>
      <w:r w:rsidR="0038418A">
        <w:rPr>
          <w:rStyle w:val="None"/>
        </w:rPr>
        <w:t>’</w:t>
      </w:r>
      <w:r w:rsidR="0038418A" w:rsidRPr="00FB6089">
        <w:rPr>
          <w:rStyle w:val="None"/>
        </w:rPr>
        <w:t>il y a une pratique généralisée d</w:t>
      </w:r>
      <w:r w:rsidR="0038418A">
        <w:rPr>
          <w:rStyle w:val="None"/>
        </w:rPr>
        <w:t>’</w:t>
      </w:r>
      <w:r w:rsidR="0038418A" w:rsidRPr="00FB6089">
        <w:rPr>
          <w:rStyle w:val="None"/>
        </w:rPr>
        <w:t>abus contre les personnes qui, comme M.</w:t>
      </w:r>
      <w:r w:rsidR="00AD59D7">
        <w:rPr>
          <w:rStyle w:val="None"/>
        </w:rPr>
        <w:t> </w:t>
      </w:r>
      <w:proofErr w:type="spellStart"/>
      <w:r w:rsidR="0038418A" w:rsidRPr="00FB6089">
        <w:rPr>
          <w:rStyle w:val="None"/>
        </w:rPr>
        <w:t>Bassir</w:t>
      </w:r>
      <w:proofErr w:type="spellEnd"/>
      <w:r w:rsidR="0038418A" w:rsidRPr="00FB6089">
        <w:rPr>
          <w:rStyle w:val="None"/>
        </w:rPr>
        <w:t>, milite</w:t>
      </w:r>
      <w:r w:rsidR="0038418A">
        <w:rPr>
          <w:rStyle w:val="None"/>
        </w:rPr>
        <w:t>nt</w:t>
      </w:r>
      <w:r w:rsidR="0038418A" w:rsidRPr="00FB6089">
        <w:rPr>
          <w:rStyle w:val="None"/>
        </w:rPr>
        <w:t xml:space="preserve"> pour l</w:t>
      </w:r>
      <w:r w:rsidR="0038418A">
        <w:rPr>
          <w:rStyle w:val="None"/>
        </w:rPr>
        <w:t>’</w:t>
      </w:r>
      <w:r w:rsidR="0038418A" w:rsidRPr="00FB6089">
        <w:rPr>
          <w:rStyle w:val="None"/>
        </w:rPr>
        <w:t>autodét</w:t>
      </w:r>
      <w:r w:rsidR="0038418A">
        <w:rPr>
          <w:rStyle w:val="None"/>
        </w:rPr>
        <w:t>ermination de la population sah</w:t>
      </w:r>
      <w:r w:rsidR="0038418A" w:rsidRPr="00FB6089">
        <w:rPr>
          <w:rStyle w:val="None"/>
        </w:rPr>
        <w:t>r</w:t>
      </w:r>
      <w:r w:rsidR="0038418A">
        <w:rPr>
          <w:rStyle w:val="None"/>
        </w:rPr>
        <w:t>a</w:t>
      </w:r>
      <w:r w:rsidR="0038418A" w:rsidRPr="00FB6089">
        <w:rPr>
          <w:rStyle w:val="None"/>
        </w:rPr>
        <w:t xml:space="preserve">ouie. </w:t>
      </w:r>
      <w:r w:rsidR="0038418A">
        <w:rPr>
          <w:rStyle w:val="None"/>
        </w:rPr>
        <w:t>Cela est constitutif de</w:t>
      </w:r>
      <w:r w:rsidR="0038418A" w:rsidRPr="0051073E">
        <w:rPr>
          <w:rStyle w:val="None"/>
        </w:rPr>
        <w:t xml:space="preserve"> discrimination</w:t>
      </w:r>
      <w:r w:rsidR="0038418A" w:rsidRPr="00FB6089">
        <w:rPr>
          <w:rStyle w:val="None"/>
        </w:rPr>
        <w:t xml:space="preserve"> en violation du droit international</w:t>
      </w:r>
      <w:r w:rsidR="0038418A">
        <w:rPr>
          <w:rStyle w:val="None"/>
        </w:rPr>
        <w:t>,</w:t>
      </w:r>
      <w:r w:rsidR="0038418A" w:rsidRPr="00FB6089">
        <w:rPr>
          <w:rStyle w:val="None"/>
        </w:rPr>
        <w:t xml:space="preserve"> notamment des articles</w:t>
      </w:r>
      <w:r w:rsidR="00AD59D7">
        <w:rPr>
          <w:rStyle w:val="None"/>
        </w:rPr>
        <w:t> </w:t>
      </w:r>
      <w:r w:rsidR="0038418A" w:rsidRPr="00FB6089">
        <w:rPr>
          <w:rStyle w:val="None"/>
        </w:rPr>
        <w:t>1, 2 et 27 du Pacte</w:t>
      </w:r>
      <w:r w:rsidR="0038418A">
        <w:rPr>
          <w:rStyle w:val="None"/>
        </w:rPr>
        <w:t>. Dès lors, le Groupe de travail considère que la détention de M.</w:t>
      </w:r>
      <w:r w:rsidR="00AD59D7">
        <w:rPr>
          <w:rStyle w:val="None"/>
        </w:rPr>
        <w:t> </w:t>
      </w:r>
      <w:proofErr w:type="spellStart"/>
      <w:r w:rsidR="0038418A">
        <w:rPr>
          <w:rStyle w:val="None"/>
        </w:rPr>
        <w:t>Bassir</w:t>
      </w:r>
      <w:proofErr w:type="spellEnd"/>
      <w:r w:rsidR="0038418A">
        <w:rPr>
          <w:rStyle w:val="None"/>
        </w:rPr>
        <w:t xml:space="preserve"> est également </w:t>
      </w:r>
      <w:r w:rsidR="0038418A" w:rsidRPr="00FB6089">
        <w:rPr>
          <w:rStyle w:val="None"/>
        </w:rPr>
        <w:t>arbitraire au titre de la catégorie</w:t>
      </w:r>
      <w:r w:rsidR="00AD59D7">
        <w:rPr>
          <w:rStyle w:val="None"/>
        </w:rPr>
        <w:t> </w:t>
      </w:r>
      <w:r w:rsidR="0038418A" w:rsidRPr="00FB6089">
        <w:rPr>
          <w:rStyle w:val="None"/>
        </w:rPr>
        <w:t xml:space="preserve">V. </w:t>
      </w:r>
    </w:p>
    <w:p w:rsidR="0038418A" w:rsidRPr="00FB6089" w:rsidRDefault="00F04427" w:rsidP="00166E8C">
      <w:pPr>
        <w:pStyle w:val="SingleTxtG"/>
        <w:tabs>
          <w:tab w:val="right" w:pos="1021"/>
        </w:tabs>
        <w:ind w:left="1135"/>
        <w:rPr>
          <w:rStyle w:val="None"/>
        </w:rPr>
      </w:pPr>
      <w:r>
        <w:rPr>
          <w:rStyle w:val="None"/>
        </w:rPr>
        <w:t>54.</w:t>
      </w:r>
      <w:r>
        <w:rPr>
          <w:rStyle w:val="None"/>
        </w:rPr>
        <w:tab/>
      </w:r>
      <w:r w:rsidR="0038418A" w:rsidRPr="00FB6089">
        <w:rPr>
          <w:rStyle w:val="None"/>
        </w:rPr>
        <w:t>Enfin, la nature des faits de l</w:t>
      </w:r>
      <w:r w:rsidR="0038418A">
        <w:rPr>
          <w:rStyle w:val="None"/>
        </w:rPr>
        <w:t>’</w:t>
      </w:r>
      <w:r w:rsidR="0038418A" w:rsidRPr="00FB6089">
        <w:rPr>
          <w:rStyle w:val="None"/>
        </w:rPr>
        <w:t>espèce amène le Groupe de trava</w:t>
      </w:r>
      <w:r w:rsidR="0038418A">
        <w:rPr>
          <w:rStyle w:val="None"/>
        </w:rPr>
        <w:t>il</w:t>
      </w:r>
      <w:r w:rsidR="0038418A" w:rsidRPr="00FB6089">
        <w:rPr>
          <w:rStyle w:val="None"/>
        </w:rPr>
        <w:t xml:space="preserve"> à renvoyer l</w:t>
      </w:r>
      <w:r w:rsidR="0038418A">
        <w:rPr>
          <w:rStyle w:val="None"/>
        </w:rPr>
        <w:t>’</w:t>
      </w:r>
      <w:r w:rsidR="0038418A" w:rsidRPr="00FB6089">
        <w:rPr>
          <w:rStyle w:val="None"/>
        </w:rPr>
        <w:t>affaire au Rapporteur spécial sur la torture</w:t>
      </w:r>
      <w:r w:rsidR="0038418A">
        <w:rPr>
          <w:rStyle w:val="None"/>
        </w:rPr>
        <w:t xml:space="preserve"> et autres peines ou traitements cruels, inhumains ou dégradants</w:t>
      </w:r>
      <w:r w:rsidR="0038418A" w:rsidRPr="00FB6089">
        <w:rPr>
          <w:rStyle w:val="None"/>
        </w:rPr>
        <w:t xml:space="preserve">. </w:t>
      </w:r>
    </w:p>
    <w:p w:rsidR="0038418A" w:rsidRPr="00A35936" w:rsidRDefault="0038418A" w:rsidP="0038418A">
      <w:pPr>
        <w:pStyle w:val="H23G"/>
        <w:rPr>
          <w:lang w:val="fr-FR"/>
        </w:rPr>
      </w:pPr>
      <w:r w:rsidRPr="00A35936">
        <w:rPr>
          <w:lang w:val="fr-FR"/>
        </w:rPr>
        <w:tab/>
      </w:r>
      <w:r w:rsidRPr="00A35936">
        <w:rPr>
          <w:lang w:val="fr-FR"/>
        </w:rPr>
        <w:tab/>
        <w:t>Dispositif</w:t>
      </w:r>
    </w:p>
    <w:p w:rsidR="0038418A" w:rsidRPr="00A35936" w:rsidRDefault="00F04427" w:rsidP="00166E8C">
      <w:pPr>
        <w:pStyle w:val="SingleTxtG"/>
        <w:tabs>
          <w:tab w:val="right" w:pos="1021"/>
        </w:tabs>
        <w:ind w:left="1135"/>
        <w:rPr>
          <w:lang w:val="fr-FR"/>
        </w:rPr>
      </w:pPr>
      <w:r>
        <w:rPr>
          <w:lang w:val="fr-FR"/>
        </w:rPr>
        <w:t>55.</w:t>
      </w:r>
      <w:r>
        <w:rPr>
          <w:lang w:val="fr-FR"/>
        </w:rPr>
        <w:tab/>
      </w:r>
      <w:r w:rsidR="0038418A" w:rsidRPr="00A35936">
        <w:rPr>
          <w:lang w:val="fr-FR"/>
        </w:rPr>
        <w:t>Compte tenu de ce qui précède, le Groupe de travail rend l</w:t>
      </w:r>
      <w:r w:rsidR="0038418A">
        <w:rPr>
          <w:lang w:val="fr-FR"/>
        </w:rPr>
        <w:t>’</w:t>
      </w:r>
      <w:r w:rsidR="0038418A" w:rsidRPr="00A35936">
        <w:rPr>
          <w:lang w:val="fr-FR"/>
        </w:rPr>
        <w:t>avis suivant :</w:t>
      </w:r>
    </w:p>
    <w:p w:rsidR="0038418A" w:rsidRPr="00A35936" w:rsidRDefault="0038418A" w:rsidP="00166E8C">
      <w:pPr>
        <w:pStyle w:val="SingleTxtG"/>
        <w:ind w:left="1701" w:firstLine="567"/>
        <w:rPr>
          <w:lang w:val="fr-FR"/>
        </w:rPr>
      </w:pPr>
      <w:r w:rsidRPr="00FB6089">
        <w:rPr>
          <w:rStyle w:val="None"/>
        </w:rPr>
        <w:lastRenderedPageBreak/>
        <w:t xml:space="preserve">La privation de liberté de Salah Eddine </w:t>
      </w:r>
      <w:proofErr w:type="spellStart"/>
      <w:r w:rsidRPr="00FB6089">
        <w:rPr>
          <w:rStyle w:val="None"/>
        </w:rPr>
        <w:t>Bassir</w:t>
      </w:r>
      <w:proofErr w:type="spellEnd"/>
      <w:r w:rsidRPr="00FB6089">
        <w:rPr>
          <w:rStyle w:val="None"/>
          <w:u w:color="FF0000"/>
        </w:rPr>
        <w:t xml:space="preserve"> </w:t>
      </w:r>
      <w:r w:rsidRPr="00FB6089">
        <w:rPr>
          <w:rStyle w:val="None"/>
        </w:rPr>
        <w:t>est arbitraire en ce qu</w:t>
      </w:r>
      <w:r>
        <w:rPr>
          <w:rStyle w:val="None"/>
        </w:rPr>
        <w:t>’</w:t>
      </w:r>
      <w:r w:rsidRPr="00FB6089">
        <w:rPr>
          <w:rStyle w:val="None"/>
        </w:rPr>
        <w:t>elle est contraire aux articles</w:t>
      </w:r>
      <w:r w:rsidR="00AD59D7">
        <w:rPr>
          <w:rStyle w:val="None"/>
        </w:rPr>
        <w:t> </w:t>
      </w:r>
      <w:r w:rsidRPr="00FB6089">
        <w:rPr>
          <w:rStyle w:val="None"/>
        </w:rPr>
        <w:t xml:space="preserve">1, 2, </w:t>
      </w:r>
      <w:r>
        <w:rPr>
          <w:rStyle w:val="None"/>
        </w:rPr>
        <w:t>14 (par.</w:t>
      </w:r>
      <w:r w:rsidR="00AD59D7">
        <w:rPr>
          <w:rStyle w:val="None"/>
        </w:rPr>
        <w:t> </w:t>
      </w:r>
      <w:r>
        <w:rPr>
          <w:rStyle w:val="None"/>
        </w:rPr>
        <w:t xml:space="preserve">3) </w:t>
      </w:r>
      <w:r w:rsidRPr="00FB6089">
        <w:rPr>
          <w:rStyle w:val="None"/>
        </w:rPr>
        <w:t xml:space="preserve">18, </w:t>
      </w:r>
      <w:r>
        <w:rPr>
          <w:rStyle w:val="None"/>
        </w:rPr>
        <w:t xml:space="preserve">19, </w:t>
      </w:r>
      <w:r w:rsidRPr="00FB6089">
        <w:rPr>
          <w:rStyle w:val="None"/>
        </w:rPr>
        <w:t>26 et 27 du Pacte international relatif aux droits civils et politiques et relève des catégories</w:t>
      </w:r>
      <w:r w:rsidR="00AD59D7">
        <w:rPr>
          <w:rStyle w:val="None"/>
        </w:rPr>
        <w:t> </w:t>
      </w:r>
      <w:r w:rsidRPr="00FB6089">
        <w:rPr>
          <w:rStyle w:val="None"/>
        </w:rPr>
        <w:t xml:space="preserve">II, III et V. </w:t>
      </w:r>
    </w:p>
    <w:p w:rsidR="0038418A" w:rsidRPr="00FB6089" w:rsidRDefault="00F04427" w:rsidP="00166E8C">
      <w:pPr>
        <w:pStyle w:val="SingleTxtG"/>
        <w:tabs>
          <w:tab w:val="right" w:pos="1021"/>
        </w:tabs>
        <w:ind w:left="1135"/>
        <w:rPr>
          <w:rStyle w:val="None"/>
        </w:rPr>
      </w:pPr>
      <w:r>
        <w:rPr>
          <w:rStyle w:val="None"/>
        </w:rPr>
        <w:t>56.</w:t>
      </w:r>
      <w:r>
        <w:rPr>
          <w:rStyle w:val="None"/>
        </w:rPr>
        <w:tab/>
      </w:r>
      <w:r w:rsidR="0038418A" w:rsidRPr="00FB6089">
        <w:rPr>
          <w:rStyle w:val="None"/>
        </w:rPr>
        <w:t xml:space="preserve">Le Groupe de travail demande au Gouvernement </w:t>
      </w:r>
      <w:r w:rsidR="0038418A">
        <w:rPr>
          <w:rStyle w:val="None"/>
        </w:rPr>
        <w:t>marocain</w:t>
      </w:r>
      <w:r w:rsidR="0038418A" w:rsidRPr="00FB6089">
        <w:rPr>
          <w:rStyle w:val="None"/>
          <w:u w:color="FF0000"/>
        </w:rPr>
        <w:t xml:space="preserve"> </w:t>
      </w:r>
      <w:r w:rsidR="0038418A" w:rsidRPr="00FB6089">
        <w:rPr>
          <w:rStyle w:val="None"/>
        </w:rPr>
        <w:t>de prendre les mesures qui s</w:t>
      </w:r>
      <w:r w:rsidR="0038418A">
        <w:rPr>
          <w:rStyle w:val="None"/>
        </w:rPr>
        <w:t>’</w:t>
      </w:r>
      <w:r w:rsidR="0038418A" w:rsidRPr="00FB6089">
        <w:rPr>
          <w:rStyle w:val="None"/>
        </w:rPr>
        <w:t xml:space="preserve">imposent pour remédier sans tarder à la situation de Salah Eddine </w:t>
      </w:r>
      <w:proofErr w:type="spellStart"/>
      <w:r w:rsidR="0038418A" w:rsidRPr="00FB6089">
        <w:rPr>
          <w:rStyle w:val="None"/>
        </w:rPr>
        <w:t>Bassir</w:t>
      </w:r>
      <w:proofErr w:type="spellEnd"/>
      <w:r w:rsidR="0038418A" w:rsidRPr="00FB6089">
        <w:rPr>
          <w:rStyle w:val="None"/>
        </w:rPr>
        <w:t xml:space="preserve"> et la rendre compatible avec les normes internationales applicables, notamment celles énoncé</w:t>
      </w:r>
      <w:r w:rsidR="0038418A">
        <w:rPr>
          <w:rStyle w:val="None"/>
        </w:rPr>
        <w:t>e</w:t>
      </w:r>
      <w:r w:rsidR="0038418A" w:rsidRPr="00FB6089">
        <w:rPr>
          <w:rStyle w:val="None"/>
        </w:rPr>
        <w:t>s dans la Déclaration universelle des droits de l</w:t>
      </w:r>
      <w:r w:rsidR="0038418A">
        <w:rPr>
          <w:rStyle w:val="None"/>
        </w:rPr>
        <w:t>’</w:t>
      </w:r>
      <w:r w:rsidR="0038418A" w:rsidRPr="00FB6089">
        <w:rPr>
          <w:rStyle w:val="None"/>
        </w:rPr>
        <w:t>homme et le Pacte international relatif aux droits civils et politiques.</w:t>
      </w:r>
    </w:p>
    <w:p w:rsidR="0038418A" w:rsidRDefault="00F04427" w:rsidP="00166E8C">
      <w:pPr>
        <w:pStyle w:val="SingleTxtG"/>
        <w:tabs>
          <w:tab w:val="right" w:pos="1021"/>
        </w:tabs>
        <w:ind w:left="1135"/>
        <w:rPr>
          <w:lang w:val="fr-FR"/>
        </w:rPr>
      </w:pPr>
      <w:r>
        <w:rPr>
          <w:rStyle w:val="None"/>
        </w:rPr>
        <w:t>57.</w:t>
      </w:r>
      <w:r>
        <w:rPr>
          <w:rStyle w:val="None"/>
        </w:rPr>
        <w:tab/>
      </w:r>
      <w:r w:rsidR="0038418A" w:rsidRPr="00FB6089">
        <w:rPr>
          <w:rStyle w:val="None"/>
        </w:rPr>
        <w:t>Le Groupe de travail estime que, compte tenu de toutes les circonstances de l</w:t>
      </w:r>
      <w:r w:rsidR="0038418A">
        <w:rPr>
          <w:rStyle w:val="None"/>
        </w:rPr>
        <w:t>’</w:t>
      </w:r>
      <w:r w:rsidR="0038418A" w:rsidRPr="00FB6089">
        <w:rPr>
          <w:rStyle w:val="None"/>
        </w:rPr>
        <w:t xml:space="preserve">espèce, la mesure appropriée consisterait à libérer immédiatement Salah Eddine </w:t>
      </w:r>
      <w:proofErr w:type="spellStart"/>
      <w:r w:rsidR="0038418A" w:rsidRPr="00FB6089">
        <w:rPr>
          <w:rStyle w:val="None"/>
        </w:rPr>
        <w:t>Bassir</w:t>
      </w:r>
      <w:proofErr w:type="spellEnd"/>
      <w:r w:rsidR="0038418A" w:rsidRPr="00FB6089">
        <w:rPr>
          <w:rStyle w:val="None"/>
        </w:rPr>
        <w:t xml:space="preserve"> et à lui accorder le droit d</w:t>
      </w:r>
      <w:r w:rsidR="0038418A">
        <w:rPr>
          <w:rStyle w:val="None"/>
        </w:rPr>
        <w:t>’</w:t>
      </w:r>
      <w:r w:rsidR="0038418A" w:rsidRPr="00FB6089">
        <w:rPr>
          <w:rStyle w:val="None"/>
        </w:rPr>
        <w:t>obtenir réparation</w:t>
      </w:r>
      <w:r w:rsidR="0038418A">
        <w:rPr>
          <w:rStyle w:val="None"/>
        </w:rPr>
        <w:t>,</w:t>
      </w:r>
      <w:r w:rsidR="0038418A" w:rsidRPr="00FB6089">
        <w:rPr>
          <w:rStyle w:val="None"/>
        </w:rPr>
        <w:t xml:space="preserve"> notamment sous la forme d</w:t>
      </w:r>
      <w:r w:rsidR="0038418A">
        <w:rPr>
          <w:rStyle w:val="None"/>
        </w:rPr>
        <w:t>’</w:t>
      </w:r>
      <w:r w:rsidR="0038418A" w:rsidRPr="00FB6089">
        <w:rPr>
          <w:rStyle w:val="None"/>
        </w:rPr>
        <w:t>une indemnisation, conformément au droit international</w:t>
      </w:r>
      <w:r w:rsidR="0038418A">
        <w:rPr>
          <w:lang w:val="fr-FR"/>
        </w:rPr>
        <w:t>.</w:t>
      </w:r>
    </w:p>
    <w:p w:rsidR="0038418A" w:rsidRDefault="00F04427" w:rsidP="00166E8C">
      <w:pPr>
        <w:pStyle w:val="SingleTxtG"/>
        <w:tabs>
          <w:tab w:val="right" w:pos="1021"/>
        </w:tabs>
        <w:ind w:left="1135"/>
        <w:rPr>
          <w:lang w:val="fr-FR"/>
        </w:rPr>
      </w:pPr>
      <w:r>
        <w:t>58.</w:t>
      </w:r>
      <w:r>
        <w:tab/>
      </w:r>
      <w:r w:rsidR="0038418A">
        <w:t>Conformément au paragraphe</w:t>
      </w:r>
      <w:r w:rsidR="00AD59D7">
        <w:t> </w:t>
      </w:r>
      <w:r w:rsidR="0038418A">
        <w:t>33</w:t>
      </w:r>
      <w:r w:rsidR="00AD59D7">
        <w:t> </w:t>
      </w:r>
      <w:r w:rsidR="0038418A">
        <w:t>a) de ses méthodes de travail, le Groupe de travail saisit le Rapporteur spécial sur la torture et autres peines ou traitements cruels, inhumains ou dégradants.</w:t>
      </w:r>
    </w:p>
    <w:p w:rsidR="0038418A" w:rsidRPr="00A35936" w:rsidRDefault="0038418A" w:rsidP="0038418A">
      <w:pPr>
        <w:pStyle w:val="H23G"/>
        <w:rPr>
          <w:lang w:val="fr-FR"/>
        </w:rPr>
      </w:pPr>
      <w:r w:rsidRPr="00A35936">
        <w:rPr>
          <w:lang w:val="fr-FR"/>
        </w:rPr>
        <w:tab/>
      </w:r>
      <w:r w:rsidRPr="00A35936">
        <w:rPr>
          <w:lang w:val="fr-FR"/>
        </w:rPr>
        <w:tab/>
        <w:t>Procédure de suivi</w:t>
      </w:r>
    </w:p>
    <w:p w:rsidR="0038418A" w:rsidRPr="00A35936" w:rsidRDefault="00F04427" w:rsidP="00166E8C">
      <w:pPr>
        <w:pStyle w:val="SingleTxtG"/>
        <w:tabs>
          <w:tab w:val="right" w:pos="1021"/>
        </w:tabs>
        <w:ind w:left="1135"/>
        <w:rPr>
          <w:lang w:val="fr-FR"/>
        </w:rPr>
      </w:pPr>
      <w:r>
        <w:rPr>
          <w:lang w:val="fr-FR"/>
        </w:rPr>
        <w:t>59.</w:t>
      </w:r>
      <w:r>
        <w:rPr>
          <w:lang w:val="fr-FR"/>
        </w:rPr>
        <w:tab/>
      </w:r>
      <w:r w:rsidR="0038418A" w:rsidRPr="00A35936">
        <w:rPr>
          <w:lang w:val="fr-FR"/>
        </w:rPr>
        <w:t>Conformément au paragraphe</w:t>
      </w:r>
      <w:r w:rsidR="00AD59D7">
        <w:rPr>
          <w:lang w:val="fr-FR"/>
        </w:rPr>
        <w:t> </w:t>
      </w:r>
      <w:r w:rsidR="0038418A" w:rsidRPr="00A35936">
        <w:rPr>
          <w:lang w:val="fr-FR"/>
        </w:rPr>
        <w:t>20 de ses méthodes de travail, le Groupe de travail prie la source et le Gouvernement de l</w:t>
      </w:r>
      <w:r w:rsidR="0038418A">
        <w:rPr>
          <w:lang w:val="fr-FR"/>
        </w:rPr>
        <w:t>’</w:t>
      </w:r>
      <w:r w:rsidR="0038418A" w:rsidRPr="00A35936">
        <w:rPr>
          <w:lang w:val="fr-FR"/>
        </w:rPr>
        <w:t>informer de toutes mesures prises pour appliquer les recommandations formulées dans le présent avis, et notamment de lui faire savoir :</w:t>
      </w:r>
    </w:p>
    <w:p w:rsidR="0038418A" w:rsidRPr="00FB6089" w:rsidRDefault="0038418A" w:rsidP="0038418A">
      <w:pPr>
        <w:pStyle w:val="SingleTxtG"/>
        <w:ind w:firstLine="567"/>
        <w:rPr>
          <w:rStyle w:val="None"/>
        </w:rPr>
      </w:pPr>
      <w:r w:rsidRPr="00A35936">
        <w:rPr>
          <w:lang w:val="fr-FR"/>
        </w:rPr>
        <w:t>a)</w:t>
      </w:r>
      <w:r w:rsidRPr="00A35936">
        <w:rPr>
          <w:lang w:val="fr-FR"/>
        </w:rPr>
        <w:tab/>
      </w:r>
      <w:r w:rsidRPr="00D16B72">
        <w:rPr>
          <w:lang w:val="fr-FR"/>
        </w:rPr>
        <w:t>Si M.</w:t>
      </w:r>
      <w:r w:rsidR="00AD59D7">
        <w:rPr>
          <w:lang w:val="fr-FR"/>
        </w:rPr>
        <w:t> </w:t>
      </w:r>
      <w:proofErr w:type="spellStart"/>
      <w:r w:rsidRPr="00D16B72">
        <w:rPr>
          <w:rStyle w:val="None"/>
        </w:rPr>
        <w:t>Bassir</w:t>
      </w:r>
      <w:proofErr w:type="spellEnd"/>
      <w:r w:rsidRPr="00D16B72">
        <w:rPr>
          <w:rStyle w:val="None"/>
        </w:rPr>
        <w:t xml:space="preserve"> </w:t>
      </w:r>
      <w:r w:rsidRPr="00FB6089">
        <w:rPr>
          <w:rStyle w:val="None"/>
        </w:rPr>
        <w:t>a été mis en liberté et, le cas échéant, à quelle date ;</w:t>
      </w:r>
    </w:p>
    <w:p w:rsidR="0038418A" w:rsidRPr="00FB6089" w:rsidRDefault="0038418A" w:rsidP="0038418A">
      <w:pPr>
        <w:pStyle w:val="SingleTxtG"/>
        <w:ind w:firstLine="567"/>
        <w:rPr>
          <w:rStyle w:val="None"/>
        </w:rPr>
      </w:pPr>
      <w:r w:rsidRPr="00FB6089">
        <w:rPr>
          <w:rStyle w:val="None"/>
        </w:rPr>
        <w:t>b)</w:t>
      </w:r>
      <w:r w:rsidRPr="00FB6089">
        <w:rPr>
          <w:rStyle w:val="None"/>
        </w:rPr>
        <w:tab/>
        <w:t>Si M.</w:t>
      </w:r>
      <w:r w:rsidR="00AD59D7">
        <w:rPr>
          <w:rStyle w:val="None"/>
        </w:rPr>
        <w:t> </w:t>
      </w:r>
      <w:proofErr w:type="spellStart"/>
      <w:r w:rsidRPr="00FB6089">
        <w:rPr>
          <w:rStyle w:val="None"/>
        </w:rPr>
        <w:t>Bassir</w:t>
      </w:r>
      <w:proofErr w:type="spellEnd"/>
      <w:r w:rsidRPr="00FB6089">
        <w:rPr>
          <w:rStyle w:val="None"/>
          <w:u w:color="FF0000"/>
        </w:rPr>
        <w:t xml:space="preserve"> </w:t>
      </w:r>
      <w:r w:rsidRPr="00FB6089">
        <w:rPr>
          <w:rStyle w:val="None"/>
        </w:rPr>
        <w:t>a obtenu réparation, notamment sous la forme d</w:t>
      </w:r>
      <w:r>
        <w:rPr>
          <w:rStyle w:val="None"/>
        </w:rPr>
        <w:t>’</w:t>
      </w:r>
      <w:r w:rsidRPr="00FB6089">
        <w:rPr>
          <w:rStyle w:val="None"/>
        </w:rPr>
        <w:t>une indemnisation ;</w:t>
      </w:r>
    </w:p>
    <w:p w:rsidR="0038418A" w:rsidRPr="00FB6089" w:rsidRDefault="0038418A" w:rsidP="0038418A">
      <w:pPr>
        <w:pStyle w:val="SingleTxtG"/>
        <w:ind w:firstLine="567"/>
        <w:rPr>
          <w:rStyle w:val="None"/>
        </w:rPr>
      </w:pPr>
      <w:r w:rsidRPr="00FB6089">
        <w:rPr>
          <w:rStyle w:val="None"/>
        </w:rPr>
        <w:t>c)</w:t>
      </w:r>
      <w:r w:rsidRPr="00FB6089">
        <w:rPr>
          <w:rStyle w:val="None"/>
        </w:rPr>
        <w:tab/>
        <w:t>Si la v</w:t>
      </w:r>
      <w:r>
        <w:rPr>
          <w:rStyle w:val="None"/>
        </w:rPr>
        <w:t>iolation des droits de M.</w:t>
      </w:r>
      <w:r w:rsidR="00BA3324">
        <w:rPr>
          <w:rStyle w:val="None"/>
        </w:rPr>
        <w:t> </w:t>
      </w:r>
      <w:proofErr w:type="spellStart"/>
      <w:r w:rsidRPr="00FB6089">
        <w:rPr>
          <w:rStyle w:val="None"/>
        </w:rPr>
        <w:t>Bassir</w:t>
      </w:r>
      <w:proofErr w:type="spellEnd"/>
      <w:r w:rsidRPr="00FB6089">
        <w:rPr>
          <w:rStyle w:val="None"/>
          <w:u w:color="FF0000"/>
        </w:rPr>
        <w:t xml:space="preserve"> </w:t>
      </w:r>
      <w:r w:rsidRPr="00FB6089">
        <w:rPr>
          <w:rStyle w:val="None"/>
        </w:rPr>
        <w:t>a fait l</w:t>
      </w:r>
      <w:r>
        <w:rPr>
          <w:rStyle w:val="None"/>
        </w:rPr>
        <w:t>’</w:t>
      </w:r>
      <w:r w:rsidRPr="00FB6089">
        <w:rPr>
          <w:rStyle w:val="None"/>
        </w:rPr>
        <w:t>objet d</w:t>
      </w:r>
      <w:r>
        <w:rPr>
          <w:rStyle w:val="None"/>
        </w:rPr>
        <w:t>’</w:t>
      </w:r>
      <w:r w:rsidRPr="00FB6089">
        <w:rPr>
          <w:rStyle w:val="None"/>
        </w:rPr>
        <w:t>une enquête et, le cas échéant, quelle a été l</w:t>
      </w:r>
      <w:r>
        <w:rPr>
          <w:rStyle w:val="None"/>
        </w:rPr>
        <w:t>’</w:t>
      </w:r>
      <w:r w:rsidRPr="00FB6089">
        <w:rPr>
          <w:rStyle w:val="None"/>
        </w:rPr>
        <w:t xml:space="preserve">issue de celle-ci ; </w:t>
      </w:r>
    </w:p>
    <w:p w:rsidR="0038418A" w:rsidRPr="00FB6089" w:rsidRDefault="0038418A" w:rsidP="0038418A">
      <w:pPr>
        <w:pStyle w:val="SingleTxtG"/>
        <w:ind w:firstLine="567"/>
        <w:rPr>
          <w:rStyle w:val="None"/>
        </w:rPr>
      </w:pPr>
      <w:r w:rsidRPr="00FB6089">
        <w:rPr>
          <w:rStyle w:val="None"/>
        </w:rPr>
        <w:t>d)</w:t>
      </w:r>
      <w:r w:rsidRPr="00FB6089">
        <w:rPr>
          <w:rStyle w:val="None"/>
        </w:rPr>
        <w:tab/>
        <w:t xml:space="preserve">Si le Maroc a modifié sa législation ou sa pratique afin de les rendre conformes aux obligations mises à sa charge par le droit international, dans le droit fil du présent avis ; </w:t>
      </w:r>
    </w:p>
    <w:p w:rsidR="0038418A" w:rsidRPr="006201A2" w:rsidRDefault="0038418A" w:rsidP="0038418A">
      <w:pPr>
        <w:pStyle w:val="SingleTxtG"/>
        <w:ind w:firstLine="567"/>
        <w:rPr>
          <w:lang w:val="fr-FR"/>
        </w:rPr>
      </w:pPr>
      <w:r w:rsidRPr="00FB6089">
        <w:rPr>
          <w:rStyle w:val="None"/>
        </w:rPr>
        <w:t>e)</w:t>
      </w:r>
      <w:r w:rsidRPr="00FB6089">
        <w:rPr>
          <w:rStyle w:val="None"/>
        </w:rPr>
        <w:tab/>
      </w:r>
      <w:r w:rsidRPr="006201A2">
        <w:rPr>
          <w:rStyle w:val="None"/>
        </w:rPr>
        <w:t>Si d</w:t>
      </w:r>
      <w:r>
        <w:rPr>
          <w:rStyle w:val="None"/>
        </w:rPr>
        <w:t>’</w:t>
      </w:r>
      <w:r w:rsidRPr="006201A2">
        <w:rPr>
          <w:rStyle w:val="None"/>
        </w:rPr>
        <w:t>autres mesures ont été prises en vue de donner suite au présent avis</w:t>
      </w:r>
      <w:r>
        <w:rPr>
          <w:rStyle w:val="None"/>
        </w:rPr>
        <w:t>.</w:t>
      </w:r>
    </w:p>
    <w:p w:rsidR="0038418A" w:rsidRPr="00FB6089" w:rsidRDefault="00F04427" w:rsidP="00166E8C">
      <w:pPr>
        <w:pStyle w:val="SingleTxtG"/>
        <w:tabs>
          <w:tab w:val="right" w:pos="1021"/>
        </w:tabs>
        <w:ind w:left="1135"/>
        <w:rPr>
          <w:rStyle w:val="None"/>
        </w:rPr>
      </w:pPr>
      <w:r>
        <w:rPr>
          <w:rStyle w:val="None"/>
        </w:rPr>
        <w:t>60.</w:t>
      </w:r>
      <w:r>
        <w:rPr>
          <w:rStyle w:val="None"/>
        </w:rPr>
        <w:tab/>
      </w:r>
      <w:r w:rsidR="0038418A" w:rsidRPr="00FB6089">
        <w:rPr>
          <w:rStyle w:val="None"/>
        </w:rPr>
        <w:t>Le Gouvernement est invité à informer le Groupe de travail de toute difficulté rencontrée dans l</w:t>
      </w:r>
      <w:r w:rsidR="0038418A">
        <w:rPr>
          <w:rStyle w:val="None"/>
        </w:rPr>
        <w:t>’</w:t>
      </w:r>
      <w:r w:rsidR="0038418A" w:rsidRPr="00FB6089">
        <w:rPr>
          <w:rStyle w:val="None"/>
        </w:rPr>
        <w:t>application des recommandations formulées dans le présent avis et à lui faire savoir s</w:t>
      </w:r>
      <w:r w:rsidR="0038418A">
        <w:rPr>
          <w:rStyle w:val="None"/>
        </w:rPr>
        <w:t>’</w:t>
      </w:r>
      <w:r w:rsidR="0038418A" w:rsidRPr="00FB6089">
        <w:rPr>
          <w:rStyle w:val="None"/>
        </w:rPr>
        <w:t>il a besoin qu</w:t>
      </w:r>
      <w:r w:rsidR="0038418A">
        <w:rPr>
          <w:rStyle w:val="None"/>
        </w:rPr>
        <w:t>’</w:t>
      </w:r>
      <w:r w:rsidR="0038418A" w:rsidRPr="00FB6089">
        <w:rPr>
          <w:rStyle w:val="None"/>
        </w:rPr>
        <w:t>une assistance technique supplémentaire lui soit fournie, par exemple dans le cadre d</w:t>
      </w:r>
      <w:r w:rsidR="0038418A">
        <w:rPr>
          <w:rStyle w:val="None"/>
        </w:rPr>
        <w:t>’</w:t>
      </w:r>
      <w:r w:rsidR="0038418A" w:rsidRPr="00FB6089">
        <w:rPr>
          <w:rStyle w:val="None"/>
        </w:rPr>
        <w:t>une visite du Groupe de travail.</w:t>
      </w:r>
    </w:p>
    <w:p w:rsidR="0038418A" w:rsidRPr="00FB6089" w:rsidRDefault="00F04427" w:rsidP="00166E8C">
      <w:pPr>
        <w:pStyle w:val="SingleTxtG"/>
        <w:tabs>
          <w:tab w:val="right" w:pos="1021"/>
        </w:tabs>
        <w:ind w:left="1135"/>
        <w:rPr>
          <w:rStyle w:val="None"/>
        </w:rPr>
      </w:pPr>
      <w:r>
        <w:rPr>
          <w:rStyle w:val="None"/>
        </w:rPr>
        <w:t>61.</w:t>
      </w:r>
      <w:r>
        <w:rPr>
          <w:rStyle w:val="None"/>
        </w:rPr>
        <w:tab/>
      </w:r>
      <w:r w:rsidR="0038418A" w:rsidRPr="00FB6089">
        <w:rPr>
          <w:rStyle w:val="None"/>
        </w:rPr>
        <w:t>Le Groupe de travail prie la source et le Gouvernement de lui fournir les informations demandées dans les six mois suivant la communication du présent avis. Il se réserve néanmoins le droit de prendre des mesures de suivi si de nouvelles informations préoccupantes concernant l</w:t>
      </w:r>
      <w:r w:rsidR="0038418A">
        <w:rPr>
          <w:rStyle w:val="None"/>
        </w:rPr>
        <w:t>’</w:t>
      </w:r>
      <w:r w:rsidR="0038418A" w:rsidRPr="00FB6089">
        <w:rPr>
          <w:rStyle w:val="None"/>
        </w:rPr>
        <w:t>affaire sont portées à son attention. Cela lui permettra de faire savoir au Conseil des droits de l</w:t>
      </w:r>
      <w:r w:rsidR="0038418A">
        <w:rPr>
          <w:rStyle w:val="None"/>
        </w:rPr>
        <w:t>’</w:t>
      </w:r>
      <w:r w:rsidR="0038418A" w:rsidRPr="00FB6089">
        <w:rPr>
          <w:rStyle w:val="None"/>
        </w:rPr>
        <w:t>homme si des progrès ont été accomplis dans l</w:t>
      </w:r>
      <w:r w:rsidR="0038418A">
        <w:rPr>
          <w:rStyle w:val="None"/>
        </w:rPr>
        <w:t>’</w:t>
      </w:r>
      <w:r w:rsidR="0038418A" w:rsidRPr="00FB6089">
        <w:rPr>
          <w:rStyle w:val="None"/>
        </w:rPr>
        <w:t>application de ses recommandations ou si, au contraire, rien n</w:t>
      </w:r>
      <w:r w:rsidR="0038418A">
        <w:rPr>
          <w:rStyle w:val="None"/>
        </w:rPr>
        <w:t>’</w:t>
      </w:r>
      <w:r w:rsidR="0038418A" w:rsidRPr="00FB6089">
        <w:rPr>
          <w:rStyle w:val="None"/>
        </w:rPr>
        <w:t>a été fait en ce sens.</w:t>
      </w:r>
    </w:p>
    <w:p w:rsidR="0038418A" w:rsidRPr="0054462A" w:rsidRDefault="00F04427" w:rsidP="00166E8C">
      <w:pPr>
        <w:pStyle w:val="SingleTxtG"/>
        <w:tabs>
          <w:tab w:val="right" w:pos="1021"/>
        </w:tabs>
        <w:ind w:left="1135"/>
        <w:rPr>
          <w:lang w:val="fr-FR"/>
        </w:rPr>
      </w:pPr>
      <w:r>
        <w:rPr>
          <w:rStyle w:val="None"/>
        </w:rPr>
        <w:t>62.</w:t>
      </w:r>
      <w:r>
        <w:rPr>
          <w:rStyle w:val="None"/>
        </w:rPr>
        <w:tab/>
      </w:r>
      <w:r w:rsidR="0038418A" w:rsidRPr="0054462A">
        <w:rPr>
          <w:rStyle w:val="None"/>
        </w:rPr>
        <w:t>Le Groupe de travail rappelle que le Conseil des droits de l</w:t>
      </w:r>
      <w:r w:rsidR="0038418A">
        <w:rPr>
          <w:rStyle w:val="None"/>
        </w:rPr>
        <w:t>’</w:t>
      </w:r>
      <w:r w:rsidR="0038418A" w:rsidRPr="0054462A">
        <w:rPr>
          <w:rStyle w:val="None"/>
        </w:rPr>
        <w:t>homme a engagé tous les États à coopérer avec lui et les a priés de tenir compte de ses avis, de faire le nécessaire pour remédier à la situation de toutes personnes arbitrairement privées de liberté et de l</w:t>
      </w:r>
      <w:r w:rsidR="0038418A">
        <w:rPr>
          <w:rStyle w:val="None"/>
        </w:rPr>
        <w:t>’</w:t>
      </w:r>
      <w:r w:rsidR="0038418A" w:rsidRPr="0054462A">
        <w:rPr>
          <w:rStyle w:val="None"/>
        </w:rPr>
        <w:t>informer des mesures prises à cette fin</w:t>
      </w:r>
      <w:r w:rsidR="0038418A" w:rsidRPr="0054462A">
        <w:rPr>
          <w:rStyle w:val="None"/>
          <w:vertAlign w:val="superscript"/>
        </w:rPr>
        <w:footnoteReference w:id="4"/>
      </w:r>
      <w:r w:rsidR="0038418A" w:rsidRPr="0054462A">
        <w:rPr>
          <w:rStyle w:val="None"/>
        </w:rPr>
        <w:t>.</w:t>
      </w:r>
    </w:p>
    <w:p w:rsidR="0038418A" w:rsidRPr="0054462A" w:rsidRDefault="0038418A" w:rsidP="0038418A">
      <w:pPr>
        <w:pStyle w:val="SingleTxtG"/>
        <w:jc w:val="right"/>
        <w:rPr>
          <w:iCs/>
          <w:lang w:val="fr-FR"/>
        </w:rPr>
      </w:pPr>
      <w:r w:rsidRPr="0054462A">
        <w:rPr>
          <w:iCs/>
          <w:lang w:val="fr-FR"/>
        </w:rPr>
        <w:t>[</w:t>
      </w:r>
      <w:r w:rsidRPr="0054462A">
        <w:rPr>
          <w:i/>
          <w:iCs/>
          <w:lang w:val="fr-FR"/>
        </w:rPr>
        <w:t>Adopté le 20</w:t>
      </w:r>
      <w:r w:rsidR="00BA3324">
        <w:rPr>
          <w:i/>
          <w:iCs/>
          <w:lang w:val="fr-FR"/>
        </w:rPr>
        <w:t> </w:t>
      </w:r>
      <w:r w:rsidRPr="0054462A">
        <w:rPr>
          <w:i/>
          <w:iCs/>
          <w:lang w:val="fr-FR"/>
        </w:rPr>
        <w:t>avril 2017</w:t>
      </w:r>
      <w:r w:rsidRPr="0054462A">
        <w:rPr>
          <w:iCs/>
          <w:lang w:val="fr-FR"/>
        </w:rPr>
        <w:t>]</w:t>
      </w:r>
    </w:p>
    <w:p w:rsidR="00552797" w:rsidRPr="0038418A" w:rsidRDefault="0038418A" w:rsidP="0038418A">
      <w:pPr>
        <w:pStyle w:val="SingleTxtG"/>
        <w:spacing w:before="240" w:after="0"/>
        <w:jc w:val="center"/>
        <w:rPr>
          <w:sz w:val="24"/>
          <w:szCs w:val="24"/>
          <w:u w:val="single"/>
        </w:rPr>
      </w:pPr>
      <w:r>
        <w:tab/>
      </w:r>
      <w:r>
        <w:rPr>
          <w:u w:val="single"/>
        </w:rPr>
        <w:tab/>
      </w:r>
      <w:r>
        <w:rPr>
          <w:u w:val="single"/>
        </w:rPr>
        <w:tab/>
      </w:r>
      <w:r>
        <w:rPr>
          <w:u w:val="single"/>
        </w:rPr>
        <w:tab/>
      </w:r>
    </w:p>
    <w:sectPr w:rsidR="00552797" w:rsidRPr="0038418A" w:rsidSect="001C23E0">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D4" w:rsidRPr="00EF7F30" w:rsidRDefault="004D55D4" w:rsidP="00EF7F30">
      <w:pPr>
        <w:pStyle w:val="Footer"/>
      </w:pPr>
    </w:p>
  </w:endnote>
  <w:endnote w:type="continuationSeparator" w:id="0">
    <w:p w:rsidR="004D55D4" w:rsidRPr="00EF7F30" w:rsidRDefault="004D55D4" w:rsidP="00EF7F30">
      <w:pPr>
        <w:pStyle w:val="Footer"/>
      </w:pPr>
    </w:p>
  </w:endnote>
  <w:endnote w:type="continuationNotice" w:id="1">
    <w:p w:rsidR="004D55D4" w:rsidRDefault="004D55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E0" w:rsidRPr="001C23E0" w:rsidRDefault="001C23E0" w:rsidP="001C23E0">
    <w:pPr>
      <w:pStyle w:val="Footer"/>
      <w:tabs>
        <w:tab w:val="right" w:pos="9638"/>
      </w:tabs>
    </w:pPr>
    <w:r w:rsidRPr="001C23E0">
      <w:rPr>
        <w:b/>
        <w:sz w:val="18"/>
      </w:rPr>
      <w:fldChar w:fldCharType="begin"/>
    </w:r>
    <w:r w:rsidRPr="001C23E0">
      <w:rPr>
        <w:b/>
        <w:sz w:val="18"/>
      </w:rPr>
      <w:instrText xml:space="preserve"> PAGE  \* MERGEFORMAT </w:instrText>
    </w:r>
    <w:r w:rsidRPr="001C23E0">
      <w:rPr>
        <w:b/>
        <w:sz w:val="18"/>
      </w:rPr>
      <w:fldChar w:fldCharType="separate"/>
    </w:r>
    <w:r w:rsidR="00F860FD">
      <w:rPr>
        <w:b/>
        <w:noProof/>
        <w:sz w:val="18"/>
      </w:rPr>
      <w:t>2</w:t>
    </w:r>
    <w:r w:rsidRPr="001C23E0">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E0" w:rsidRPr="001C23E0" w:rsidRDefault="001C23E0" w:rsidP="001C23E0">
    <w:pPr>
      <w:pStyle w:val="Footer"/>
      <w:tabs>
        <w:tab w:val="right" w:pos="9638"/>
      </w:tabs>
      <w:rPr>
        <w:b/>
        <w:sz w:val="18"/>
      </w:rPr>
    </w:pPr>
    <w:r>
      <w:tab/>
    </w:r>
    <w:r w:rsidRPr="001C23E0">
      <w:rPr>
        <w:b/>
        <w:sz w:val="18"/>
      </w:rPr>
      <w:fldChar w:fldCharType="begin"/>
    </w:r>
    <w:r w:rsidRPr="001C23E0">
      <w:rPr>
        <w:b/>
        <w:sz w:val="18"/>
      </w:rPr>
      <w:instrText xml:space="preserve"> PAGE  \* MERGEFORMAT </w:instrText>
    </w:r>
    <w:r w:rsidRPr="001C23E0">
      <w:rPr>
        <w:b/>
        <w:sz w:val="18"/>
      </w:rPr>
      <w:fldChar w:fldCharType="separate"/>
    </w:r>
    <w:r w:rsidR="00F860FD">
      <w:rPr>
        <w:b/>
        <w:noProof/>
        <w:sz w:val="18"/>
      </w:rPr>
      <w:t>3</w:t>
    </w:r>
    <w:r w:rsidRPr="001C23E0">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2E" w:rsidRPr="001C23E0" w:rsidRDefault="0094352E" w:rsidP="001C23E0">
    <w:pPr>
      <w:pStyle w:val="Footer"/>
      <w:spacing w:before="12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D4" w:rsidRPr="00EF7F30" w:rsidRDefault="004D55D4" w:rsidP="00EF7F30">
      <w:pPr>
        <w:pStyle w:val="Footer"/>
        <w:tabs>
          <w:tab w:val="right" w:pos="2155"/>
        </w:tabs>
        <w:spacing w:after="80" w:line="240" w:lineRule="atLeast"/>
        <w:ind w:left="680"/>
        <w:rPr>
          <w:u w:val="single"/>
        </w:rPr>
      </w:pPr>
      <w:r w:rsidRPr="00EF7F30">
        <w:rPr>
          <w:u w:val="single"/>
        </w:rPr>
        <w:tab/>
      </w:r>
    </w:p>
  </w:footnote>
  <w:footnote w:type="continuationSeparator" w:id="0">
    <w:p w:rsidR="004D55D4" w:rsidRPr="00EF7F30" w:rsidRDefault="004D55D4" w:rsidP="000E5ADA">
      <w:pPr>
        <w:pStyle w:val="Footer"/>
        <w:tabs>
          <w:tab w:val="right" w:pos="2155"/>
        </w:tabs>
        <w:spacing w:after="80" w:line="240" w:lineRule="atLeast"/>
        <w:ind w:left="680"/>
      </w:pPr>
      <w:r w:rsidRPr="00EF7F30">
        <w:rPr>
          <w:u w:val="single"/>
        </w:rPr>
        <w:tab/>
      </w:r>
    </w:p>
  </w:footnote>
  <w:footnote w:type="continuationNotice" w:id="1">
    <w:p w:rsidR="004D55D4" w:rsidRPr="000F2457" w:rsidRDefault="004D55D4">
      <w:pPr>
        <w:spacing w:line="240" w:lineRule="auto"/>
        <w:rPr>
          <w:sz w:val="2"/>
          <w:szCs w:val="2"/>
        </w:rPr>
      </w:pPr>
    </w:p>
  </w:footnote>
  <w:footnote w:id="2">
    <w:p w:rsidR="0038418A" w:rsidRDefault="0038418A" w:rsidP="00166E8C">
      <w:pPr>
        <w:pStyle w:val="FootnoteText"/>
      </w:pPr>
      <w:r>
        <w:tab/>
      </w:r>
      <w:r>
        <w:rPr>
          <w:rStyle w:val="FootnoteReference"/>
        </w:rPr>
        <w:footnoteRef/>
      </w:r>
      <w:r>
        <w:tab/>
      </w:r>
      <w:r>
        <w:rPr>
          <w:rStyle w:val="None"/>
        </w:rPr>
        <w:t>Dans l’avis 2016/26 (par.</w:t>
      </w:r>
      <w:r w:rsidR="00AD59D7">
        <w:rPr>
          <w:rStyle w:val="None"/>
        </w:rPr>
        <w:t> </w:t>
      </w:r>
      <w:r>
        <w:rPr>
          <w:rStyle w:val="None"/>
        </w:rPr>
        <w:t>22), le Groupe de travail avait regretté la même faille dans la réponse du Gouvernement en indiquant par des exemples comment cette réfutation aurait pu être soutenue par des preuves pour la rendre suffisamment forte contre les allégations de la source. Voir aussi les avis n</w:t>
      </w:r>
      <w:r w:rsidRPr="00C74F0D">
        <w:rPr>
          <w:rStyle w:val="None"/>
          <w:vertAlign w:val="superscript"/>
        </w:rPr>
        <w:t>o</w:t>
      </w:r>
      <w:r w:rsidR="009752C4">
        <w:rPr>
          <w:rStyle w:val="None"/>
          <w:vertAlign w:val="superscript"/>
        </w:rPr>
        <w:t>s</w:t>
      </w:r>
      <w:r>
        <w:rPr>
          <w:rStyle w:val="None"/>
        </w:rPr>
        <w:t> 34/2015, par.</w:t>
      </w:r>
      <w:r w:rsidR="00AD59D7">
        <w:rPr>
          <w:rStyle w:val="None"/>
        </w:rPr>
        <w:t> </w:t>
      </w:r>
      <w:r>
        <w:rPr>
          <w:rStyle w:val="None"/>
        </w:rPr>
        <w:t>27, et 27/2016, par.</w:t>
      </w:r>
      <w:r w:rsidR="00AD59D7">
        <w:rPr>
          <w:rStyle w:val="None"/>
        </w:rPr>
        <w:t> </w:t>
      </w:r>
      <w:r>
        <w:rPr>
          <w:rStyle w:val="None"/>
        </w:rPr>
        <w:t>36.</w:t>
      </w:r>
    </w:p>
  </w:footnote>
  <w:footnote w:id="3">
    <w:p w:rsidR="0038418A" w:rsidRPr="00C74F0D" w:rsidRDefault="0038418A" w:rsidP="00166E8C">
      <w:pPr>
        <w:pStyle w:val="FootnoteText"/>
        <w:rPr>
          <w:lang w:val="fr-FR"/>
        </w:rPr>
      </w:pPr>
      <w:r>
        <w:tab/>
      </w:r>
      <w:r>
        <w:rPr>
          <w:rStyle w:val="FootnoteReference"/>
        </w:rPr>
        <w:footnoteRef/>
      </w:r>
      <w:r>
        <w:tab/>
      </w:r>
      <w:hyperlink r:id="rId1" w:history="1">
        <w:r w:rsidRPr="00C74F0D">
          <w:rPr>
            <w:color w:val="000000" w:themeColor="text1"/>
          </w:rPr>
          <w:t>http://rasd.tv</w:t>
        </w:r>
      </w:hyperlink>
      <w:r w:rsidRPr="00C74F0D">
        <w:rPr>
          <w:rStyle w:val="None"/>
          <w:color w:val="000000" w:themeColor="text1"/>
        </w:rPr>
        <w:t>.</w:t>
      </w:r>
    </w:p>
  </w:footnote>
  <w:footnote w:id="4">
    <w:p w:rsidR="0038418A" w:rsidRDefault="0038418A" w:rsidP="00166E8C">
      <w:pPr>
        <w:pStyle w:val="FootnoteText"/>
      </w:pPr>
      <w:r>
        <w:tab/>
      </w:r>
      <w:r>
        <w:rPr>
          <w:rStyle w:val="None"/>
          <w:vertAlign w:val="superscript"/>
        </w:rPr>
        <w:footnoteRef/>
      </w:r>
      <w:r>
        <w:tab/>
        <w:t xml:space="preserve">Voir la </w:t>
      </w:r>
      <w:r>
        <w:rPr>
          <w:rStyle w:val="None"/>
          <w:rFonts w:eastAsia="Arial Unicode MS" w:cs="Arial Unicode MS"/>
        </w:rPr>
        <w:t>résolution</w:t>
      </w:r>
      <w:r>
        <w:t xml:space="preserve"> 33/30 du Conseil des droits de l’homme, par.</w:t>
      </w:r>
      <w:r w:rsidR="00BA3324">
        <w:t> </w:t>
      </w:r>
      <w:r>
        <w:t>3 et</w:t>
      </w:r>
      <w:r w:rsidR="00BA3324">
        <w:t> </w:t>
      </w:r>
      <w:r>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E0" w:rsidRPr="001C23E0" w:rsidRDefault="00F860FD">
    <w:pPr>
      <w:pStyle w:val="Header"/>
    </w:pPr>
    <w:r>
      <w:fldChar w:fldCharType="begin"/>
    </w:r>
    <w:r>
      <w:instrText xml:space="preserve"> TITLE  \* MERGEFORMAT </w:instrText>
    </w:r>
    <w:r>
      <w:fldChar w:fldCharType="separate"/>
    </w:r>
    <w:r w:rsidR="0053472C">
      <w:t>A/HRC/WGAD/2017/11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E0" w:rsidRPr="001C23E0" w:rsidRDefault="00F860FD" w:rsidP="001C23E0">
    <w:pPr>
      <w:pStyle w:val="Header"/>
      <w:jc w:val="right"/>
    </w:pPr>
    <w:r>
      <w:fldChar w:fldCharType="begin"/>
    </w:r>
    <w:r>
      <w:instrText xml:space="preserve"> TITLE  \* MERGEFORMAT </w:instrText>
    </w:r>
    <w:r>
      <w:fldChar w:fldCharType="separate"/>
    </w:r>
    <w:r w:rsidR="0053472C">
      <w:t>A/HRC/WGAD/2017/11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101422D8"/>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ACF4EB2"/>
    <w:multiLevelType w:val="hybridMultilevel"/>
    <w:tmpl w:val="DE6EBD0C"/>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nsid w:val="5D84664F"/>
    <w:multiLevelType w:val="hybridMultilevel"/>
    <w:tmpl w:val="7C32F802"/>
    <w:lvl w:ilvl="0" w:tplc="0809000F">
      <w:start w:val="1"/>
      <w:numFmt w:val="decimal"/>
      <w:lvlText w:val="%1."/>
      <w:lvlJc w:val="left"/>
      <w:pPr>
        <w:ind w:left="1495"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68AD07B2"/>
    <w:multiLevelType w:val="hybridMultilevel"/>
    <w:tmpl w:val="7B26D9BE"/>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567"/>
  <w:hyphenationZone w:val="425"/>
  <w:evenAndOddHeaders/>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D4"/>
    <w:rsid w:val="00007D1C"/>
    <w:rsid w:val="00023842"/>
    <w:rsid w:val="0004018E"/>
    <w:rsid w:val="00041A89"/>
    <w:rsid w:val="0004538C"/>
    <w:rsid w:val="0007796D"/>
    <w:rsid w:val="00085F15"/>
    <w:rsid w:val="000E5ADA"/>
    <w:rsid w:val="000F17D8"/>
    <w:rsid w:val="000F2457"/>
    <w:rsid w:val="00111F2F"/>
    <w:rsid w:val="00131E73"/>
    <w:rsid w:val="0014365E"/>
    <w:rsid w:val="001502CA"/>
    <w:rsid w:val="00166E8C"/>
    <w:rsid w:val="00176178"/>
    <w:rsid w:val="001B662C"/>
    <w:rsid w:val="001C23E0"/>
    <w:rsid w:val="001F525A"/>
    <w:rsid w:val="00212168"/>
    <w:rsid w:val="00260711"/>
    <w:rsid w:val="00263AA0"/>
    <w:rsid w:val="00273B3F"/>
    <w:rsid w:val="002C364F"/>
    <w:rsid w:val="002E0D9C"/>
    <w:rsid w:val="003547BE"/>
    <w:rsid w:val="00377F55"/>
    <w:rsid w:val="0038418A"/>
    <w:rsid w:val="003E1199"/>
    <w:rsid w:val="003E1B37"/>
    <w:rsid w:val="00446FE5"/>
    <w:rsid w:val="004D4FD4"/>
    <w:rsid w:val="004D55D4"/>
    <w:rsid w:val="0053472C"/>
    <w:rsid w:val="00552797"/>
    <w:rsid w:val="005550C1"/>
    <w:rsid w:val="00572E15"/>
    <w:rsid w:val="00573BE5"/>
    <w:rsid w:val="00586ED3"/>
    <w:rsid w:val="00587A52"/>
    <w:rsid w:val="005B36BF"/>
    <w:rsid w:val="005B4E23"/>
    <w:rsid w:val="005C46D6"/>
    <w:rsid w:val="00617B29"/>
    <w:rsid w:val="0068446C"/>
    <w:rsid w:val="00695AED"/>
    <w:rsid w:val="006A41AD"/>
    <w:rsid w:val="00710BD6"/>
    <w:rsid w:val="0071601D"/>
    <w:rsid w:val="00721020"/>
    <w:rsid w:val="00731589"/>
    <w:rsid w:val="0080684C"/>
    <w:rsid w:val="00871C75"/>
    <w:rsid w:val="008776DC"/>
    <w:rsid w:val="0088596F"/>
    <w:rsid w:val="0088600B"/>
    <w:rsid w:val="008B386A"/>
    <w:rsid w:val="0094352E"/>
    <w:rsid w:val="00962015"/>
    <w:rsid w:val="009705C8"/>
    <w:rsid w:val="009752C4"/>
    <w:rsid w:val="0097643E"/>
    <w:rsid w:val="009A47AB"/>
    <w:rsid w:val="00A12E20"/>
    <w:rsid w:val="00A15E43"/>
    <w:rsid w:val="00A2307A"/>
    <w:rsid w:val="00A47013"/>
    <w:rsid w:val="00AC7BEB"/>
    <w:rsid w:val="00AD59D7"/>
    <w:rsid w:val="00AE323C"/>
    <w:rsid w:val="00B075E5"/>
    <w:rsid w:val="00B16AAF"/>
    <w:rsid w:val="00B22A9E"/>
    <w:rsid w:val="00B24C75"/>
    <w:rsid w:val="00B40D90"/>
    <w:rsid w:val="00B528BF"/>
    <w:rsid w:val="00B9299A"/>
    <w:rsid w:val="00B937F3"/>
    <w:rsid w:val="00BA3324"/>
    <w:rsid w:val="00C02897"/>
    <w:rsid w:val="00C12613"/>
    <w:rsid w:val="00C8371E"/>
    <w:rsid w:val="00CD32C3"/>
    <w:rsid w:val="00CD3615"/>
    <w:rsid w:val="00D31D81"/>
    <w:rsid w:val="00D45432"/>
    <w:rsid w:val="00DB1831"/>
    <w:rsid w:val="00DD0D3C"/>
    <w:rsid w:val="00DD3BFD"/>
    <w:rsid w:val="00DF66B9"/>
    <w:rsid w:val="00DF6E3D"/>
    <w:rsid w:val="00E228A8"/>
    <w:rsid w:val="00E346CB"/>
    <w:rsid w:val="00E6618E"/>
    <w:rsid w:val="00EF7F30"/>
    <w:rsid w:val="00F04427"/>
    <w:rsid w:val="00F660DF"/>
    <w:rsid w:val="00F67A98"/>
    <w:rsid w:val="00F72E88"/>
    <w:rsid w:val="00F81508"/>
    <w:rsid w:val="00F81839"/>
    <w:rsid w:val="00F860FD"/>
    <w:rsid w:val="00F95C08"/>
    <w:rsid w:val="00FE052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1"/>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2307A"/>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A2307A"/>
    <w:pPr>
      <w:keepNext/>
      <w:keepLines/>
      <w:spacing w:after="0" w:line="240" w:lineRule="auto"/>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A2307A"/>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A2307A"/>
    <w:rPr>
      <w:rFonts w:ascii="Times New Roman" w:eastAsiaTheme="minorHAnsi" w:hAnsi="Times New Roman" w:cs="Times New Roman"/>
      <w:b/>
      <w:sz w:val="18"/>
      <w:szCs w:val="20"/>
      <w:lang w:eastAsia="en-US"/>
    </w:rPr>
  </w:style>
  <w:style w:type="paragraph" w:styleId="Footer">
    <w:name w:val="footer"/>
    <w:aliases w:val="3_G"/>
    <w:basedOn w:val="Normal"/>
    <w:next w:val="Normal"/>
    <w:link w:val="FooterChar"/>
    <w:qFormat/>
    <w:rsid w:val="00A2307A"/>
    <w:pPr>
      <w:spacing w:line="240" w:lineRule="auto"/>
    </w:pPr>
    <w:rPr>
      <w:sz w:val="16"/>
    </w:rPr>
  </w:style>
  <w:style w:type="character" w:customStyle="1" w:styleId="FooterChar">
    <w:name w:val="Footer Char"/>
    <w:aliases w:val="3_G Char"/>
    <w:basedOn w:val="DefaultParagraphFont"/>
    <w:link w:val="Footer"/>
    <w:rsid w:val="00A2307A"/>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A2307A"/>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A2307A"/>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A2307A"/>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A2307A"/>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A2307A"/>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A2307A"/>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A2307A"/>
    <w:pPr>
      <w:spacing w:after="120"/>
      <w:ind w:left="1134" w:right="1134"/>
      <w:jc w:val="both"/>
    </w:pPr>
  </w:style>
  <w:style w:type="paragraph" w:customStyle="1" w:styleId="SLG">
    <w:name w:val="__S_L_G"/>
    <w:basedOn w:val="Normal"/>
    <w:next w:val="Normal"/>
    <w:rsid w:val="00A2307A"/>
    <w:pPr>
      <w:keepNext/>
      <w:keepLines/>
      <w:spacing w:before="240" w:after="240" w:line="580" w:lineRule="exact"/>
      <w:ind w:left="1134" w:right="1134"/>
    </w:pPr>
    <w:rPr>
      <w:b/>
      <w:sz w:val="56"/>
    </w:rPr>
  </w:style>
  <w:style w:type="paragraph" w:customStyle="1" w:styleId="SMG">
    <w:name w:val="__S_M_G"/>
    <w:basedOn w:val="Normal"/>
    <w:next w:val="Normal"/>
    <w:rsid w:val="00A2307A"/>
    <w:pPr>
      <w:keepNext/>
      <w:keepLines/>
      <w:spacing w:before="240" w:after="240" w:line="420" w:lineRule="exact"/>
      <w:ind w:left="1134" w:right="1134"/>
    </w:pPr>
    <w:rPr>
      <w:b/>
      <w:sz w:val="40"/>
    </w:rPr>
  </w:style>
  <w:style w:type="paragraph" w:customStyle="1" w:styleId="SSG">
    <w:name w:val="__S_S_G"/>
    <w:basedOn w:val="Normal"/>
    <w:next w:val="Normal"/>
    <w:rsid w:val="00A2307A"/>
    <w:pPr>
      <w:keepNext/>
      <w:keepLines/>
      <w:spacing w:before="240" w:after="240" w:line="300" w:lineRule="exact"/>
      <w:ind w:left="1134" w:right="1134"/>
    </w:pPr>
    <w:rPr>
      <w:b/>
      <w:sz w:val="28"/>
    </w:rPr>
  </w:style>
  <w:style w:type="paragraph" w:customStyle="1" w:styleId="XLargeG">
    <w:name w:val="__XLarge_G"/>
    <w:basedOn w:val="Normal"/>
    <w:next w:val="Normal"/>
    <w:rsid w:val="00A2307A"/>
    <w:pPr>
      <w:keepNext/>
      <w:keepLines/>
      <w:spacing w:before="240" w:after="240" w:line="420" w:lineRule="exact"/>
      <w:ind w:left="1134" w:right="1134"/>
    </w:pPr>
    <w:rPr>
      <w:b/>
      <w:sz w:val="40"/>
    </w:rPr>
  </w:style>
  <w:style w:type="paragraph" w:customStyle="1" w:styleId="Bullet1G">
    <w:name w:val="_Bullet 1_G"/>
    <w:basedOn w:val="Normal"/>
    <w:qFormat/>
    <w:rsid w:val="00A2307A"/>
    <w:pPr>
      <w:numPr>
        <w:numId w:val="14"/>
      </w:numPr>
      <w:spacing w:after="120"/>
      <w:ind w:right="1134"/>
      <w:jc w:val="both"/>
    </w:pPr>
  </w:style>
  <w:style w:type="paragraph" w:customStyle="1" w:styleId="Bullet2G">
    <w:name w:val="_Bullet 2_G"/>
    <w:basedOn w:val="Normal"/>
    <w:qFormat/>
    <w:rsid w:val="00A2307A"/>
    <w:pPr>
      <w:numPr>
        <w:numId w:val="15"/>
      </w:numPr>
      <w:spacing w:after="120"/>
      <w:ind w:right="1134"/>
      <w:jc w:val="both"/>
    </w:pPr>
  </w:style>
  <w:style w:type="paragraph" w:customStyle="1" w:styleId="ParNoG">
    <w:name w:val="_ParNo_G"/>
    <w:basedOn w:val="Normal"/>
    <w:qFormat/>
    <w:rsid w:val="00A2307A"/>
    <w:pPr>
      <w:numPr>
        <w:numId w:val="16"/>
      </w:numPr>
      <w:tabs>
        <w:tab w:val="clear" w:pos="1701"/>
      </w:tabs>
      <w:spacing w:after="120"/>
      <w:ind w:right="1134"/>
      <w:jc w:val="both"/>
    </w:pPr>
  </w:style>
  <w:style w:type="character" w:styleId="FootnoteReference">
    <w:name w:val="footnote reference"/>
    <w:aliases w:val="4_G,4_G Char Char,Appel note de bas de page Char Char,Appel note de bas de page Char Char Char Char Char Char Char Char Char Char Char Char Char Char Char Char Char Char Char Char"/>
    <w:basedOn w:val="DefaultParagraphFont"/>
    <w:uiPriority w:val="99"/>
    <w:qFormat/>
    <w:rsid w:val="00A2307A"/>
    <w:rPr>
      <w:rFonts w:ascii="Times New Roman" w:hAnsi="Times New Roman"/>
      <w:sz w:val="18"/>
      <w:vertAlign w:val="superscript"/>
      <w:lang w:val="fr-CH"/>
    </w:rPr>
  </w:style>
  <w:style w:type="character" w:styleId="EndnoteReference">
    <w:name w:val="endnote reference"/>
    <w:aliases w:val="1_G"/>
    <w:basedOn w:val="FootnoteReference"/>
    <w:qFormat/>
    <w:rsid w:val="00A2307A"/>
    <w:rPr>
      <w:rFonts w:ascii="Times New Roman" w:hAnsi="Times New Roman"/>
      <w:sz w:val="18"/>
      <w:vertAlign w:val="superscript"/>
      <w:lang w:val="fr-CH"/>
    </w:rPr>
  </w:style>
  <w:style w:type="table" w:styleId="TableGrid">
    <w:name w:val="Table Grid"/>
    <w:basedOn w:val="TableNormal"/>
    <w:rsid w:val="00A2307A"/>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A2307A"/>
    <w:rPr>
      <w:color w:val="0000FF"/>
      <w:u w:val="none"/>
    </w:rPr>
  </w:style>
  <w:style w:type="character" w:styleId="FollowedHyperlink">
    <w:name w:val="FollowedHyperlink"/>
    <w:basedOn w:val="DefaultParagraphFont"/>
    <w:unhideWhenUsed/>
    <w:rsid w:val="00A2307A"/>
    <w:rPr>
      <w:color w:val="0000FF"/>
      <w:u w:val="none"/>
    </w:rPr>
  </w:style>
  <w:style w:type="paragraph" w:styleId="FootnoteText">
    <w:name w:val="footnote text"/>
    <w:aliases w:val="5_G"/>
    <w:basedOn w:val="Normal"/>
    <w:link w:val="FootnoteTextChar"/>
    <w:qFormat/>
    <w:rsid w:val="00A2307A"/>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A2307A"/>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A2307A"/>
  </w:style>
  <w:style w:type="character" w:customStyle="1" w:styleId="EndnoteTextChar">
    <w:name w:val="Endnote Text Char"/>
    <w:aliases w:val="2_G Char"/>
    <w:basedOn w:val="DefaultParagraphFont"/>
    <w:link w:val="EndnoteText"/>
    <w:rsid w:val="00A2307A"/>
    <w:rPr>
      <w:rFonts w:ascii="Times New Roman" w:eastAsiaTheme="minorHAnsi" w:hAnsi="Times New Roman" w:cs="Times New Roman"/>
      <w:sz w:val="18"/>
      <w:szCs w:val="20"/>
      <w:lang w:eastAsia="en-US"/>
    </w:rPr>
  </w:style>
  <w:style w:type="character" w:styleId="PageNumber">
    <w:name w:val="page number"/>
    <w:aliases w:val="7_G"/>
    <w:basedOn w:val="DefaultParagraphFont"/>
    <w:qFormat/>
    <w:rsid w:val="00A2307A"/>
    <w:rPr>
      <w:rFonts w:ascii="Times New Roman" w:hAnsi="Times New Roman"/>
      <w:b/>
      <w:sz w:val="18"/>
      <w:lang w:val="fr-CH"/>
    </w:rPr>
  </w:style>
  <w:style w:type="character" w:customStyle="1" w:styleId="Heading1Char">
    <w:name w:val="Heading 1 Char"/>
    <w:aliases w:val="Table_G Char"/>
    <w:basedOn w:val="DefaultParagraphFont"/>
    <w:link w:val="Heading1"/>
    <w:rsid w:val="00A2307A"/>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20"/>
    <w:rPr>
      <w:rFonts w:ascii="Tahoma" w:eastAsia="Times New Roman" w:hAnsi="Tahoma" w:cs="Tahoma"/>
      <w:sz w:val="16"/>
      <w:szCs w:val="16"/>
      <w:lang w:eastAsia="en-US"/>
    </w:rPr>
  </w:style>
  <w:style w:type="character" w:customStyle="1" w:styleId="None">
    <w:name w:val="None"/>
    <w:rsid w:val="0088600B"/>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1"/>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2307A"/>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A2307A"/>
    <w:pPr>
      <w:keepNext/>
      <w:keepLines/>
      <w:spacing w:after="0" w:line="240" w:lineRule="auto"/>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A2307A"/>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A2307A"/>
    <w:rPr>
      <w:rFonts w:ascii="Times New Roman" w:eastAsiaTheme="minorHAnsi" w:hAnsi="Times New Roman" w:cs="Times New Roman"/>
      <w:b/>
      <w:sz w:val="18"/>
      <w:szCs w:val="20"/>
      <w:lang w:eastAsia="en-US"/>
    </w:rPr>
  </w:style>
  <w:style w:type="paragraph" w:styleId="Footer">
    <w:name w:val="footer"/>
    <w:aliases w:val="3_G"/>
    <w:basedOn w:val="Normal"/>
    <w:next w:val="Normal"/>
    <w:link w:val="FooterChar"/>
    <w:qFormat/>
    <w:rsid w:val="00A2307A"/>
    <w:pPr>
      <w:spacing w:line="240" w:lineRule="auto"/>
    </w:pPr>
    <w:rPr>
      <w:sz w:val="16"/>
    </w:rPr>
  </w:style>
  <w:style w:type="character" w:customStyle="1" w:styleId="FooterChar">
    <w:name w:val="Footer Char"/>
    <w:aliases w:val="3_G Char"/>
    <w:basedOn w:val="DefaultParagraphFont"/>
    <w:link w:val="Footer"/>
    <w:rsid w:val="00A2307A"/>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A2307A"/>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A2307A"/>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A2307A"/>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A2307A"/>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A2307A"/>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A2307A"/>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A2307A"/>
    <w:pPr>
      <w:spacing w:after="120"/>
      <w:ind w:left="1134" w:right="1134"/>
      <w:jc w:val="both"/>
    </w:pPr>
  </w:style>
  <w:style w:type="paragraph" w:customStyle="1" w:styleId="SLG">
    <w:name w:val="__S_L_G"/>
    <w:basedOn w:val="Normal"/>
    <w:next w:val="Normal"/>
    <w:rsid w:val="00A2307A"/>
    <w:pPr>
      <w:keepNext/>
      <w:keepLines/>
      <w:spacing w:before="240" w:after="240" w:line="580" w:lineRule="exact"/>
      <w:ind w:left="1134" w:right="1134"/>
    </w:pPr>
    <w:rPr>
      <w:b/>
      <w:sz w:val="56"/>
    </w:rPr>
  </w:style>
  <w:style w:type="paragraph" w:customStyle="1" w:styleId="SMG">
    <w:name w:val="__S_M_G"/>
    <w:basedOn w:val="Normal"/>
    <w:next w:val="Normal"/>
    <w:rsid w:val="00A2307A"/>
    <w:pPr>
      <w:keepNext/>
      <w:keepLines/>
      <w:spacing w:before="240" w:after="240" w:line="420" w:lineRule="exact"/>
      <w:ind w:left="1134" w:right="1134"/>
    </w:pPr>
    <w:rPr>
      <w:b/>
      <w:sz w:val="40"/>
    </w:rPr>
  </w:style>
  <w:style w:type="paragraph" w:customStyle="1" w:styleId="SSG">
    <w:name w:val="__S_S_G"/>
    <w:basedOn w:val="Normal"/>
    <w:next w:val="Normal"/>
    <w:rsid w:val="00A2307A"/>
    <w:pPr>
      <w:keepNext/>
      <w:keepLines/>
      <w:spacing w:before="240" w:after="240" w:line="300" w:lineRule="exact"/>
      <w:ind w:left="1134" w:right="1134"/>
    </w:pPr>
    <w:rPr>
      <w:b/>
      <w:sz w:val="28"/>
    </w:rPr>
  </w:style>
  <w:style w:type="paragraph" w:customStyle="1" w:styleId="XLargeG">
    <w:name w:val="__XLarge_G"/>
    <w:basedOn w:val="Normal"/>
    <w:next w:val="Normal"/>
    <w:rsid w:val="00A2307A"/>
    <w:pPr>
      <w:keepNext/>
      <w:keepLines/>
      <w:spacing w:before="240" w:after="240" w:line="420" w:lineRule="exact"/>
      <w:ind w:left="1134" w:right="1134"/>
    </w:pPr>
    <w:rPr>
      <w:b/>
      <w:sz w:val="40"/>
    </w:rPr>
  </w:style>
  <w:style w:type="paragraph" w:customStyle="1" w:styleId="Bullet1G">
    <w:name w:val="_Bullet 1_G"/>
    <w:basedOn w:val="Normal"/>
    <w:qFormat/>
    <w:rsid w:val="00A2307A"/>
    <w:pPr>
      <w:numPr>
        <w:numId w:val="14"/>
      </w:numPr>
      <w:spacing w:after="120"/>
      <w:ind w:right="1134"/>
      <w:jc w:val="both"/>
    </w:pPr>
  </w:style>
  <w:style w:type="paragraph" w:customStyle="1" w:styleId="Bullet2G">
    <w:name w:val="_Bullet 2_G"/>
    <w:basedOn w:val="Normal"/>
    <w:qFormat/>
    <w:rsid w:val="00A2307A"/>
    <w:pPr>
      <w:numPr>
        <w:numId w:val="15"/>
      </w:numPr>
      <w:spacing w:after="120"/>
      <w:ind w:right="1134"/>
      <w:jc w:val="both"/>
    </w:pPr>
  </w:style>
  <w:style w:type="paragraph" w:customStyle="1" w:styleId="ParNoG">
    <w:name w:val="_ParNo_G"/>
    <w:basedOn w:val="Normal"/>
    <w:qFormat/>
    <w:rsid w:val="00A2307A"/>
    <w:pPr>
      <w:numPr>
        <w:numId w:val="16"/>
      </w:numPr>
      <w:tabs>
        <w:tab w:val="clear" w:pos="1701"/>
      </w:tabs>
      <w:spacing w:after="120"/>
      <w:ind w:right="1134"/>
      <w:jc w:val="both"/>
    </w:pPr>
  </w:style>
  <w:style w:type="character" w:styleId="FootnoteReference">
    <w:name w:val="footnote reference"/>
    <w:aliases w:val="4_G,4_G Char Char,Appel note de bas de page Char Char,Appel note de bas de page Char Char Char Char Char Char Char Char Char Char Char Char Char Char Char Char Char Char Char Char"/>
    <w:basedOn w:val="DefaultParagraphFont"/>
    <w:uiPriority w:val="99"/>
    <w:qFormat/>
    <w:rsid w:val="00A2307A"/>
    <w:rPr>
      <w:rFonts w:ascii="Times New Roman" w:hAnsi="Times New Roman"/>
      <w:sz w:val="18"/>
      <w:vertAlign w:val="superscript"/>
      <w:lang w:val="fr-CH"/>
    </w:rPr>
  </w:style>
  <w:style w:type="character" w:styleId="EndnoteReference">
    <w:name w:val="endnote reference"/>
    <w:aliases w:val="1_G"/>
    <w:basedOn w:val="FootnoteReference"/>
    <w:qFormat/>
    <w:rsid w:val="00A2307A"/>
    <w:rPr>
      <w:rFonts w:ascii="Times New Roman" w:hAnsi="Times New Roman"/>
      <w:sz w:val="18"/>
      <w:vertAlign w:val="superscript"/>
      <w:lang w:val="fr-CH"/>
    </w:rPr>
  </w:style>
  <w:style w:type="table" w:styleId="TableGrid">
    <w:name w:val="Table Grid"/>
    <w:basedOn w:val="TableNormal"/>
    <w:rsid w:val="00A2307A"/>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A2307A"/>
    <w:rPr>
      <w:color w:val="0000FF"/>
      <w:u w:val="none"/>
    </w:rPr>
  </w:style>
  <w:style w:type="character" w:styleId="FollowedHyperlink">
    <w:name w:val="FollowedHyperlink"/>
    <w:basedOn w:val="DefaultParagraphFont"/>
    <w:unhideWhenUsed/>
    <w:rsid w:val="00A2307A"/>
    <w:rPr>
      <w:color w:val="0000FF"/>
      <w:u w:val="none"/>
    </w:rPr>
  </w:style>
  <w:style w:type="paragraph" w:styleId="FootnoteText">
    <w:name w:val="footnote text"/>
    <w:aliases w:val="5_G"/>
    <w:basedOn w:val="Normal"/>
    <w:link w:val="FootnoteTextChar"/>
    <w:qFormat/>
    <w:rsid w:val="00A2307A"/>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A2307A"/>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A2307A"/>
  </w:style>
  <w:style w:type="character" w:customStyle="1" w:styleId="EndnoteTextChar">
    <w:name w:val="Endnote Text Char"/>
    <w:aliases w:val="2_G Char"/>
    <w:basedOn w:val="DefaultParagraphFont"/>
    <w:link w:val="EndnoteText"/>
    <w:rsid w:val="00A2307A"/>
    <w:rPr>
      <w:rFonts w:ascii="Times New Roman" w:eastAsiaTheme="minorHAnsi" w:hAnsi="Times New Roman" w:cs="Times New Roman"/>
      <w:sz w:val="18"/>
      <w:szCs w:val="20"/>
      <w:lang w:eastAsia="en-US"/>
    </w:rPr>
  </w:style>
  <w:style w:type="character" w:styleId="PageNumber">
    <w:name w:val="page number"/>
    <w:aliases w:val="7_G"/>
    <w:basedOn w:val="DefaultParagraphFont"/>
    <w:qFormat/>
    <w:rsid w:val="00A2307A"/>
    <w:rPr>
      <w:rFonts w:ascii="Times New Roman" w:hAnsi="Times New Roman"/>
      <w:b/>
      <w:sz w:val="18"/>
      <w:lang w:val="fr-CH"/>
    </w:rPr>
  </w:style>
  <w:style w:type="character" w:customStyle="1" w:styleId="Heading1Char">
    <w:name w:val="Heading 1 Char"/>
    <w:aliases w:val="Table_G Char"/>
    <w:basedOn w:val="DefaultParagraphFont"/>
    <w:link w:val="Heading1"/>
    <w:rsid w:val="00A2307A"/>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20"/>
    <w:rPr>
      <w:rFonts w:ascii="Tahoma" w:eastAsia="Times New Roman" w:hAnsi="Tahoma" w:cs="Tahoma"/>
      <w:sz w:val="16"/>
      <w:szCs w:val="16"/>
      <w:lang w:eastAsia="en-US"/>
    </w:rPr>
  </w:style>
  <w:style w:type="character" w:customStyle="1" w:styleId="None">
    <w:name w:val="None"/>
    <w:rsid w:val="0088600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asd.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A777C5-6E78-4B25-B55E-71B7207832B1}"/>
</file>

<file path=customXml/itemProps2.xml><?xml version="1.0" encoding="utf-8"?>
<ds:datastoreItem xmlns:ds="http://schemas.openxmlformats.org/officeDocument/2006/customXml" ds:itemID="{338D310C-ED11-4EB1-9FC6-4AD7981E542C}"/>
</file>

<file path=customXml/itemProps3.xml><?xml version="1.0" encoding="utf-8"?>
<ds:datastoreItem xmlns:ds="http://schemas.openxmlformats.org/officeDocument/2006/customXml" ds:itemID="{E1558BE9-7B95-43A0-9E38-9D8FC4876228}"/>
</file>

<file path=customXml/itemProps4.xml><?xml version="1.0" encoding="utf-8"?>
<ds:datastoreItem xmlns:ds="http://schemas.openxmlformats.org/officeDocument/2006/customXml" ds:itemID="{ADF5E94F-A2E3-4CEB-8046-F10E9FB4F55C}"/>
</file>

<file path=docProps/app.xml><?xml version="1.0" encoding="utf-8"?>
<Properties xmlns="http://schemas.openxmlformats.org/officeDocument/2006/extended-properties" xmlns:vt="http://schemas.openxmlformats.org/officeDocument/2006/docPropsVTypes">
  <Template>Normal.dotm</Template>
  <TotalTime>0</TotalTime>
  <Pages>8</Pages>
  <Words>4494</Words>
  <Characters>25619</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A/HRC/WGAD/2017/11</vt:lpstr>
      <vt:lpstr>A/HRC/WGAD/2017/11</vt:lpstr>
    </vt:vector>
  </TitlesOfParts>
  <Company>DCM</Company>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A/HRC/WGAD/2017/11</dc:title>
  <dc:creator>Edith BOURION</dc:creator>
  <cp:lastModifiedBy>Helle Iversen</cp:lastModifiedBy>
  <cp:revision>2</cp:revision>
  <cp:lastPrinted>2017-07-27T11:16:00Z</cp:lastPrinted>
  <dcterms:created xsi:type="dcterms:W3CDTF">2017-07-27T13:42:00Z</dcterms:created>
  <dcterms:modified xsi:type="dcterms:W3CDTF">2017-07-27T13:42:00Z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