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DA9" w:rsidRPr="000751FF" w:rsidRDefault="00C76DA9" w:rsidP="00C76DA9">
      <w:pPr>
        <w:jc w:val="both"/>
        <w:rPr>
          <w:rFonts w:eastAsia="Calibri"/>
          <w:b/>
          <w:sz w:val="24"/>
          <w:lang w:val="fr-FR"/>
        </w:rPr>
      </w:pPr>
    </w:p>
    <w:p w:rsidR="00C76DA9" w:rsidRPr="000751FF" w:rsidRDefault="00B850D9" w:rsidP="00B850D9">
      <w:pPr>
        <w:pStyle w:val="ListParagraph"/>
        <w:ind w:left="360"/>
        <w:rPr>
          <w:b/>
          <w:color w:val="0070C0"/>
          <w:sz w:val="32"/>
          <w:szCs w:val="32"/>
          <w:lang w:val="fr-FR"/>
        </w:rPr>
      </w:pPr>
      <w:r>
        <w:rPr>
          <w:b/>
          <w:color w:val="0070C0"/>
          <w:sz w:val="32"/>
          <w:szCs w:val="32"/>
          <w:lang w:val="fr-FR"/>
        </w:rPr>
        <w:t xml:space="preserve">Questionnaire section I- </w:t>
      </w:r>
      <w:bookmarkStart w:id="0" w:name="_GoBack"/>
      <w:bookmarkEnd w:id="0"/>
      <w:r w:rsidR="00C76DA9" w:rsidRPr="000751FF">
        <w:rPr>
          <w:b/>
          <w:color w:val="0070C0"/>
          <w:sz w:val="32"/>
          <w:szCs w:val="32"/>
          <w:lang w:val="fr-FR"/>
        </w:rPr>
        <w:t>Faire l'Inventaire</w:t>
      </w:r>
    </w:p>
    <w:p w:rsidR="00C76DA9" w:rsidRPr="000751FF" w:rsidRDefault="00C76DA9" w:rsidP="00C76DA9">
      <w:pPr>
        <w:jc w:val="both"/>
        <w:rPr>
          <w:rFonts w:eastAsia="Calibri"/>
          <w:sz w:val="24"/>
          <w:lang w:val="fr-FR"/>
        </w:rPr>
      </w:pPr>
    </w:p>
    <w:p w:rsidR="00C76DA9" w:rsidRPr="000751FF" w:rsidRDefault="00C76DA9" w:rsidP="00C76DA9">
      <w:pPr>
        <w:jc w:val="both"/>
        <w:rPr>
          <w:rFonts w:eastAsia="Calibri"/>
          <w:sz w:val="24"/>
          <w:lang w:val="fr-FR"/>
        </w:rPr>
      </w:pPr>
      <w:r w:rsidRPr="000751FF">
        <w:rPr>
          <w:rFonts w:eastAsia="Calibri"/>
          <w:sz w:val="24"/>
          <w:lang w:val="fr-FR"/>
        </w:rPr>
        <w:t xml:space="preserve">La première partie de cet appel à contributions </w:t>
      </w:r>
      <w:r w:rsidR="00B850D9">
        <w:rPr>
          <w:rFonts w:eastAsia="Calibri"/>
          <w:sz w:val="24"/>
          <w:lang w:val="fr-FR"/>
        </w:rPr>
        <w:t xml:space="preserve">de l’Experte indépendante </w:t>
      </w:r>
      <w:r w:rsidR="00B850D9" w:rsidRPr="00B850D9">
        <w:rPr>
          <w:rFonts w:eastAsia="Calibri"/>
          <w:sz w:val="24"/>
          <w:lang w:val="fr-FR"/>
        </w:rPr>
        <w:t>sur la dette extérieure, les autres obligations financières internationales et les droits humains</w:t>
      </w:r>
      <w:r w:rsidR="00B850D9">
        <w:rPr>
          <w:rFonts w:eastAsia="Calibri"/>
          <w:sz w:val="24"/>
          <w:lang w:val="fr-FR"/>
        </w:rPr>
        <w:t>,</w:t>
      </w:r>
      <w:r w:rsidRPr="000751FF">
        <w:rPr>
          <w:rFonts w:eastAsia="Calibri"/>
          <w:sz w:val="24"/>
          <w:lang w:val="fr-FR"/>
        </w:rPr>
        <w:t xml:space="preserve"> porte sur les réalisations du mandat depuis sa création en 1998. Cet exercice d’inventaire examine tous les domaines couverts par les différents titulaires de mandat dans le passé.</w:t>
      </w:r>
    </w:p>
    <w:p w:rsidR="000751FF" w:rsidRPr="000751FF" w:rsidRDefault="000751FF" w:rsidP="00C76DA9">
      <w:pPr>
        <w:jc w:val="both"/>
        <w:rPr>
          <w:rFonts w:eastAsia="Calibri"/>
          <w:sz w:val="24"/>
          <w:lang w:val="fr-FR"/>
        </w:rPr>
      </w:pPr>
    </w:p>
    <w:p w:rsidR="00C76DA9" w:rsidRDefault="00C76DA9" w:rsidP="00C76DA9">
      <w:pPr>
        <w:jc w:val="both"/>
        <w:rPr>
          <w:rFonts w:eastAsia="Calibri"/>
          <w:sz w:val="24"/>
          <w:lang w:val="fr-FR"/>
        </w:rPr>
      </w:pPr>
      <w:r w:rsidRPr="000751FF">
        <w:rPr>
          <w:rFonts w:eastAsia="Calibri"/>
          <w:sz w:val="24"/>
          <w:lang w:val="fr-FR"/>
        </w:rPr>
        <w:t xml:space="preserve">Depuis plus de vingt-trois ans, le mandat et les Experts Indépendants précédentes se concentrent sur la question de la dette extérieure et son impact sur les droits de l’homme, en particulier les droits économiques, sociaux et culturels, et le droit au développement. Parmi les sujets spécifiques d’attention, </w:t>
      </w:r>
      <w:hyperlink r:id="rId5" w:history="1">
        <w:r w:rsidRPr="000751FF">
          <w:rPr>
            <w:rFonts w:eastAsia="Calibri"/>
            <w:color w:val="0563C1"/>
            <w:sz w:val="24"/>
            <w:u w:val="single"/>
            <w:lang w:val="fr-FR"/>
          </w:rPr>
          <w:t>les rapports</w:t>
        </w:r>
      </w:hyperlink>
      <w:r w:rsidRPr="000751FF">
        <w:rPr>
          <w:rFonts w:eastAsia="Calibri"/>
          <w:sz w:val="24"/>
          <w:lang w:val="fr-FR"/>
        </w:rPr>
        <w:t xml:space="preserve">, </w:t>
      </w:r>
      <w:hyperlink r:id="rId6" w:history="1">
        <w:r w:rsidRPr="000751FF">
          <w:rPr>
            <w:rFonts w:eastAsia="Calibri"/>
            <w:color w:val="0563C1"/>
            <w:sz w:val="24"/>
            <w:u w:val="single"/>
            <w:lang w:val="fr-FR"/>
          </w:rPr>
          <w:t>les visites de pays</w:t>
        </w:r>
      </w:hyperlink>
      <w:r w:rsidRPr="000751FF">
        <w:rPr>
          <w:rFonts w:eastAsia="Calibri"/>
          <w:sz w:val="24"/>
          <w:lang w:val="fr-FR"/>
        </w:rPr>
        <w:t xml:space="preserve"> et d’autres activités, elle y a:</w:t>
      </w:r>
    </w:p>
    <w:p w:rsidR="00B850D9" w:rsidRPr="000751FF" w:rsidRDefault="00B850D9" w:rsidP="00C76DA9">
      <w:pPr>
        <w:jc w:val="both"/>
        <w:rPr>
          <w:rFonts w:eastAsia="Calibri"/>
          <w:sz w:val="24"/>
          <w:lang w:val="fr-FR"/>
        </w:rPr>
      </w:pPr>
    </w:p>
    <w:p w:rsidR="00C76DA9" w:rsidRPr="000751FF" w:rsidRDefault="00C76DA9" w:rsidP="00C76DA9">
      <w:pPr>
        <w:pStyle w:val="ListParagraph"/>
        <w:numPr>
          <w:ilvl w:val="0"/>
          <w:numId w:val="1"/>
        </w:numPr>
        <w:jc w:val="both"/>
        <w:rPr>
          <w:rFonts w:eastAsia="Calibri"/>
          <w:sz w:val="24"/>
          <w:lang w:val="fr-FR"/>
        </w:rPr>
      </w:pPr>
      <w:r w:rsidRPr="000751FF">
        <w:rPr>
          <w:rFonts w:eastAsia="Calibri"/>
          <w:sz w:val="24"/>
          <w:lang w:val="fr-FR"/>
        </w:rPr>
        <w:t xml:space="preserve">Aborder </w:t>
      </w:r>
      <w:hyperlink r:id="rId7" w:history="1">
        <w:r w:rsidRPr="000751FF">
          <w:rPr>
            <w:rFonts w:eastAsia="Calibri"/>
            <w:color w:val="0563C1"/>
            <w:sz w:val="24"/>
            <w:u w:val="single"/>
            <w:lang w:val="fr-FR"/>
          </w:rPr>
          <w:t>les problèmes liés à la dette causés ou exacerbés par la pandémie de COVID-19</w:t>
        </w:r>
      </w:hyperlink>
      <w:r w:rsidRPr="000751FF">
        <w:rPr>
          <w:rFonts w:eastAsia="Calibri"/>
          <w:sz w:val="24"/>
          <w:lang w:val="fr-FR"/>
        </w:rPr>
        <w:t xml:space="preserve"> et fournir des conseils aux États dans ce contexte.</w:t>
      </w:r>
    </w:p>
    <w:p w:rsidR="00C76DA9" w:rsidRPr="000751FF" w:rsidRDefault="00C76DA9" w:rsidP="00C76DA9">
      <w:pPr>
        <w:pStyle w:val="ListParagraph"/>
        <w:numPr>
          <w:ilvl w:val="0"/>
          <w:numId w:val="1"/>
        </w:numPr>
        <w:jc w:val="both"/>
        <w:rPr>
          <w:rFonts w:eastAsia="Calibri"/>
          <w:sz w:val="24"/>
          <w:lang w:val="fr-FR"/>
        </w:rPr>
      </w:pPr>
      <w:r w:rsidRPr="000751FF">
        <w:rPr>
          <w:rFonts w:eastAsia="Calibri"/>
          <w:sz w:val="24"/>
          <w:lang w:val="fr-FR"/>
        </w:rPr>
        <w:t xml:space="preserve">Le fardeau de la dette, le service et l’allégement de la dette, notamment en fournissant des orientations aux États et aux autres parties prenantes concernées sur la façon de traiter l’impact de la dette extérieure sur les droits de l’homme. (Voir en particulier les </w:t>
      </w:r>
      <w:hyperlink r:id="rId8" w:history="1">
        <w:r w:rsidRPr="000751FF">
          <w:rPr>
            <w:rFonts w:eastAsia="Calibri"/>
            <w:color w:val="0563C1"/>
            <w:sz w:val="24"/>
            <w:u w:val="single"/>
            <w:lang w:val="fr-FR"/>
          </w:rPr>
          <w:t>Principes Directeurs sur la dette extérieure et les droits de l’homme</w:t>
        </w:r>
      </w:hyperlink>
      <w:r w:rsidRPr="000751FF">
        <w:rPr>
          <w:rFonts w:eastAsia="Calibri"/>
          <w:sz w:val="24"/>
          <w:lang w:val="fr-FR"/>
        </w:rPr>
        <w:t>, adoptés par le Conseil des Droits de l’Homme en 2012)</w:t>
      </w:r>
    </w:p>
    <w:p w:rsidR="00C76DA9" w:rsidRPr="000751FF" w:rsidRDefault="00C76DA9" w:rsidP="00C76DA9">
      <w:pPr>
        <w:pStyle w:val="ListParagraph"/>
        <w:numPr>
          <w:ilvl w:val="0"/>
          <w:numId w:val="1"/>
        </w:numPr>
        <w:jc w:val="both"/>
        <w:rPr>
          <w:rFonts w:eastAsia="Calibri"/>
          <w:b/>
          <w:sz w:val="24"/>
          <w:lang w:val="fr-FR"/>
        </w:rPr>
      </w:pPr>
      <w:r w:rsidRPr="000751FF">
        <w:rPr>
          <w:rFonts w:eastAsia="Calibri"/>
          <w:sz w:val="24"/>
          <w:lang w:val="fr-FR"/>
        </w:rPr>
        <w:t>La réforme de l’architecture de la dette internationale</w:t>
      </w:r>
      <w:hyperlink r:id="rId9" w:history="1">
        <w:r w:rsidRPr="000751FF">
          <w:rPr>
            <w:rFonts w:eastAsia="Calibri"/>
            <w:color w:val="0563C1"/>
            <w:sz w:val="24"/>
            <w:u w:val="single"/>
            <w:lang w:val="fr-FR"/>
          </w:rPr>
          <w:t>, le système international d’arbitrage des investissements</w:t>
        </w:r>
      </w:hyperlink>
      <w:r w:rsidRPr="000751FF">
        <w:rPr>
          <w:rFonts w:eastAsia="Calibri"/>
          <w:sz w:val="24"/>
          <w:lang w:val="fr-FR"/>
        </w:rPr>
        <w:t xml:space="preserve">, ainsi que les questions de droits de l’homme préoccupantes par le manque de responsabilisation et de réglementation des </w:t>
      </w:r>
      <w:hyperlink r:id="rId10" w:history="1">
        <w:r w:rsidRPr="000751FF">
          <w:rPr>
            <w:rFonts w:eastAsia="Calibri"/>
            <w:color w:val="0563C1"/>
            <w:sz w:val="24"/>
            <w:u w:val="single"/>
            <w:lang w:val="fr-FR"/>
          </w:rPr>
          <w:t>agences de notation</w:t>
        </w:r>
      </w:hyperlink>
    </w:p>
    <w:p w:rsidR="00C76DA9" w:rsidRPr="000751FF" w:rsidRDefault="00C76DA9" w:rsidP="00C76DA9">
      <w:pPr>
        <w:pStyle w:val="ListParagraph"/>
        <w:numPr>
          <w:ilvl w:val="0"/>
          <w:numId w:val="1"/>
        </w:numPr>
        <w:jc w:val="both"/>
        <w:rPr>
          <w:rFonts w:eastAsia="Calibri"/>
          <w:sz w:val="24"/>
          <w:lang w:val="fr-FR"/>
        </w:rPr>
      </w:pPr>
      <w:r w:rsidRPr="000751FF">
        <w:rPr>
          <w:rFonts w:eastAsia="Calibri"/>
          <w:sz w:val="24"/>
          <w:lang w:val="fr-FR"/>
        </w:rPr>
        <w:t xml:space="preserve">L’impact des politiques de réforme économique sur les droits de l’homme; ce sujet a inclus un accent particulier sur les droits des femmes et sur les droits des travailleurs, et elle a conduit à l’élaboration de </w:t>
      </w:r>
      <w:hyperlink r:id="rId11" w:history="1">
        <w:r w:rsidRPr="000751FF">
          <w:rPr>
            <w:rFonts w:eastAsia="Calibri"/>
            <w:color w:val="0563C1"/>
            <w:sz w:val="24"/>
            <w:u w:val="single"/>
            <w:lang w:val="fr-FR"/>
          </w:rPr>
          <w:t>Principes Directeurs sur les évaluations de l’impact des réformes économiques sur les droits de l’homme</w:t>
        </w:r>
      </w:hyperlink>
    </w:p>
    <w:p w:rsidR="00C76DA9" w:rsidRPr="000751FF" w:rsidRDefault="00C76DA9" w:rsidP="00C76DA9">
      <w:pPr>
        <w:pStyle w:val="ListParagraph"/>
        <w:numPr>
          <w:ilvl w:val="0"/>
          <w:numId w:val="1"/>
        </w:numPr>
        <w:jc w:val="both"/>
        <w:rPr>
          <w:rFonts w:eastAsia="Calibri"/>
          <w:sz w:val="24"/>
          <w:lang w:val="fr-FR"/>
        </w:rPr>
      </w:pPr>
      <w:r w:rsidRPr="000751FF">
        <w:rPr>
          <w:rFonts w:eastAsia="Calibri"/>
          <w:sz w:val="24"/>
          <w:lang w:val="fr-FR"/>
        </w:rPr>
        <w:t>Questions liées à l’inégalité économique, à la crise financière et aux droits humains.</w:t>
      </w:r>
    </w:p>
    <w:p w:rsidR="00C76DA9" w:rsidRPr="000751FF" w:rsidRDefault="00C76DA9" w:rsidP="00C76DA9">
      <w:pPr>
        <w:pStyle w:val="ListParagraph"/>
        <w:numPr>
          <w:ilvl w:val="0"/>
          <w:numId w:val="1"/>
        </w:numPr>
        <w:jc w:val="both"/>
        <w:rPr>
          <w:rFonts w:eastAsia="Calibri"/>
          <w:sz w:val="24"/>
          <w:lang w:val="fr-FR"/>
        </w:rPr>
      </w:pPr>
      <w:r w:rsidRPr="000751FF">
        <w:rPr>
          <w:rFonts w:eastAsia="Calibri"/>
          <w:sz w:val="24"/>
          <w:lang w:val="fr-FR"/>
        </w:rPr>
        <w:t xml:space="preserve">Incidence de la </w:t>
      </w:r>
      <w:hyperlink r:id="rId12" w:history="1">
        <w:r w:rsidRPr="000751FF">
          <w:rPr>
            <w:rFonts w:eastAsia="Calibri"/>
            <w:color w:val="0563C1"/>
            <w:sz w:val="24"/>
            <w:u w:val="single"/>
            <w:lang w:val="fr-FR"/>
          </w:rPr>
          <w:t>dette privée des particuliers et des ménages sur les droits humains</w:t>
        </w:r>
      </w:hyperlink>
    </w:p>
    <w:p w:rsidR="00C76DA9" w:rsidRPr="000751FF" w:rsidRDefault="009248D0" w:rsidP="00C76DA9">
      <w:pPr>
        <w:pStyle w:val="ListParagraph"/>
        <w:numPr>
          <w:ilvl w:val="0"/>
          <w:numId w:val="1"/>
        </w:numPr>
        <w:jc w:val="both"/>
        <w:rPr>
          <w:rFonts w:eastAsia="Calibri"/>
          <w:sz w:val="24"/>
          <w:lang w:val="fr-FR"/>
        </w:rPr>
      </w:pPr>
      <w:hyperlink r:id="rId13" w:history="1">
        <w:r w:rsidR="00C76DA9" w:rsidRPr="000751FF">
          <w:rPr>
            <w:rFonts w:eastAsia="Calibri"/>
            <w:color w:val="0563C1"/>
            <w:sz w:val="24"/>
            <w:u w:val="single"/>
            <w:lang w:val="fr-FR"/>
          </w:rPr>
          <w:t>Flux financiers illicites, droits de l’homme et Programme de Développement Durable à l’Horizon 2030</w:t>
        </w:r>
      </w:hyperlink>
      <w:r w:rsidR="00C76DA9" w:rsidRPr="000751FF">
        <w:rPr>
          <w:rFonts w:eastAsia="Calibri"/>
          <w:sz w:val="24"/>
          <w:lang w:val="fr-FR"/>
        </w:rPr>
        <w:t>; impact des flux financiers illicites, y compris l’évasion fiscale, la corruption et d’autres crimes économiques, sur la jouissance des droits de l’homme</w:t>
      </w:r>
    </w:p>
    <w:p w:rsidR="00C76DA9" w:rsidRPr="000751FF" w:rsidRDefault="009248D0" w:rsidP="00C76DA9">
      <w:pPr>
        <w:pStyle w:val="ListParagraph"/>
        <w:numPr>
          <w:ilvl w:val="0"/>
          <w:numId w:val="1"/>
        </w:numPr>
        <w:jc w:val="both"/>
        <w:rPr>
          <w:rFonts w:eastAsia="Calibri"/>
          <w:color w:val="0563C1"/>
          <w:sz w:val="24"/>
          <w:szCs w:val="24"/>
          <w:u w:val="single"/>
          <w:lang w:val="fr-FR"/>
        </w:rPr>
      </w:pPr>
      <w:hyperlink r:id="rId14" w:history="1">
        <w:r w:rsidR="00C76DA9" w:rsidRPr="000751FF">
          <w:rPr>
            <w:rFonts w:eastAsia="Calibri"/>
            <w:color w:val="0563C1"/>
            <w:sz w:val="24"/>
            <w:szCs w:val="24"/>
            <w:lang w:val="fr-FR"/>
          </w:rPr>
          <w:t>Complicité financière - pratiques de prêt aux États impliqués dans des violations graves des droits humains</w:t>
        </w:r>
      </w:hyperlink>
      <w:r w:rsidR="00C76DA9" w:rsidRPr="000751FF">
        <w:rPr>
          <w:rFonts w:eastAsia="Calibri"/>
          <w:color w:val="0563C1"/>
          <w:sz w:val="24"/>
          <w:szCs w:val="24"/>
          <w:u w:val="single"/>
          <w:lang w:val="fr-FR"/>
        </w:rPr>
        <w:t xml:space="preserve"> </w:t>
      </w:r>
    </w:p>
    <w:p w:rsidR="00C76DA9" w:rsidRPr="000751FF" w:rsidRDefault="00C76DA9" w:rsidP="00C76DA9">
      <w:pPr>
        <w:pStyle w:val="ListParagraph"/>
        <w:ind w:left="1428"/>
        <w:jc w:val="both"/>
        <w:rPr>
          <w:rFonts w:eastAsia="Calibri"/>
          <w:sz w:val="24"/>
          <w:lang w:val="fr-FR"/>
        </w:rPr>
      </w:pPr>
    </w:p>
    <w:p w:rsidR="00C76DA9" w:rsidRPr="000751FF" w:rsidRDefault="00C76DA9" w:rsidP="00C76DA9">
      <w:pPr>
        <w:rPr>
          <w:color w:val="0070C0"/>
          <w:sz w:val="32"/>
          <w:szCs w:val="32"/>
          <w:lang w:val="fr-FR"/>
        </w:rPr>
      </w:pPr>
      <w:r w:rsidRPr="000751FF">
        <w:rPr>
          <w:color w:val="0070C0"/>
          <w:sz w:val="32"/>
          <w:szCs w:val="32"/>
          <w:lang w:val="fr-FR"/>
        </w:rPr>
        <w:t xml:space="preserve">Questions: </w:t>
      </w:r>
    </w:p>
    <w:p w:rsidR="00C76DA9" w:rsidRPr="000751FF" w:rsidRDefault="00C76DA9" w:rsidP="00C76DA9">
      <w:pPr>
        <w:pStyle w:val="ListParagraph"/>
        <w:numPr>
          <w:ilvl w:val="0"/>
          <w:numId w:val="2"/>
        </w:numPr>
        <w:jc w:val="both"/>
        <w:rPr>
          <w:rFonts w:eastAsia="Calibri"/>
          <w:sz w:val="24"/>
          <w:lang w:val="fr-FR"/>
        </w:rPr>
      </w:pPr>
      <w:r w:rsidRPr="000751FF">
        <w:rPr>
          <w:rFonts w:eastAsia="Calibri"/>
          <w:sz w:val="24"/>
          <w:lang w:val="fr-FR"/>
        </w:rPr>
        <w:t>À votre avis, quelles sont les principales contributions et réalisations de l’Experte indépendante sur la dette extérieure et les droits de l’homme, dans le cadre du mécanisme des Procédures spéciales, seul ou en collaboration avec d’autres parties prenantes, au niveau international, le niveau régional et le niveau national? (Veuillez préciser les institutions, pays ou régions concernés).</w:t>
      </w:r>
    </w:p>
    <w:p w:rsidR="00C76DA9" w:rsidRPr="000751FF" w:rsidRDefault="00C76DA9" w:rsidP="00C76DA9">
      <w:pPr>
        <w:pStyle w:val="ListParagraph"/>
        <w:jc w:val="both"/>
        <w:rPr>
          <w:rFonts w:eastAsia="Calibri"/>
          <w:sz w:val="24"/>
          <w:lang w:val="fr-FR"/>
        </w:rPr>
      </w:pPr>
    </w:p>
    <w:p w:rsidR="00C76DA9" w:rsidRPr="000751FF" w:rsidRDefault="00C76DA9" w:rsidP="00C76DA9">
      <w:pPr>
        <w:pStyle w:val="ListParagraph"/>
        <w:numPr>
          <w:ilvl w:val="0"/>
          <w:numId w:val="2"/>
        </w:numPr>
        <w:jc w:val="both"/>
        <w:rPr>
          <w:rFonts w:eastAsia="Calibri"/>
          <w:sz w:val="24"/>
          <w:lang w:val="fr-FR"/>
        </w:rPr>
      </w:pPr>
      <w:r w:rsidRPr="000751FF">
        <w:rPr>
          <w:rFonts w:eastAsia="Calibri"/>
          <w:sz w:val="24"/>
          <w:lang w:val="fr-FR"/>
        </w:rPr>
        <w:t xml:space="preserve">Veuillez indiquer les sujets et les domaines de travail particuliers exécutés dans le cadre du mandat de l’Experte indépendante qui, selon vous, </w:t>
      </w:r>
      <w:r w:rsidRPr="000751FF">
        <w:rPr>
          <w:rFonts w:eastAsia="Calibri"/>
          <w:b/>
          <w:sz w:val="24"/>
          <w:lang w:val="fr-FR"/>
        </w:rPr>
        <w:t>étaient particulièrement importants pour la promotion ou la protection des droits humains en ce qui concerne la dette extérieure et d’autres obligations financières connexes?</w:t>
      </w:r>
      <w:r w:rsidRPr="000751FF">
        <w:rPr>
          <w:rFonts w:eastAsia="Calibri"/>
          <w:sz w:val="24"/>
          <w:lang w:val="fr-FR"/>
        </w:rPr>
        <w:t xml:space="preserve"> Dans la </w:t>
      </w:r>
      <w:r w:rsidRPr="000751FF">
        <w:rPr>
          <w:rFonts w:eastAsia="Calibri"/>
          <w:sz w:val="24"/>
          <w:lang w:val="fr-FR"/>
        </w:rPr>
        <w:lastRenderedPageBreak/>
        <w:t>mesure du possible, veuillez expliquer comment le travail de l’Experte indépendante des Nations Unies dans les domaines identifiés a eu un impact positif.</w:t>
      </w:r>
    </w:p>
    <w:p w:rsidR="00C76DA9" w:rsidRPr="000751FF" w:rsidRDefault="00C76DA9" w:rsidP="00C76DA9">
      <w:pPr>
        <w:pStyle w:val="ListParagraph"/>
        <w:jc w:val="both"/>
        <w:rPr>
          <w:rFonts w:eastAsia="Calibri"/>
          <w:sz w:val="24"/>
          <w:lang w:val="fr-FR"/>
        </w:rPr>
      </w:pPr>
    </w:p>
    <w:p w:rsidR="00C76DA9" w:rsidRPr="000751FF" w:rsidRDefault="00C76DA9" w:rsidP="00C76DA9">
      <w:pPr>
        <w:pStyle w:val="ListParagraph"/>
        <w:numPr>
          <w:ilvl w:val="0"/>
          <w:numId w:val="2"/>
        </w:numPr>
        <w:jc w:val="both"/>
        <w:rPr>
          <w:rFonts w:eastAsia="Calibri"/>
          <w:sz w:val="24"/>
          <w:lang w:val="fr-FR"/>
        </w:rPr>
      </w:pPr>
      <w:r w:rsidRPr="000751FF">
        <w:rPr>
          <w:rFonts w:eastAsia="Calibri"/>
          <w:sz w:val="24"/>
          <w:lang w:val="fr-FR"/>
        </w:rPr>
        <w:t xml:space="preserve">Lequel de ces thèmes, sujets et domaines de travail du mandat </w:t>
      </w:r>
      <w:r w:rsidRPr="000751FF">
        <w:rPr>
          <w:rFonts w:eastAsia="Calibri"/>
          <w:b/>
          <w:sz w:val="24"/>
          <w:lang w:val="fr-FR"/>
        </w:rPr>
        <w:t>vous a été le plus utile</w:t>
      </w:r>
      <w:r w:rsidRPr="000751FF">
        <w:rPr>
          <w:rFonts w:eastAsia="Calibri"/>
          <w:sz w:val="24"/>
          <w:lang w:val="fr-FR"/>
        </w:rPr>
        <w:t xml:space="preserve">? Lequel de ces domaines de travail du mandat jugez-vous le plus utile et encouragerait les travaux futurs à se concentrer? Veuillez expliquer </w:t>
      </w:r>
      <w:r w:rsidR="000751FF" w:rsidRPr="000751FF">
        <w:rPr>
          <w:rFonts w:eastAsia="Calibri"/>
          <w:sz w:val="24"/>
          <w:lang w:val="fr-FR"/>
        </w:rPr>
        <w:t>pourquoi</w:t>
      </w:r>
      <w:r w:rsidRPr="000751FF">
        <w:rPr>
          <w:rFonts w:eastAsia="Calibri"/>
          <w:sz w:val="24"/>
          <w:lang w:val="fr-FR"/>
        </w:rPr>
        <w:t>.</w:t>
      </w:r>
    </w:p>
    <w:p w:rsidR="00C76DA9" w:rsidRPr="000751FF" w:rsidRDefault="00C76DA9" w:rsidP="00C76DA9">
      <w:pPr>
        <w:pStyle w:val="ListParagraph"/>
        <w:rPr>
          <w:rFonts w:eastAsia="Calibri"/>
          <w:sz w:val="24"/>
          <w:lang w:val="fr-FR"/>
        </w:rPr>
      </w:pPr>
    </w:p>
    <w:p w:rsidR="00C76DA9" w:rsidRPr="000751FF" w:rsidRDefault="00C76DA9" w:rsidP="00C76DA9">
      <w:pPr>
        <w:pStyle w:val="ListParagraph"/>
        <w:numPr>
          <w:ilvl w:val="0"/>
          <w:numId w:val="2"/>
        </w:numPr>
        <w:jc w:val="both"/>
        <w:rPr>
          <w:rFonts w:eastAsia="Calibri"/>
          <w:sz w:val="24"/>
          <w:lang w:val="fr-FR"/>
        </w:rPr>
      </w:pPr>
      <w:r w:rsidRPr="000751FF">
        <w:rPr>
          <w:rFonts w:eastAsia="Calibri"/>
          <w:sz w:val="24"/>
          <w:lang w:val="fr-FR"/>
        </w:rPr>
        <w:t xml:space="preserve">À votre avis, quelles sont les </w:t>
      </w:r>
      <w:r w:rsidRPr="000751FF">
        <w:rPr>
          <w:rFonts w:eastAsia="Calibri"/>
          <w:b/>
          <w:sz w:val="24"/>
          <w:lang w:val="fr-FR"/>
        </w:rPr>
        <w:t>principales leçons qui pourraient être tirées</w:t>
      </w:r>
      <w:r w:rsidRPr="000751FF">
        <w:rPr>
          <w:rFonts w:eastAsia="Calibri"/>
          <w:sz w:val="24"/>
          <w:lang w:val="fr-FR"/>
        </w:rPr>
        <w:t xml:space="preserve"> de la trajectoire du mandat sur l’impact de la dette extérieure et d’autres obligations financières internationales connexes sur les droits humains afin de renforcer davantage le respect, protection et respect des droits humains pour toutes les personnes?</w:t>
      </w:r>
    </w:p>
    <w:p w:rsidR="00C76DA9" w:rsidRPr="000751FF" w:rsidRDefault="00C76DA9" w:rsidP="00C76DA9">
      <w:pPr>
        <w:pStyle w:val="ListParagraph"/>
        <w:rPr>
          <w:rFonts w:eastAsia="Calibri"/>
          <w:sz w:val="24"/>
          <w:lang w:val="fr-FR"/>
        </w:rPr>
      </w:pPr>
    </w:p>
    <w:p w:rsidR="0075473C" w:rsidRPr="000751FF" w:rsidRDefault="0075473C">
      <w:pPr>
        <w:rPr>
          <w:lang w:val="fr-FR"/>
        </w:rPr>
      </w:pPr>
    </w:p>
    <w:sectPr w:rsidR="0075473C" w:rsidRPr="000751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2477"/>
    <w:multiLevelType w:val="hybridMultilevel"/>
    <w:tmpl w:val="17988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A30F5"/>
    <w:multiLevelType w:val="hybridMultilevel"/>
    <w:tmpl w:val="F3EE98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4C933A8"/>
    <w:multiLevelType w:val="hybridMultilevel"/>
    <w:tmpl w:val="7C484BA0"/>
    <w:lvl w:ilvl="0" w:tplc="9E56E936">
      <w:start w:val="1"/>
      <w:numFmt w:val="upperRoman"/>
      <w:lvlText w:val="%1."/>
      <w:lvlJc w:val="right"/>
      <w:pPr>
        <w:ind w:left="720" w:hanging="360"/>
      </w:pPr>
      <w:rPr>
        <w:b/>
        <w:color w:val="0070C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A9"/>
    <w:rsid w:val="000751FF"/>
    <w:rsid w:val="0075473C"/>
    <w:rsid w:val="00B850D9"/>
    <w:rsid w:val="00C76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8D59"/>
  <w15:chartTrackingRefBased/>
  <w15:docId w15:val="{A2E7E247-9A19-4CBF-9CF7-5461314F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DA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6DA9"/>
    <w:rPr>
      <w:color w:val="0000FF"/>
      <w:u w:val="single"/>
    </w:rPr>
  </w:style>
  <w:style w:type="paragraph" w:styleId="ListParagraph">
    <w:name w:val="List Paragraph"/>
    <w:basedOn w:val="Normal"/>
    <w:uiPriority w:val="34"/>
    <w:qFormat/>
    <w:rsid w:val="00C76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FR/Issues/Development/IEDebt/Pages/GuidingPrinciples.aspx" TargetMode="External"/><Relationship Id="rId13" Type="http://schemas.openxmlformats.org/officeDocument/2006/relationships/hyperlink" Target="https://www.ohchr.org/EN/Issues/Development/IEDebt/Pages/IllicitFinancialFlows.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hchr.org/EN/Issues/Development/IEDebt/Pages/Call-for-Input-COVID-19-impact-financing-development.aspx" TargetMode="External"/><Relationship Id="rId12" Type="http://schemas.openxmlformats.org/officeDocument/2006/relationships/hyperlink" Target="https://www.ohchr.org/FR/Issues/Development/IEDebt/Pages/ReportPrivateDebt.asp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hchr.org/FR/Issues/Development/IEDebt/Pages/CountryVisits.aspx" TargetMode="External"/><Relationship Id="rId11" Type="http://schemas.openxmlformats.org/officeDocument/2006/relationships/hyperlink" Target="https://www.undocs.org/fr/A/HRC/40/57" TargetMode="External"/><Relationship Id="rId5" Type="http://schemas.openxmlformats.org/officeDocument/2006/relationships/hyperlink" Target="https://www.ohchr.org/FR/Issues/Development/IEDebt/Pages/AnnualReports.aspx" TargetMode="External"/><Relationship Id="rId15" Type="http://schemas.openxmlformats.org/officeDocument/2006/relationships/fontTable" Target="fontTable.xml"/><Relationship Id="rId10" Type="http://schemas.openxmlformats.org/officeDocument/2006/relationships/hyperlink" Target="https://www.ohchr.org/FR/Issues/Development/IEDebt/Pages/CreditRatingAgencies.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hchr.org/EN/Issues/Development/IEDebt/Pages/DebtDisputesInternationalInvestmentArbritration.aspx" TargetMode="External"/><Relationship Id="rId14" Type="http://schemas.openxmlformats.org/officeDocument/2006/relationships/hyperlink" Target="https://www.undocs.org/A/74/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24562D-989A-4B4D-88A7-0B901578ED41}"/>
</file>

<file path=customXml/itemProps2.xml><?xml version="1.0" encoding="utf-8"?>
<ds:datastoreItem xmlns:ds="http://schemas.openxmlformats.org/officeDocument/2006/customXml" ds:itemID="{8A329307-2F80-4B1A-ACAD-DB2A1347F8C2}"/>
</file>

<file path=customXml/itemProps3.xml><?xml version="1.0" encoding="utf-8"?>
<ds:datastoreItem xmlns:ds="http://schemas.openxmlformats.org/officeDocument/2006/customXml" ds:itemID="{99CF1121-0A75-4C0D-AFB2-0C6414ECEEA2}"/>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SOTOMAYOR Juana</dc:creator>
  <cp:keywords/>
  <dc:description/>
  <cp:lastModifiedBy>SOTOMAYOR Juana</cp:lastModifiedBy>
  <cp:revision>2</cp:revision>
  <dcterms:created xsi:type="dcterms:W3CDTF">2021-09-20T17:23:00Z</dcterms:created>
  <dcterms:modified xsi:type="dcterms:W3CDTF">2021-09-20T17:23:00Z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