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9" w:type="dxa"/>
        <w:tblLayout w:type="fixed"/>
        <w:tblCellMar>
          <w:left w:w="0" w:type="dxa"/>
          <w:right w:w="0" w:type="dxa"/>
        </w:tblCellMar>
        <w:tblLook w:val="0000" w:firstRow="0" w:lastRow="0" w:firstColumn="0" w:lastColumn="0" w:noHBand="0" w:noVBand="0"/>
      </w:tblPr>
      <w:tblGrid>
        <w:gridCol w:w="1814"/>
        <w:gridCol w:w="7655"/>
      </w:tblGrid>
      <w:tr w:rsidR="009E35D9" w:rsidRPr="00933D87" w14:paraId="56151CF8" w14:textId="77777777" w:rsidTr="00857B0F">
        <w:tblPrEx>
          <w:tblCellMar>
            <w:top w:w="0" w:type="dxa"/>
            <w:left w:w="0" w:type="dxa"/>
            <w:bottom w:w="0" w:type="dxa"/>
            <w:right w:w="0" w:type="dxa"/>
          </w:tblCellMar>
        </w:tblPrEx>
        <w:trPr>
          <w:trHeight w:val="1440"/>
        </w:trPr>
        <w:tc>
          <w:tcPr>
            <w:tcW w:w="1814" w:type="dxa"/>
            <w:tcBorders>
              <w:top w:val="nil"/>
              <w:left w:val="nil"/>
              <w:bottom w:val="nil"/>
              <w:right w:val="nil"/>
            </w:tcBorders>
          </w:tcPr>
          <w:p w14:paraId="36AC64CC" w14:textId="7DBB26DF" w:rsidR="009E35D9" w:rsidRPr="00406601" w:rsidRDefault="009E35D9" w:rsidP="00857B0F">
            <w:pPr>
              <w:widowControl w:val="0"/>
              <w:autoSpaceDE w:val="0"/>
              <w:autoSpaceDN w:val="0"/>
              <w:spacing w:after="0"/>
              <w:ind w:right="85"/>
              <w:jc w:val="both"/>
              <w:rPr>
                <w:rFonts w:cs="Arial"/>
                <w:szCs w:val="24"/>
                <w:lang w:val="en-GB" w:eastAsia="en-GB"/>
              </w:rPr>
            </w:pPr>
            <w:r w:rsidRPr="00406601">
              <w:rPr>
                <w:rFonts w:cs="Arial"/>
                <w:noProof/>
                <w:szCs w:val="24"/>
                <w:lang w:val="en-GB" w:eastAsia="en-GB"/>
              </w:rPr>
              <w:drawing>
                <wp:inline distT="0" distB="0" distL="0" distR="0" wp14:anchorId="33D6133A" wp14:editId="5EBC6D54">
                  <wp:extent cx="1005205" cy="6699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205" cy="669925"/>
                          </a:xfrm>
                          <a:prstGeom prst="rect">
                            <a:avLst/>
                          </a:prstGeom>
                          <a:noFill/>
                          <a:ln>
                            <a:noFill/>
                          </a:ln>
                        </pic:spPr>
                      </pic:pic>
                    </a:graphicData>
                  </a:graphic>
                </wp:inline>
              </w:drawing>
            </w:r>
          </w:p>
        </w:tc>
        <w:tc>
          <w:tcPr>
            <w:tcW w:w="7655" w:type="dxa"/>
            <w:tcBorders>
              <w:top w:val="nil"/>
              <w:left w:val="nil"/>
              <w:bottom w:val="nil"/>
              <w:right w:val="nil"/>
            </w:tcBorders>
          </w:tcPr>
          <w:p w14:paraId="0EA3BFF4" w14:textId="77777777" w:rsidR="009E35D9" w:rsidRPr="00933D87" w:rsidRDefault="009E35D9" w:rsidP="00857B0F">
            <w:pPr>
              <w:widowControl w:val="0"/>
              <w:autoSpaceDE w:val="0"/>
              <w:autoSpaceDN w:val="0"/>
              <w:spacing w:after="0"/>
              <w:ind w:right="85"/>
              <w:jc w:val="both"/>
              <w:rPr>
                <w:rFonts w:cs="Arial"/>
                <w:sz w:val="20"/>
                <w:szCs w:val="20"/>
                <w:lang w:val="en-GB" w:eastAsia="en-GB"/>
              </w:rPr>
            </w:pPr>
            <w:r w:rsidRPr="00933D87">
              <w:rPr>
                <w:rFonts w:cs="Arial"/>
                <w:sz w:val="20"/>
                <w:szCs w:val="20"/>
                <w:lang w:val="en-GB" w:eastAsia="en-GB"/>
              </w:rPr>
              <w:t>EUROPEAN UNION</w:t>
            </w:r>
          </w:p>
          <w:p w14:paraId="3B079EF3" w14:textId="77777777" w:rsidR="009E35D9" w:rsidRPr="00933D87" w:rsidRDefault="009E35D9" w:rsidP="00857B0F">
            <w:pPr>
              <w:widowControl w:val="0"/>
              <w:autoSpaceDE w:val="0"/>
              <w:autoSpaceDN w:val="0"/>
              <w:spacing w:after="0"/>
              <w:ind w:right="85"/>
              <w:rPr>
                <w:rFonts w:cs="Arial"/>
                <w:sz w:val="20"/>
                <w:szCs w:val="20"/>
                <w:lang w:val="en-GB" w:eastAsia="en-GB"/>
              </w:rPr>
            </w:pPr>
            <w:r w:rsidRPr="00933D87">
              <w:rPr>
                <w:rFonts w:cs="Arial"/>
                <w:sz w:val="20"/>
                <w:szCs w:val="20"/>
                <w:lang w:val="en-GB" w:eastAsia="en-GB"/>
              </w:rPr>
              <w:t>Permanent Delegation to the United Nations Office</w:t>
            </w:r>
          </w:p>
          <w:p w14:paraId="2E69A9AB" w14:textId="77777777" w:rsidR="009E35D9" w:rsidRPr="00933D87" w:rsidRDefault="009E35D9" w:rsidP="00857B0F">
            <w:pPr>
              <w:widowControl w:val="0"/>
              <w:autoSpaceDE w:val="0"/>
              <w:autoSpaceDN w:val="0"/>
              <w:spacing w:after="0"/>
              <w:ind w:right="85"/>
              <w:rPr>
                <w:rFonts w:cs="Arial"/>
                <w:sz w:val="20"/>
                <w:szCs w:val="20"/>
                <w:lang w:val="en-GB" w:eastAsia="en-GB"/>
              </w:rPr>
            </w:pPr>
            <w:r w:rsidRPr="00933D87">
              <w:rPr>
                <w:rFonts w:cs="Arial"/>
                <w:sz w:val="20"/>
                <w:szCs w:val="20"/>
                <w:lang w:val="en-GB" w:eastAsia="en-GB"/>
              </w:rPr>
              <w:t xml:space="preserve">and other international organisations in Geneva </w:t>
            </w:r>
          </w:p>
          <w:p w14:paraId="269ED359" w14:textId="77777777" w:rsidR="009E35D9" w:rsidRPr="00933D87" w:rsidRDefault="009E35D9" w:rsidP="00857B0F">
            <w:pPr>
              <w:widowControl w:val="0"/>
              <w:autoSpaceDE w:val="0"/>
              <w:autoSpaceDN w:val="0"/>
              <w:spacing w:after="0"/>
              <w:ind w:right="85"/>
              <w:rPr>
                <w:rFonts w:cs="Arial"/>
                <w:sz w:val="20"/>
                <w:szCs w:val="20"/>
                <w:lang w:val="en-GB" w:eastAsia="en-GB"/>
              </w:rPr>
            </w:pPr>
          </w:p>
          <w:p w14:paraId="361EC916" w14:textId="77777777" w:rsidR="009E35D9" w:rsidRPr="00933D87" w:rsidRDefault="009E35D9" w:rsidP="00857B0F">
            <w:pPr>
              <w:widowControl w:val="0"/>
              <w:autoSpaceDE w:val="0"/>
              <w:autoSpaceDN w:val="0"/>
              <w:spacing w:after="0"/>
              <w:ind w:right="85"/>
              <w:rPr>
                <w:rFonts w:cs="Arial"/>
                <w:sz w:val="20"/>
                <w:szCs w:val="20"/>
                <w:lang w:val="en-GB" w:eastAsia="en-GB"/>
              </w:rPr>
            </w:pPr>
            <w:r w:rsidRPr="00933D87">
              <w:rPr>
                <w:rFonts w:cs="Arial"/>
                <w:sz w:val="20"/>
                <w:szCs w:val="20"/>
                <w:lang w:val="en-GB" w:eastAsia="en-GB"/>
              </w:rPr>
              <w:t xml:space="preserve"> </w:t>
            </w:r>
          </w:p>
        </w:tc>
      </w:tr>
    </w:tbl>
    <w:p w14:paraId="1F4ADFF3" w14:textId="77777777" w:rsidR="004A463C" w:rsidRDefault="004A463C" w:rsidP="004D0CF5">
      <w:pPr>
        <w:pStyle w:val="NormalWeb"/>
        <w:spacing w:line="320" w:lineRule="atLeast"/>
        <w:jc w:val="center"/>
        <w:rPr>
          <w:b/>
        </w:rPr>
      </w:pPr>
      <w:bookmarkStart w:id="0" w:name="_GoBack"/>
      <w:bookmarkEnd w:id="0"/>
    </w:p>
    <w:p w14:paraId="3C9310EA" w14:textId="07BAAB50" w:rsidR="009F50F1" w:rsidRPr="005456AD" w:rsidRDefault="004A463C" w:rsidP="004D0CF5">
      <w:pPr>
        <w:pStyle w:val="NormalWeb"/>
        <w:spacing w:line="320" w:lineRule="atLeast"/>
        <w:jc w:val="center"/>
        <w:rPr>
          <w:b/>
        </w:rPr>
      </w:pPr>
      <w:r>
        <w:rPr>
          <w:b/>
        </w:rPr>
        <w:t>Written contribution in preparation of the 22</w:t>
      </w:r>
      <w:r w:rsidRPr="004A463C">
        <w:rPr>
          <w:b/>
          <w:vertAlign w:val="superscript"/>
        </w:rPr>
        <w:t>nd</w:t>
      </w:r>
      <w:r>
        <w:rPr>
          <w:b/>
        </w:rPr>
        <w:t xml:space="preserve"> session of the </w:t>
      </w:r>
      <w:r w:rsidRPr="004A463C">
        <w:rPr>
          <w:b/>
          <w:lang w:val="da-DK"/>
        </w:rPr>
        <w:t>Intergovernmental Working Group on the Right to Development</w:t>
      </w:r>
      <w:r>
        <w:rPr>
          <w:b/>
          <w:lang w:val="da-DK"/>
        </w:rPr>
        <w:t xml:space="preserve"> (22-26 November 2021)</w:t>
      </w:r>
    </w:p>
    <w:p w14:paraId="70FCBD9E" w14:textId="77777777" w:rsidR="001D5877" w:rsidRPr="005456AD" w:rsidRDefault="001D5877" w:rsidP="001D5877">
      <w:pPr>
        <w:spacing w:line="360" w:lineRule="auto"/>
        <w:jc w:val="both"/>
        <w:outlineLvl w:val="0"/>
        <w:rPr>
          <w:rFonts w:ascii="Times New Roman" w:hAnsi="Times New Roman"/>
          <w:sz w:val="24"/>
          <w:szCs w:val="24"/>
          <w:lang w:val="en-GB"/>
        </w:rPr>
      </w:pPr>
    </w:p>
    <w:p w14:paraId="027E27E3" w14:textId="791DB656" w:rsidR="005743CD" w:rsidRPr="003F12A6" w:rsidRDefault="00025EE5" w:rsidP="00F72C73">
      <w:pPr>
        <w:spacing w:line="360" w:lineRule="auto"/>
        <w:jc w:val="both"/>
        <w:rPr>
          <w:rFonts w:ascii="Arial" w:hAnsi="Arial" w:cs="Arial"/>
          <w:lang w:val="en-GB"/>
        </w:rPr>
      </w:pPr>
      <w:r>
        <w:rPr>
          <w:rFonts w:ascii="Arial" w:hAnsi="Arial" w:cs="Arial"/>
          <w:lang w:val="en-GB"/>
        </w:rPr>
        <w:t>T</w:t>
      </w:r>
      <w:r w:rsidR="005743CD" w:rsidRPr="005456AD">
        <w:rPr>
          <w:rFonts w:ascii="Arial" w:hAnsi="Arial" w:cs="Arial"/>
          <w:lang w:val="en-GB"/>
        </w:rPr>
        <w:t>he European Union</w:t>
      </w:r>
      <w:r w:rsidR="00A65F8E">
        <w:rPr>
          <w:rFonts w:ascii="Arial" w:hAnsi="Arial" w:cs="Arial"/>
          <w:lang w:val="en-GB"/>
        </w:rPr>
        <w:t xml:space="preserve"> and its Member States</w:t>
      </w:r>
      <w:r w:rsidR="005743CD" w:rsidRPr="005456AD">
        <w:rPr>
          <w:rFonts w:ascii="Arial" w:hAnsi="Arial" w:cs="Arial"/>
          <w:lang w:val="en-GB"/>
        </w:rPr>
        <w:t xml:space="preserve"> remain strongly committed to eradicating poverty and achieving sustainable </w:t>
      </w:r>
      <w:r w:rsidR="001D2E29" w:rsidRPr="005456AD">
        <w:rPr>
          <w:rFonts w:ascii="Arial" w:hAnsi="Arial" w:cs="Arial"/>
          <w:lang w:val="en-GB"/>
        </w:rPr>
        <w:t xml:space="preserve">and inclusive </w:t>
      </w:r>
      <w:r w:rsidR="005743CD" w:rsidRPr="005456AD">
        <w:rPr>
          <w:rFonts w:ascii="Arial" w:hAnsi="Arial" w:cs="Arial"/>
          <w:lang w:val="en-GB"/>
        </w:rPr>
        <w:t xml:space="preserve">development, to promoting the full and equal enjoyment of all human </w:t>
      </w:r>
      <w:r w:rsidR="00C93AEF" w:rsidRPr="005456AD">
        <w:rPr>
          <w:rFonts w:ascii="Arial" w:hAnsi="Arial" w:cs="Arial"/>
          <w:lang w:val="en-GB"/>
        </w:rPr>
        <w:t>rights by</w:t>
      </w:r>
      <w:r w:rsidR="00D40E70" w:rsidRPr="005456AD">
        <w:rPr>
          <w:rFonts w:ascii="Arial" w:hAnsi="Arial" w:cs="Arial"/>
          <w:lang w:val="en-GB"/>
        </w:rPr>
        <w:t xml:space="preserve"> all individuals without discrimination on any ground</w:t>
      </w:r>
      <w:r w:rsidR="005743CD" w:rsidRPr="005456AD">
        <w:rPr>
          <w:rFonts w:ascii="Arial" w:hAnsi="Arial" w:cs="Arial"/>
          <w:lang w:val="en-GB"/>
        </w:rPr>
        <w:t xml:space="preserve">; working towards ensuring </w:t>
      </w:r>
      <w:r w:rsidR="00D40E70" w:rsidRPr="003F12A6">
        <w:rPr>
          <w:rFonts w:ascii="Arial" w:hAnsi="Arial" w:cs="Arial"/>
          <w:lang w:val="en-GB"/>
        </w:rPr>
        <w:t xml:space="preserve">peace, </w:t>
      </w:r>
      <w:r w:rsidR="005743CD" w:rsidRPr="003F12A6">
        <w:rPr>
          <w:rFonts w:ascii="Arial" w:hAnsi="Arial" w:cs="Arial"/>
          <w:lang w:val="en-GB"/>
        </w:rPr>
        <w:t xml:space="preserve">security and stability; strengthening </w:t>
      </w:r>
      <w:r w:rsidR="00D40E70" w:rsidRPr="003F12A6">
        <w:rPr>
          <w:rFonts w:ascii="Arial" w:hAnsi="Arial" w:cs="Arial"/>
          <w:lang w:val="en-GB"/>
        </w:rPr>
        <w:t xml:space="preserve">the rule of law, </w:t>
      </w:r>
      <w:r w:rsidR="005743CD" w:rsidRPr="003F12A6">
        <w:rPr>
          <w:rFonts w:ascii="Arial" w:hAnsi="Arial" w:cs="Arial"/>
          <w:lang w:val="en-GB"/>
        </w:rPr>
        <w:t>good governance and democratic processes</w:t>
      </w:r>
      <w:r w:rsidR="00585F34" w:rsidRPr="003F12A6">
        <w:rPr>
          <w:rFonts w:ascii="Arial" w:hAnsi="Arial" w:cs="Arial"/>
          <w:lang w:val="en-GB"/>
        </w:rPr>
        <w:t>; and promoting</w:t>
      </w:r>
      <w:r w:rsidR="005743CD" w:rsidRPr="003F12A6">
        <w:rPr>
          <w:rFonts w:ascii="Arial" w:hAnsi="Arial" w:cs="Arial"/>
          <w:lang w:val="en-GB"/>
        </w:rPr>
        <w:t xml:space="preserve"> human development</w:t>
      </w:r>
      <w:r w:rsidR="00585F34" w:rsidRPr="003F12A6">
        <w:rPr>
          <w:rFonts w:ascii="Arial" w:hAnsi="Arial" w:cs="Arial"/>
          <w:lang w:val="en-GB"/>
        </w:rPr>
        <w:t xml:space="preserve"> </w:t>
      </w:r>
      <w:r w:rsidR="005743CD" w:rsidRPr="003F12A6">
        <w:rPr>
          <w:rFonts w:ascii="Arial" w:hAnsi="Arial" w:cs="Arial"/>
          <w:lang w:val="en-GB"/>
        </w:rPr>
        <w:t>and equitable globalisation.</w:t>
      </w:r>
    </w:p>
    <w:p w14:paraId="5C271E73" w14:textId="02F149D1" w:rsidR="00102BD7" w:rsidRPr="005456AD" w:rsidRDefault="00102BD7" w:rsidP="00F72C73">
      <w:pPr>
        <w:spacing w:line="360" w:lineRule="auto"/>
        <w:jc w:val="both"/>
        <w:rPr>
          <w:rFonts w:ascii="Arial" w:hAnsi="Arial" w:cs="Arial"/>
          <w:color w:val="000000"/>
          <w:lang w:val="en-GB"/>
        </w:rPr>
      </w:pPr>
      <w:r w:rsidRPr="003F12A6">
        <w:rPr>
          <w:rFonts w:ascii="Arial" w:hAnsi="Arial" w:cs="Arial"/>
          <w:color w:val="000000"/>
          <w:lang w:val="en-GB"/>
        </w:rPr>
        <w:t xml:space="preserve">The European Union and its member States are proud to lead global efforts as the world's largest development actor to eradicate poverty and achieve sustainable and inclusive development in its economic, social and environmental dimensions by </w:t>
      </w:r>
      <w:r w:rsidRPr="0055242A">
        <w:rPr>
          <w:rFonts w:ascii="Arial" w:hAnsi="Arial" w:cs="Arial"/>
          <w:color w:val="000000"/>
          <w:lang w:val="en-GB"/>
        </w:rPr>
        <w:t xml:space="preserve">2030. The EU is determined to retain this leadership </w:t>
      </w:r>
      <w:r w:rsidR="00D13DC0">
        <w:rPr>
          <w:rFonts w:ascii="Arial" w:hAnsi="Arial" w:cs="Arial"/>
          <w:color w:val="000000"/>
          <w:lang w:val="en-GB"/>
        </w:rPr>
        <w:t>and is committed to collectively achieving the target of providing 0.7% of collective GNI as ODA by 2030, guided by a</w:t>
      </w:r>
      <w:r w:rsidR="005731CB" w:rsidRPr="0055242A">
        <w:rPr>
          <w:rFonts w:ascii="Arial" w:hAnsi="Arial" w:cs="Arial"/>
          <w:color w:val="000000"/>
          <w:lang w:val="en-GB"/>
        </w:rPr>
        <w:t xml:space="preserve"> human </w:t>
      </w:r>
      <w:r w:rsidR="004D0F94" w:rsidRPr="0055242A">
        <w:rPr>
          <w:rFonts w:ascii="Arial" w:hAnsi="Arial" w:cs="Arial"/>
          <w:color w:val="000000"/>
          <w:lang w:val="en-GB"/>
        </w:rPr>
        <w:t>rights-based</w:t>
      </w:r>
      <w:r w:rsidR="005731CB" w:rsidRPr="0055242A">
        <w:rPr>
          <w:rFonts w:ascii="Arial" w:hAnsi="Arial" w:cs="Arial"/>
          <w:color w:val="000000"/>
          <w:lang w:val="en-GB"/>
        </w:rPr>
        <w:t xml:space="preserve"> approach to </w:t>
      </w:r>
      <w:r w:rsidR="00831998" w:rsidRPr="0055242A">
        <w:rPr>
          <w:rFonts w:ascii="Arial" w:hAnsi="Arial" w:cs="Arial"/>
          <w:color w:val="000000"/>
          <w:lang w:val="en-GB"/>
        </w:rPr>
        <w:t>development</w:t>
      </w:r>
      <w:r w:rsidRPr="005456AD">
        <w:rPr>
          <w:rFonts w:ascii="Arial" w:hAnsi="Arial" w:cs="Arial"/>
          <w:color w:val="000000"/>
          <w:lang w:val="en-GB"/>
        </w:rPr>
        <w:t xml:space="preserve">.  </w:t>
      </w:r>
    </w:p>
    <w:p w14:paraId="7E20EA75" w14:textId="6CABBD60" w:rsidR="004D0F94" w:rsidRDefault="005743CD" w:rsidP="004D0F94">
      <w:pPr>
        <w:spacing w:line="360" w:lineRule="auto"/>
        <w:jc w:val="both"/>
        <w:rPr>
          <w:rFonts w:ascii="Arial" w:hAnsi="Arial" w:cs="Arial"/>
          <w:lang w:val="en-GB"/>
        </w:rPr>
      </w:pPr>
      <w:r w:rsidRPr="003F12A6">
        <w:rPr>
          <w:rFonts w:ascii="Arial" w:hAnsi="Arial" w:cs="Arial"/>
          <w:lang w:val="en-GB"/>
        </w:rPr>
        <w:t xml:space="preserve">As in previous years, we will continue to engage in the Working Group. </w:t>
      </w:r>
      <w:r w:rsidR="00F72C73" w:rsidRPr="003F12A6">
        <w:rPr>
          <w:rFonts w:ascii="Arial" w:hAnsi="Arial" w:cs="Arial"/>
          <w:lang w:val="en-GB"/>
        </w:rPr>
        <w:t xml:space="preserve">We must </w:t>
      </w:r>
      <w:r w:rsidRPr="003F12A6">
        <w:rPr>
          <w:rFonts w:ascii="Arial" w:hAnsi="Arial" w:cs="Arial"/>
          <w:lang w:val="en-GB"/>
        </w:rPr>
        <w:t xml:space="preserve">however </w:t>
      </w:r>
      <w:r w:rsidR="00585F34" w:rsidRPr="003F12A6">
        <w:rPr>
          <w:rFonts w:ascii="Arial" w:hAnsi="Arial" w:cs="Arial"/>
          <w:lang w:val="en-GB"/>
        </w:rPr>
        <w:t xml:space="preserve">note </w:t>
      </w:r>
      <w:r w:rsidR="00F72C73" w:rsidRPr="003F12A6">
        <w:rPr>
          <w:rFonts w:ascii="Arial" w:hAnsi="Arial" w:cs="Arial"/>
          <w:lang w:val="en-GB"/>
        </w:rPr>
        <w:t xml:space="preserve">that divergent views in the understanding of the right to development </w:t>
      </w:r>
      <w:r w:rsidRPr="003F12A6">
        <w:rPr>
          <w:rFonts w:ascii="Arial" w:hAnsi="Arial" w:cs="Arial"/>
          <w:lang w:val="en-GB"/>
        </w:rPr>
        <w:t>persist</w:t>
      </w:r>
      <w:r w:rsidR="00F72C73" w:rsidRPr="003F12A6">
        <w:rPr>
          <w:rFonts w:ascii="Arial" w:hAnsi="Arial" w:cs="Arial"/>
          <w:lang w:val="en-GB"/>
        </w:rPr>
        <w:t>.</w:t>
      </w:r>
      <w:r w:rsidRPr="003F12A6">
        <w:rPr>
          <w:rFonts w:ascii="Arial" w:hAnsi="Arial" w:cs="Arial"/>
          <w:lang w:val="en-GB"/>
        </w:rPr>
        <w:t xml:space="preserve"> </w:t>
      </w:r>
      <w:r w:rsidR="007F1C94" w:rsidRPr="003F12A6">
        <w:rPr>
          <w:rFonts w:ascii="Arial" w:hAnsi="Arial" w:cs="Arial"/>
          <w:lang w:val="en-GB"/>
        </w:rPr>
        <w:t>We reiterate our support for the Right to Development, as based on the indivisibility and interdependence of all human rights, the multidimensional nature of development strategies and the individuals as the central subjects of the development process.</w:t>
      </w:r>
      <w:r w:rsidR="006A05B0">
        <w:rPr>
          <w:rFonts w:ascii="Arial" w:hAnsi="Arial" w:cs="Arial"/>
          <w:lang w:val="en-GB"/>
        </w:rPr>
        <w:t xml:space="preserve"> </w:t>
      </w:r>
      <w:r w:rsidR="00133EC0">
        <w:rPr>
          <w:rFonts w:ascii="Arial" w:hAnsi="Arial" w:cs="Arial"/>
          <w:lang w:val="en-GB"/>
        </w:rPr>
        <w:t xml:space="preserve">The EU promotes the reinforcement of a human rights-based approach to development recognising that human rights are a pre-condition for the achievement of inclusive and sustainable development.  </w:t>
      </w:r>
    </w:p>
    <w:p w14:paraId="60A48EAF" w14:textId="0AE2F391" w:rsidR="00276AEC" w:rsidRPr="004D0F94" w:rsidRDefault="005743CD" w:rsidP="004D0F94">
      <w:pPr>
        <w:spacing w:line="360" w:lineRule="auto"/>
        <w:jc w:val="both"/>
        <w:rPr>
          <w:rFonts w:ascii="Arial" w:hAnsi="Arial" w:cs="Arial"/>
          <w:lang w:val="en-GB"/>
        </w:rPr>
      </w:pPr>
      <w:r w:rsidRPr="003F12A6">
        <w:rPr>
          <w:rFonts w:ascii="Arial" w:hAnsi="Arial" w:cs="Arial"/>
          <w:lang w:val="en-GB"/>
        </w:rPr>
        <w:t>The Right to Development requires the full and non-discriminatory realisation of all human rights, be they civil, political, economic, social or cultural</w:t>
      </w:r>
      <w:r w:rsidR="00025EE5">
        <w:rPr>
          <w:rFonts w:ascii="Arial" w:hAnsi="Arial" w:cs="Arial"/>
          <w:lang w:val="en-GB"/>
        </w:rPr>
        <w:t>,</w:t>
      </w:r>
      <w:r w:rsidR="007F1C94" w:rsidRPr="003F12A6">
        <w:rPr>
          <w:rFonts w:ascii="Arial" w:hAnsi="Arial" w:cs="Arial"/>
          <w:lang w:val="en-GB"/>
        </w:rPr>
        <w:t xml:space="preserve"> and requires a mix of policies</w:t>
      </w:r>
      <w:r w:rsidR="00AD0853" w:rsidRPr="003F12A6">
        <w:rPr>
          <w:rFonts w:ascii="Arial" w:hAnsi="Arial" w:cs="Arial"/>
          <w:lang w:val="en-GB"/>
        </w:rPr>
        <w:t xml:space="preserve"> to </w:t>
      </w:r>
      <w:r w:rsidR="007F1C94" w:rsidRPr="003F12A6">
        <w:rPr>
          <w:rFonts w:ascii="Arial" w:hAnsi="Arial" w:cs="Arial"/>
          <w:lang w:val="en-GB"/>
        </w:rPr>
        <w:t>create an enabling environment for individuals</w:t>
      </w:r>
      <w:r w:rsidR="0030006B" w:rsidRPr="003F12A6">
        <w:rPr>
          <w:rFonts w:ascii="Arial" w:hAnsi="Arial" w:cs="Arial"/>
          <w:lang w:val="en-GB"/>
        </w:rPr>
        <w:t xml:space="preserve"> as rights-holders</w:t>
      </w:r>
      <w:r w:rsidR="007F1C94" w:rsidRPr="006A05B0">
        <w:rPr>
          <w:rFonts w:ascii="Arial" w:hAnsi="Arial" w:cs="Arial"/>
          <w:lang w:val="en-GB"/>
        </w:rPr>
        <w:t xml:space="preserve">, at different levels. </w:t>
      </w:r>
      <w:r w:rsidR="008871E0">
        <w:rPr>
          <w:rFonts w:ascii="Arial" w:hAnsi="Arial" w:cs="Arial"/>
          <w:lang w:val="en-GB"/>
        </w:rPr>
        <w:t xml:space="preserve">States have a duty to ensure that development efforts are aimed at the constant improvement </w:t>
      </w:r>
      <w:r w:rsidR="00514E4F">
        <w:rPr>
          <w:rFonts w:ascii="Arial" w:hAnsi="Arial" w:cs="Arial"/>
          <w:lang w:val="en-GB"/>
        </w:rPr>
        <w:t>of</w:t>
      </w:r>
      <w:r w:rsidR="008871E0" w:rsidRPr="004D0F94">
        <w:rPr>
          <w:rFonts w:ascii="Arial" w:hAnsi="Arial" w:cs="Arial"/>
          <w:lang w:val="en-GB"/>
        </w:rPr>
        <w:t xml:space="preserve"> </w:t>
      </w:r>
      <w:r w:rsidR="008871E0" w:rsidRPr="0055242A">
        <w:rPr>
          <w:rFonts w:ascii="Arial" w:hAnsi="Arial" w:cs="Arial"/>
          <w:lang w:val="en-GB"/>
        </w:rPr>
        <w:t>their citizens’ well</w:t>
      </w:r>
      <w:r w:rsidR="00025EE5">
        <w:rPr>
          <w:rFonts w:ascii="Arial" w:hAnsi="Arial" w:cs="Arial"/>
          <w:lang w:val="en-GB"/>
        </w:rPr>
        <w:t>-</w:t>
      </w:r>
      <w:r w:rsidR="008871E0" w:rsidRPr="0055242A">
        <w:rPr>
          <w:rFonts w:ascii="Arial" w:hAnsi="Arial" w:cs="Arial"/>
          <w:lang w:val="en-GB"/>
        </w:rPr>
        <w:t xml:space="preserve">being and that development policies </w:t>
      </w:r>
      <w:r w:rsidR="001600DC" w:rsidRPr="0055242A">
        <w:rPr>
          <w:rFonts w:ascii="Arial" w:hAnsi="Arial" w:cs="Arial"/>
          <w:lang w:val="en-GB"/>
        </w:rPr>
        <w:t>and programs</w:t>
      </w:r>
      <w:r w:rsidR="008871E0" w:rsidRPr="0055242A">
        <w:rPr>
          <w:rFonts w:ascii="Arial" w:hAnsi="Arial" w:cs="Arial"/>
          <w:lang w:val="en-GB"/>
        </w:rPr>
        <w:t xml:space="preserve"> are based on their active, free and meaningful participation. </w:t>
      </w:r>
      <w:r w:rsidR="007F1C94" w:rsidRPr="0055242A">
        <w:rPr>
          <w:rFonts w:ascii="Arial" w:hAnsi="Arial" w:cs="Arial"/>
          <w:lang w:val="en-GB"/>
        </w:rPr>
        <w:t xml:space="preserve">Indeed, any development policy should make the human being the main </w:t>
      </w:r>
      <w:r w:rsidR="0030006B" w:rsidRPr="0055242A">
        <w:rPr>
          <w:rFonts w:ascii="Arial" w:hAnsi="Arial" w:cs="Arial"/>
          <w:lang w:val="en-GB"/>
        </w:rPr>
        <w:t xml:space="preserve">actor </w:t>
      </w:r>
      <w:r w:rsidR="007F1C94" w:rsidRPr="0055242A">
        <w:rPr>
          <w:rFonts w:ascii="Arial" w:hAnsi="Arial" w:cs="Arial"/>
          <w:lang w:val="en-GB"/>
        </w:rPr>
        <w:t xml:space="preserve">and beneficiary of development. </w:t>
      </w:r>
      <w:r w:rsidR="008E0528" w:rsidRPr="0055242A">
        <w:rPr>
          <w:rFonts w:ascii="Arial" w:hAnsi="Arial" w:cs="Arial"/>
          <w:lang w:val="en-GB"/>
        </w:rPr>
        <w:t xml:space="preserve">Democracy at all levels and in all spheres is therefore essential for development. The </w:t>
      </w:r>
      <w:r w:rsidR="008E0528" w:rsidRPr="0055242A">
        <w:rPr>
          <w:rFonts w:ascii="Arial" w:hAnsi="Arial" w:cs="Arial"/>
          <w:lang w:val="en-GB"/>
        </w:rPr>
        <w:lastRenderedPageBreak/>
        <w:t>need</w:t>
      </w:r>
      <w:r w:rsidR="008E0528" w:rsidRPr="004D0F94">
        <w:rPr>
          <w:rFonts w:ascii="Arial" w:hAnsi="Arial" w:cs="Arial"/>
          <w:lang w:val="en-GB"/>
        </w:rPr>
        <w:t xml:space="preserve"> to ensure that human rights are an integral element of development-related activities further implies that clear responsibilities and accountability structures need to be outlined</w:t>
      </w:r>
      <w:r w:rsidR="003F12A6" w:rsidRPr="004D0F94">
        <w:rPr>
          <w:rFonts w:ascii="Arial" w:hAnsi="Arial" w:cs="Arial"/>
          <w:lang w:val="en-GB"/>
        </w:rPr>
        <w:t xml:space="preserve"> with respect to these rights</w:t>
      </w:r>
      <w:r w:rsidR="008E0528" w:rsidRPr="004D0F94">
        <w:rPr>
          <w:rFonts w:ascii="Arial" w:hAnsi="Arial" w:cs="Arial"/>
          <w:lang w:val="en-GB"/>
        </w:rPr>
        <w:t>.</w:t>
      </w:r>
      <w:r w:rsidR="00276AEC" w:rsidRPr="004D0F94">
        <w:rPr>
          <w:rFonts w:ascii="Arial" w:hAnsi="Arial" w:cs="Arial"/>
          <w:lang w:val="en-GB"/>
        </w:rPr>
        <w:t xml:space="preserve"> </w:t>
      </w:r>
      <w:r w:rsidR="008E0528" w:rsidRPr="004D0F94">
        <w:rPr>
          <w:rFonts w:ascii="Arial" w:hAnsi="Arial" w:cs="Arial"/>
          <w:lang w:val="en-GB"/>
        </w:rPr>
        <w:t xml:space="preserve"> </w:t>
      </w:r>
      <w:r w:rsidR="00276AEC" w:rsidRPr="004D0F94">
        <w:rPr>
          <w:rFonts w:ascii="Arial" w:hAnsi="Arial" w:cs="Arial"/>
          <w:lang w:val="en-GB"/>
        </w:rPr>
        <w:t xml:space="preserve">Individual </w:t>
      </w:r>
      <w:r w:rsidR="00133EC0">
        <w:rPr>
          <w:rFonts w:ascii="Arial" w:hAnsi="Arial" w:cs="Arial"/>
          <w:lang w:val="en-GB"/>
        </w:rPr>
        <w:t>S</w:t>
      </w:r>
      <w:r w:rsidR="00276AEC" w:rsidRPr="004D0F94">
        <w:rPr>
          <w:rFonts w:ascii="Arial" w:hAnsi="Arial" w:cs="Arial"/>
          <w:lang w:val="en-GB"/>
        </w:rPr>
        <w:t xml:space="preserve">tates bear primary </w:t>
      </w:r>
      <w:r w:rsidR="004D0F94" w:rsidRPr="004D0F94">
        <w:rPr>
          <w:rFonts w:ascii="Arial" w:hAnsi="Arial" w:cs="Arial"/>
          <w:lang w:val="en-GB"/>
        </w:rPr>
        <w:t>responsibility</w:t>
      </w:r>
      <w:r w:rsidR="00276AEC" w:rsidRPr="004D0F94">
        <w:rPr>
          <w:rFonts w:ascii="Arial" w:hAnsi="Arial" w:cs="Arial"/>
          <w:lang w:val="en-GB"/>
        </w:rPr>
        <w:t xml:space="preserve"> to respect, protect and </w:t>
      </w:r>
      <w:r w:rsidR="004D0F94" w:rsidRPr="004D0F94">
        <w:rPr>
          <w:rFonts w:ascii="Arial" w:hAnsi="Arial" w:cs="Arial"/>
          <w:lang w:val="en-GB"/>
        </w:rPr>
        <w:t>fulfil</w:t>
      </w:r>
      <w:r w:rsidR="00276AEC" w:rsidRPr="004D0F94">
        <w:rPr>
          <w:rFonts w:ascii="Arial" w:hAnsi="Arial" w:cs="Arial"/>
          <w:lang w:val="en-GB"/>
        </w:rPr>
        <w:t xml:space="preserve"> those rights and seek cooperation with others when required. </w:t>
      </w:r>
    </w:p>
    <w:p w14:paraId="02B92CC3" w14:textId="03C6FAC5" w:rsidR="007F1C94" w:rsidRPr="0055242A" w:rsidRDefault="00C04F6A" w:rsidP="00CC3DAB">
      <w:pPr>
        <w:spacing w:line="360" w:lineRule="auto"/>
        <w:jc w:val="both"/>
        <w:rPr>
          <w:rFonts w:ascii="Arial" w:hAnsi="Arial" w:cs="Arial"/>
          <w:lang w:val="en-GB"/>
        </w:rPr>
      </w:pPr>
      <w:r w:rsidRPr="004D0F94">
        <w:rPr>
          <w:rFonts w:ascii="Arial" w:hAnsi="Arial" w:cs="Arial"/>
          <w:lang w:val="en-GB"/>
        </w:rPr>
        <w:t xml:space="preserve">We </w:t>
      </w:r>
      <w:r w:rsidR="00645A53" w:rsidRPr="004D0F94">
        <w:rPr>
          <w:rFonts w:ascii="Arial" w:hAnsi="Arial" w:cs="Arial"/>
          <w:lang w:val="en-GB"/>
        </w:rPr>
        <w:t>h</w:t>
      </w:r>
      <w:r w:rsidR="00645A53" w:rsidRPr="0055242A">
        <w:rPr>
          <w:rFonts w:ascii="Arial" w:hAnsi="Arial" w:cs="Arial"/>
          <w:lang w:val="en-GB"/>
        </w:rPr>
        <w:t>ave</w:t>
      </w:r>
      <w:r w:rsidRPr="0055242A">
        <w:rPr>
          <w:rFonts w:ascii="Arial" w:hAnsi="Arial" w:cs="Arial"/>
          <w:lang w:val="en-GB"/>
        </w:rPr>
        <w:t xml:space="preserve"> to re-state our position that we are not in favour of the elaboration of an international legal standard of a binding nature as we do not believe that this is </w:t>
      </w:r>
      <w:r w:rsidR="00133EC0">
        <w:rPr>
          <w:rFonts w:ascii="Arial" w:hAnsi="Arial" w:cs="Arial"/>
          <w:lang w:val="en-GB"/>
        </w:rPr>
        <w:t>an</w:t>
      </w:r>
      <w:r w:rsidR="00133EC0" w:rsidRPr="0055242A">
        <w:rPr>
          <w:rFonts w:ascii="Arial" w:hAnsi="Arial" w:cs="Arial"/>
          <w:lang w:val="en-GB"/>
        </w:rPr>
        <w:t xml:space="preserve"> </w:t>
      </w:r>
      <w:r w:rsidRPr="0055242A">
        <w:rPr>
          <w:rFonts w:ascii="Arial" w:hAnsi="Arial" w:cs="Arial"/>
          <w:lang w:val="en-GB"/>
        </w:rPr>
        <w:t xml:space="preserve">appropriate </w:t>
      </w:r>
      <w:r w:rsidR="00276AEC">
        <w:rPr>
          <w:rFonts w:ascii="Arial" w:hAnsi="Arial" w:cs="Arial"/>
          <w:lang w:val="en-GB"/>
        </w:rPr>
        <w:t xml:space="preserve">or efficient </w:t>
      </w:r>
      <w:r w:rsidRPr="0055242A">
        <w:rPr>
          <w:rFonts w:ascii="Arial" w:hAnsi="Arial" w:cs="Arial"/>
          <w:lang w:val="en-GB"/>
        </w:rPr>
        <w:t xml:space="preserve">mechanism to realise </w:t>
      </w:r>
      <w:r w:rsidR="00276AEC">
        <w:rPr>
          <w:rFonts w:ascii="Arial" w:hAnsi="Arial" w:cs="Arial"/>
          <w:lang w:val="en-GB"/>
        </w:rPr>
        <w:t xml:space="preserve">sustainable </w:t>
      </w:r>
      <w:r w:rsidRPr="0055242A">
        <w:rPr>
          <w:rFonts w:ascii="Arial" w:hAnsi="Arial" w:cs="Arial"/>
          <w:lang w:val="en-GB"/>
        </w:rPr>
        <w:t>development.</w:t>
      </w:r>
      <w:r w:rsidR="00645A53" w:rsidRPr="0055242A">
        <w:rPr>
          <w:rFonts w:ascii="Arial" w:hAnsi="Arial" w:cs="Arial"/>
          <w:lang w:val="en-GB"/>
        </w:rPr>
        <w:t xml:space="preserve"> </w:t>
      </w:r>
    </w:p>
    <w:p w14:paraId="7CA88801" w14:textId="37980178" w:rsidR="00C5663F" w:rsidRPr="0055242A" w:rsidRDefault="00215A15" w:rsidP="00CC3DAB">
      <w:pPr>
        <w:spacing w:line="360" w:lineRule="auto"/>
        <w:jc w:val="both"/>
        <w:rPr>
          <w:rFonts w:ascii="Arial" w:hAnsi="Arial" w:cs="Arial"/>
          <w:lang w:val="en-GB"/>
        </w:rPr>
      </w:pPr>
      <w:r w:rsidRPr="0055242A">
        <w:rPr>
          <w:rFonts w:ascii="Arial" w:hAnsi="Arial" w:cs="Arial"/>
          <w:lang w:val="en-GB"/>
        </w:rPr>
        <w:t xml:space="preserve">Moreover, </w:t>
      </w:r>
      <w:r w:rsidR="00D629EF" w:rsidRPr="0055242A">
        <w:rPr>
          <w:rFonts w:ascii="Arial" w:hAnsi="Arial" w:cs="Arial"/>
          <w:lang w:val="en-GB"/>
        </w:rPr>
        <w:t xml:space="preserve">we view critically </w:t>
      </w:r>
      <w:r w:rsidR="00C5663F" w:rsidRPr="0055242A">
        <w:rPr>
          <w:rFonts w:ascii="Arial" w:hAnsi="Arial" w:cs="Arial"/>
          <w:lang w:val="en-GB"/>
        </w:rPr>
        <w:t>the proposed</w:t>
      </w:r>
      <w:r w:rsidRPr="0055242A">
        <w:rPr>
          <w:rFonts w:ascii="Arial" w:hAnsi="Arial" w:cs="Arial"/>
          <w:lang w:val="en-GB"/>
        </w:rPr>
        <w:t xml:space="preserve"> draft</w:t>
      </w:r>
      <w:r w:rsidR="00C5663F" w:rsidRPr="0055242A">
        <w:rPr>
          <w:rFonts w:ascii="Arial" w:hAnsi="Arial" w:cs="Arial"/>
          <w:lang w:val="en-GB"/>
        </w:rPr>
        <w:t xml:space="preserve">, </w:t>
      </w:r>
      <w:r w:rsidRPr="0055242A">
        <w:rPr>
          <w:rFonts w:ascii="Arial" w:hAnsi="Arial" w:cs="Arial"/>
          <w:lang w:val="en-GB"/>
        </w:rPr>
        <w:t>including</w:t>
      </w:r>
      <w:r w:rsidR="00D629EF" w:rsidRPr="0055242A">
        <w:rPr>
          <w:rFonts w:ascii="Arial" w:hAnsi="Arial" w:cs="Arial"/>
          <w:lang w:val="en-GB"/>
        </w:rPr>
        <w:t xml:space="preserve"> the following aspects</w:t>
      </w:r>
      <w:r w:rsidRPr="0055242A">
        <w:rPr>
          <w:rFonts w:ascii="Arial" w:hAnsi="Arial" w:cs="Arial"/>
          <w:lang w:val="en-GB"/>
        </w:rPr>
        <w:t>:</w:t>
      </w:r>
    </w:p>
    <w:p w14:paraId="13982716" w14:textId="02412A43" w:rsidR="002F41E1" w:rsidRPr="004D0F94" w:rsidRDefault="009F6A8C" w:rsidP="00C004C4">
      <w:pPr>
        <w:pStyle w:val="ListParagraph"/>
        <w:numPr>
          <w:ilvl w:val="0"/>
          <w:numId w:val="1"/>
        </w:numPr>
        <w:spacing w:line="360" w:lineRule="auto"/>
        <w:jc w:val="both"/>
        <w:rPr>
          <w:rFonts w:ascii="Arial" w:hAnsi="Arial" w:cs="Arial"/>
          <w:lang w:val="en-GB"/>
        </w:rPr>
      </w:pPr>
      <w:r w:rsidRPr="005456AD">
        <w:rPr>
          <w:rFonts w:ascii="Arial" w:hAnsi="Arial" w:cs="Arial"/>
          <w:lang w:val="en-GB"/>
        </w:rPr>
        <w:t>The text does not reflect our understanding of the right to development as outlined at the outset of this intervention</w:t>
      </w:r>
      <w:r w:rsidR="00276AEC">
        <w:rPr>
          <w:rFonts w:ascii="Arial" w:hAnsi="Arial" w:cs="Arial"/>
          <w:lang w:val="en-GB"/>
        </w:rPr>
        <w:t xml:space="preserve">, as based on the indivisibility and </w:t>
      </w:r>
      <w:r w:rsidR="00052321">
        <w:rPr>
          <w:rFonts w:ascii="Arial" w:hAnsi="Arial" w:cs="Arial"/>
          <w:lang w:val="en-GB"/>
        </w:rPr>
        <w:t>interdependence</w:t>
      </w:r>
      <w:r w:rsidR="00276AEC">
        <w:rPr>
          <w:rFonts w:ascii="Arial" w:hAnsi="Arial" w:cs="Arial"/>
          <w:lang w:val="en-GB"/>
        </w:rPr>
        <w:t xml:space="preserve"> of all human rights, the multidimensional nature of development strategies</w:t>
      </w:r>
      <w:r w:rsidR="00052321">
        <w:rPr>
          <w:rFonts w:ascii="Arial" w:hAnsi="Arial" w:cs="Arial"/>
          <w:lang w:val="en-GB"/>
        </w:rPr>
        <w:t>,</w:t>
      </w:r>
      <w:r w:rsidR="00276AEC">
        <w:rPr>
          <w:rFonts w:ascii="Arial" w:hAnsi="Arial" w:cs="Arial"/>
          <w:lang w:val="en-GB"/>
        </w:rPr>
        <w:t xml:space="preserve"> and the individuals as the central actors and beneficiaries of the development processes</w:t>
      </w:r>
      <w:r w:rsidRPr="005456AD">
        <w:rPr>
          <w:rFonts w:ascii="Arial" w:hAnsi="Arial" w:cs="Arial"/>
          <w:lang w:val="en-GB"/>
        </w:rPr>
        <w:t>.</w:t>
      </w:r>
      <w:r w:rsidR="00F14EEE" w:rsidRPr="00F14EEE">
        <w:rPr>
          <w:rFonts w:ascii="Arial" w:eastAsia="Times New Roman" w:hAnsi="Arial" w:cs="Arial"/>
          <w:color w:val="000000"/>
          <w:lang w:val="en-GB" w:eastAsia="en-GB"/>
        </w:rPr>
        <w:t xml:space="preserve"> </w:t>
      </w:r>
    </w:p>
    <w:p w14:paraId="3210E123" w14:textId="64814447" w:rsidR="009F6A8C" w:rsidRPr="005456AD" w:rsidRDefault="00F14EEE" w:rsidP="00C004C4">
      <w:pPr>
        <w:pStyle w:val="ListParagraph"/>
        <w:numPr>
          <w:ilvl w:val="0"/>
          <w:numId w:val="1"/>
        </w:numPr>
        <w:spacing w:line="360" w:lineRule="auto"/>
        <w:jc w:val="both"/>
        <w:rPr>
          <w:rFonts w:ascii="Arial" w:hAnsi="Arial" w:cs="Arial"/>
          <w:lang w:val="en-GB"/>
        </w:rPr>
      </w:pPr>
      <w:r>
        <w:rPr>
          <w:rFonts w:ascii="Arial" w:eastAsia="Times New Roman" w:hAnsi="Arial" w:cs="Arial"/>
          <w:color w:val="000000"/>
          <w:lang w:val="en-GB" w:eastAsia="en-GB"/>
        </w:rPr>
        <w:t xml:space="preserve">There should be clarity that human rights are central to all efforts to pursue development and that </w:t>
      </w:r>
      <w:r w:rsidR="00133EC0">
        <w:rPr>
          <w:rFonts w:ascii="Arial" w:eastAsia="Times New Roman" w:hAnsi="Arial" w:cs="Arial"/>
          <w:color w:val="000000"/>
          <w:lang w:val="en-GB" w:eastAsia="en-GB"/>
        </w:rPr>
        <w:t>S</w:t>
      </w:r>
      <w:r>
        <w:rPr>
          <w:rFonts w:ascii="Arial" w:eastAsia="Times New Roman" w:hAnsi="Arial" w:cs="Arial"/>
          <w:color w:val="000000"/>
          <w:lang w:val="en-GB" w:eastAsia="en-GB"/>
        </w:rPr>
        <w:t>tates need to adhere to their human rights obligations in doing so.</w:t>
      </w:r>
    </w:p>
    <w:p w14:paraId="2A00D9F0" w14:textId="728F1116" w:rsidR="009125C1" w:rsidRPr="003F12A6" w:rsidRDefault="00052321" w:rsidP="009125C1">
      <w:pPr>
        <w:pStyle w:val="ListParagraph"/>
        <w:numPr>
          <w:ilvl w:val="0"/>
          <w:numId w:val="1"/>
        </w:numPr>
        <w:spacing w:line="360" w:lineRule="auto"/>
        <w:jc w:val="both"/>
        <w:rPr>
          <w:rFonts w:ascii="Arial" w:hAnsi="Arial" w:cs="Arial"/>
          <w:lang w:val="en-GB"/>
        </w:rPr>
      </w:pPr>
      <w:r>
        <w:rPr>
          <w:rFonts w:ascii="Arial" w:hAnsi="Arial" w:cs="Arial"/>
          <w:lang w:val="en-GB"/>
        </w:rPr>
        <w:t xml:space="preserve">It should also be </w:t>
      </w:r>
      <w:r w:rsidR="009125C1" w:rsidRPr="003F12A6">
        <w:rPr>
          <w:rFonts w:ascii="Arial" w:hAnsi="Arial" w:cs="Arial"/>
          <w:lang w:val="en-GB"/>
        </w:rPr>
        <w:t>clearly state</w:t>
      </w:r>
      <w:r>
        <w:rPr>
          <w:rFonts w:ascii="Arial" w:hAnsi="Arial" w:cs="Arial"/>
          <w:lang w:val="en-GB"/>
        </w:rPr>
        <w:t>d</w:t>
      </w:r>
      <w:r w:rsidR="009125C1" w:rsidRPr="003F12A6">
        <w:rPr>
          <w:rFonts w:ascii="Arial" w:hAnsi="Arial" w:cs="Arial"/>
          <w:lang w:val="en-GB"/>
        </w:rPr>
        <w:t xml:space="preserve"> that human rights are inherent to all human beings, with no discrimination or distinction of any kind.</w:t>
      </w:r>
    </w:p>
    <w:p w14:paraId="774BEE31" w14:textId="77777777" w:rsidR="00125A49" w:rsidRPr="00125A49" w:rsidRDefault="005072E5">
      <w:pPr>
        <w:pStyle w:val="ListParagraph"/>
        <w:numPr>
          <w:ilvl w:val="0"/>
          <w:numId w:val="1"/>
        </w:numPr>
        <w:spacing w:line="360" w:lineRule="auto"/>
        <w:jc w:val="both"/>
        <w:rPr>
          <w:rFonts w:asciiTheme="minorHAnsi" w:hAnsiTheme="minorHAnsi" w:cstheme="minorHAnsi"/>
          <w:lang w:val="en-GB"/>
        </w:rPr>
      </w:pPr>
      <w:r w:rsidRPr="004D0F94">
        <w:rPr>
          <w:rFonts w:ascii="Arial" w:eastAsia="Times New Roman" w:hAnsi="Arial" w:cs="Arial"/>
          <w:color w:val="000000"/>
          <w:lang w:val="en-GB" w:eastAsia="en-GB"/>
        </w:rPr>
        <w:t>For the EU, it has to be made clear that the rights-holders of the right to development are individual human beings</w:t>
      </w:r>
      <w:r w:rsidR="00052321">
        <w:rPr>
          <w:rFonts w:ascii="Arial" w:eastAsia="Times New Roman" w:hAnsi="Arial" w:cs="Arial"/>
          <w:color w:val="000000"/>
          <w:lang w:val="en-GB" w:eastAsia="en-GB"/>
        </w:rPr>
        <w:t xml:space="preserve">, whereas the role of </w:t>
      </w:r>
      <w:r w:rsidRPr="004D0F94">
        <w:rPr>
          <w:rFonts w:ascii="Arial" w:eastAsia="Times New Roman" w:hAnsi="Arial" w:cs="Arial"/>
          <w:color w:val="000000"/>
          <w:lang w:val="en-GB" w:eastAsia="en-GB"/>
        </w:rPr>
        <w:t>states</w:t>
      </w:r>
      <w:r w:rsidR="00052321">
        <w:rPr>
          <w:rFonts w:ascii="Arial" w:eastAsia="Times New Roman" w:hAnsi="Arial" w:cs="Arial"/>
          <w:color w:val="000000"/>
          <w:lang w:val="en-GB" w:eastAsia="en-GB"/>
        </w:rPr>
        <w:t xml:space="preserve"> is to fulfil, respect and protect human rights</w:t>
      </w:r>
      <w:r w:rsidRPr="004D0F94">
        <w:rPr>
          <w:rFonts w:ascii="Arial" w:eastAsia="Times New Roman" w:hAnsi="Arial" w:cs="Arial"/>
          <w:color w:val="000000"/>
          <w:lang w:val="en-GB" w:eastAsia="en-GB"/>
        </w:rPr>
        <w:t>. </w:t>
      </w:r>
      <w:r w:rsidR="002F41E1">
        <w:rPr>
          <w:rFonts w:ascii="Arial" w:hAnsi="Arial" w:cs="Arial"/>
          <w:lang w:val="en-GB"/>
        </w:rPr>
        <w:t xml:space="preserve">To the contrary, </w:t>
      </w:r>
      <w:r w:rsidR="00052321">
        <w:rPr>
          <w:rFonts w:ascii="Arial" w:hAnsi="Arial" w:cs="Arial"/>
          <w:lang w:val="en-GB"/>
        </w:rPr>
        <w:t xml:space="preserve">in the present text, </w:t>
      </w:r>
      <w:r w:rsidR="002F41E1">
        <w:rPr>
          <w:rFonts w:ascii="Arial" w:hAnsi="Arial" w:cs="Arial"/>
          <w:lang w:val="en-GB"/>
        </w:rPr>
        <w:t>f</w:t>
      </w:r>
      <w:r w:rsidR="002F41E1" w:rsidRPr="008A649F">
        <w:rPr>
          <w:rFonts w:ascii="Arial" w:hAnsi="Arial" w:cs="Arial"/>
          <w:lang w:val="en-GB"/>
        </w:rPr>
        <w:t>ocus is placed on international cooperation, and obligations of industrialised countries t</w:t>
      </w:r>
      <w:r w:rsidR="002F41E1" w:rsidRPr="008871E0">
        <w:rPr>
          <w:rFonts w:ascii="Arial" w:hAnsi="Arial" w:cs="Arial"/>
          <w:lang w:val="en-GB"/>
        </w:rPr>
        <w:t xml:space="preserve">owards developing countries. It promotes the narrative </w:t>
      </w:r>
      <w:r w:rsidR="002F41E1" w:rsidRPr="00514E4F">
        <w:rPr>
          <w:rFonts w:ascii="Arial" w:hAnsi="Arial" w:cs="Arial"/>
          <w:lang w:val="en-GB"/>
        </w:rPr>
        <w:t>of international solidarity and economic and social development</w:t>
      </w:r>
      <w:r w:rsidR="002F41E1" w:rsidRPr="003F12A6">
        <w:rPr>
          <w:rFonts w:ascii="Arial" w:hAnsi="Arial" w:cs="Arial"/>
          <w:lang w:val="en-GB"/>
        </w:rPr>
        <w:t xml:space="preserve"> as prerequisites for the realization of human rights. </w:t>
      </w:r>
      <w:r w:rsidR="002E0686">
        <w:rPr>
          <w:rFonts w:ascii="Arial" w:hAnsi="Arial" w:cs="Arial"/>
          <w:lang w:val="en-GB"/>
        </w:rPr>
        <w:t>Therefore, the text as it stands now distorts the framework of international human rights law as enshrined i.a. in the UN Charter, Universal Declaration and the human rights covenants.</w:t>
      </w:r>
    </w:p>
    <w:p w14:paraId="439A6E03" w14:textId="199B5656" w:rsidR="004D0F94" w:rsidRPr="00125A49" w:rsidRDefault="000E53FD" w:rsidP="00125A49">
      <w:pPr>
        <w:spacing w:line="360" w:lineRule="auto"/>
        <w:ind w:left="360"/>
        <w:jc w:val="both"/>
        <w:rPr>
          <w:rFonts w:asciiTheme="minorHAnsi" w:hAnsiTheme="minorHAnsi" w:cstheme="minorHAnsi"/>
          <w:lang w:val="en-GB"/>
        </w:rPr>
      </w:pPr>
      <w:r w:rsidRPr="00125A49">
        <w:rPr>
          <w:rFonts w:ascii="Arial" w:hAnsi="Arial" w:cs="Arial"/>
          <w:lang w:val="en-GB"/>
        </w:rPr>
        <w:t>Furthermore</w:t>
      </w:r>
      <w:r w:rsidR="004F75FC" w:rsidRPr="00125A49">
        <w:rPr>
          <w:rFonts w:ascii="Arial" w:hAnsi="Arial" w:cs="Arial"/>
          <w:lang w:val="en-GB"/>
        </w:rPr>
        <w:t>, t</w:t>
      </w:r>
      <w:r w:rsidR="00A37BFA" w:rsidRPr="00125A49">
        <w:rPr>
          <w:rFonts w:ascii="Arial" w:hAnsi="Arial" w:cs="Arial"/>
          <w:lang w:val="en-GB"/>
        </w:rPr>
        <w:t xml:space="preserve">he </w:t>
      </w:r>
      <w:r w:rsidR="004D0F94" w:rsidRPr="00125A49">
        <w:rPr>
          <w:rFonts w:ascii="Arial" w:hAnsi="Arial" w:cs="Arial"/>
          <w:lang w:val="en-GB"/>
        </w:rPr>
        <w:t xml:space="preserve">draft </w:t>
      </w:r>
      <w:r w:rsidR="00A37BFA" w:rsidRPr="00125A49">
        <w:rPr>
          <w:rFonts w:ascii="Arial" w:hAnsi="Arial" w:cs="Arial"/>
          <w:lang w:val="en-GB"/>
        </w:rPr>
        <w:t xml:space="preserve">text </w:t>
      </w:r>
      <w:r w:rsidR="004D0F94" w:rsidRPr="00125A49">
        <w:rPr>
          <w:rFonts w:ascii="Arial" w:hAnsi="Arial" w:cs="Arial"/>
          <w:lang w:val="en-GB"/>
        </w:rPr>
        <w:t>triggers several questions:</w:t>
      </w:r>
    </w:p>
    <w:p w14:paraId="6E89D1AB" w14:textId="1152AEAC" w:rsidR="002E0686" w:rsidRPr="00125A49" w:rsidRDefault="002E0686" w:rsidP="005072E5">
      <w:pPr>
        <w:pStyle w:val="ListParagraph"/>
        <w:numPr>
          <w:ilvl w:val="0"/>
          <w:numId w:val="1"/>
        </w:numPr>
        <w:spacing w:line="360" w:lineRule="auto"/>
        <w:jc w:val="both"/>
        <w:rPr>
          <w:rFonts w:asciiTheme="minorHAnsi" w:hAnsiTheme="minorHAnsi" w:cstheme="minorHAnsi"/>
          <w:lang w:val="en-GB"/>
        </w:rPr>
      </w:pPr>
      <w:r>
        <w:rPr>
          <w:rFonts w:ascii="Arial" w:hAnsi="Arial" w:cs="Arial"/>
          <w:lang w:val="en-GB"/>
        </w:rPr>
        <w:t xml:space="preserve">It uses concepts </w:t>
      </w:r>
      <w:r w:rsidR="00025EE5">
        <w:rPr>
          <w:rFonts w:ascii="Arial" w:hAnsi="Arial" w:cs="Arial"/>
          <w:lang w:val="en-GB"/>
        </w:rPr>
        <w:t xml:space="preserve">of </w:t>
      </w:r>
      <w:r>
        <w:rPr>
          <w:rFonts w:ascii="Arial" w:hAnsi="Arial" w:cs="Arial"/>
          <w:lang w:val="en-GB"/>
        </w:rPr>
        <w:t xml:space="preserve">which </w:t>
      </w:r>
      <w:r w:rsidR="00025EE5">
        <w:rPr>
          <w:rFonts w:ascii="Arial" w:hAnsi="Arial" w:cs="Arial"/>
          <w:lang w:val="en-GB"/>
        </w:rPr>
        <w:t xml:space="preserve">the </w:t>
      </w:r>
      <w:r>
        <w:rPr>
          <w:rFonts w:ascii="Arial" w:hAnsi="Arial" w:cs="Arial"/>
          <w:lang w:val="en-GB"/>
        </w:rPr>
        <w:t>meaning is unclear in the context of IHRL, such as common concern of humankind or the right to regulate.</w:t>
      </w:r>
    </w:p>
    <w:p w14:paraId="34507F32" w14:textId="78A763E9" w:rsidR="00A37BFA" w:rsidRPr="005731CB" w:rsidRDefault="004D0F94" w:rsidP="005072E5">
      <w:pPr>
        <w:pStyle w:val="ListParagraph"/>
        <w:numPr>
          <w:ilvl w:val="0"/>
          <w:numId w:val="1"/>
        </w:numPr>
        <w:spacing w:line="360" w:lineRule="auto"/>
        <w:jc w:val="both"/>
        <w:rPr>
          <w:rFonts w:asciiTheme="minorHAnsi" w:hAnsiTheme="minorHAnsi" w:cstheme="minorHAnsi"/>
          <w:lang w:val="en-GB"/>
        </w:rPr>
      </w:pPr>
      <w:r>
        <w:rPr>
          <w:rFonts w:ascii="Arial" w:hAnsi="Arial" w:cs="Arial"/>
          <w:lang w:val="en-GB"/>
        </w:rPr>
        <w:t xml:space="preserve">It </w:t>
      </w:r>
      <w:r w:rsidR="00A37BFA" w:rsidRPr="005456AD">
        <w:rPr>
          <w:rFonts w:ascii="Arial" w:hAnsi="Arial" w:cs="Arial"/>
          <w:lang w:val="en-GB"/>
        </w:rPr>
        <w:t xml:space="preserve">introduces vague notions of extraterritorial </w:t>
      </w:r>
      <w:r w:rsidR="001A0ACD" w:rsidRPr="005456AD">
        <w:rPr>
          <w:rFonts w:ascii="Arial" w:hAnsi="Arial" w:cs="Arial"/>
          <w:lang w:val="en-GB"/>
        </w:rPr>
        <w:t>obligations</w:t>
      </w:r>
      <w:r w:rsidR="00A37BFA" w:rsidRPr="005456AD">
        <w:rPr>
          <w:rFonts w:ascii="Arial" w:hAnsi="Arial" w:cs="Arial"/>
          <w:lang w:val="en-GB"/>
        </w:rPr>
        <w:t xml:space="preserve"> for the </w:t>
      </w:r>
      <w:r w:rsidR="00133EC0">
        <w:rPr>
          <w:rFonts w:ascii="Arial" w:hAnsi="Arial" w:cs="Arial"/>
          <w:lang w:val="en-GB"/>
        </w:rPr>
        <w:t>S</w:t>
      </w:r>
      <w:r w:rsidR="00A37BFA" w:rsidRPr="005456AD">
        <w:rPr>
          <w:rFonts w:ascii="Arial" w:hAnsi="Arial" w:cs="Arial"/>
          <w:lang w:val="en-GB"/>
        </w:rPr>
        <w:t>tates</w:t>
      </w:r>
      <w:r w:rsidR="00B53D94">
        <w:rPr>
          <w:rFonts w:ascii="Arial" w:hAnsi="Arial" w:cs="Arial"/>
          <w:lang w:val="en-GB"/>
        </w:rPr>
        <w:t xml:space="preserve">. </w:t>
      </w:r>
    </w:p>
    <w:p w14:paraId="209C4639" w14:textId="09C27A88" w:rsidR="00A37BFA" w:rsidRPr="005456AD" w:rsidRDefault="00A37BFA" w:rsidP="00C004C4">
      <w:pPr>
        <w:pStyle w:val="ListParagraph"/>
        <w:numPr>
          <w:ilvl w:val="0"/>
          <w:numId w:val="1"/>
        </w:numPr>
        <w:spacing w:line="360" w:lineRule="auto"/>
        <w:jc w:val="both"/>
        <w:rPr>
          <w:rFonts w:ascii="Arial" w:hAnsi="Arial" w:cs="Arial"/>
          <w:lang w:val="en-GB"/>
        </w:rPr>
      </w:pPr>
      <w:r w:rsidRPr="005731CB">
        <w:rPr>
          <w:rFonts w:ascii="Arial" w:hAnsi="Arial" w:cs="Arial"/>
          <w:lang w:val="en-GB"/>
        </w:rPr>
        <w:t>It attribut</w:t>
      </w:r>
      <w:r w:rsidR="006234A0">
        <w:rPr>
          <w:rFonts w:ascii="Arial" w:hAnsi="Arial" w:cs="Arial"/>
          <w:lang w:val="en-GB"/>
        </w:rPr>
        <w:t>es</w:t>
      </w:r>
      <w:r w:rsidRPr="005731CB">
        <w:rPr>
          <w:rFonts w:ascii="Arial" w:hAnsi="Arial" w:cs="Arial"/>
          <w:lang w:val="en-GB"/>
        </w:rPr>
        <w:t xml:space="preserve"> </w:t>
      </w:r>
      <w:r w:rsidR="003F12A6">
        <w:rPr>
          <w:rFonts w:ascii="Arial" w:hAnsi="Arial" w:cs="Arial"/>
          <w:lang w:val="en-GB"/>
        </w:rPr>
        <w:t xml:space="preserve">unclear </w:t>
      </w:r>
      <w:r w:rsidRPr="005731CB">
        <w:rPr>
          <w:rFonts w:ascii="Arial" w:hAnsi="Arial" w:cs="Arial"/>
          <w:lang w:val="en-GB"/>
        </w:rPr>
        <w:t xml:space="preserve">obligations and responsibilities in the matter of human rights to third parties, including </w:t>
      </w:r>
      <w:r w:rsidR="00307DF9">
        <w:rPr>
          <w:rFonts w:ascii="Arial" w:hAnsi="Arial" w:cs="Arial"/>
          <w:lang w:val="en-GB"/>
        </w:rPr>
        <w:t xml:space="preserve">businesses and </w:t>
      </w:r>
      <w:r w:rsidRPr="005731CB">
        <w:rPr>
          <w:rFonts w:ascii="Arial" w:hAnsi="Arial" w:cs="Arial"/>
          <w:lang w:val="en-GB"/>
        </w:rPr>
        <w:t>international organisations</w:t>
      </w:r>
      <w:r w:rsidR="00682871">
        <w:rPr>
          <w:rFonts w:ascii="Arial" w:hAnsi="Arial" w:cs="Arial"/>
          <w:lang w:val="en-GB"/>
        </w:rPr>
        <w:t xml:space="preserve"> such as </w:t>
      </w:r>
      <w:r w:rsidRPr="005731CB">
        <w:rPr>
          <w:rFonts w:ascii="Arial" w:hAnsi="Arial" w:cs="Arial"/>
          <w:lang w:val="en-GB"/>
        </w:rPr>
        <w:t>UN</w:t>
      </w:r>
      <w:r w:rsidR="001A0ACD" w:rsidRPr="008A649F">
        <w:rPr>
          <w:rFonts w:ascii="Arial" w:hAnsi="Arial" w:cs="Arial"/>
          <w:lang w:val="en-GB"/>
        </w:rPr>
        <w:t xml:space="preserve"> agencies</w:t>
      </w:r>
      <w:r w:rsidR="00682871">
        <w:rPr>
          <w:rFonts w:ascii="Arial" w:hAnsi="Arial" w:cs="Arial"/>
          <w:lang w:val="en-GB"/>
        </w:rPr>
        <w:t>,</w:t>
      </w:r>
      <w:r w:rsidR="006234A0">
        <w:rPr>
          <w:rFonts w:ascii="Arial" w:hAnsi="Arial" w:cs="Arial"/>
          <w:lang w:val="en-GB"/>
        </w:rPr>
        <w:t xml:space="preserve"> and </w:t>
      </w:r>
      <w:r w:rsidR="00682871">
        <w:rPr>
          <w:rFonts w:ascii="Arial" w:hAnsi="Arial" w:cs="Arial"/>
          <w:lang w:val="en-GB"/>
        </w:rPr>
        <w:t>fail</w:t>
      </w:r>
      <w:r w:rsidR="006234A0">
        <w:rPr>
          <w:rFonts w:ascii="Arial" w:hAnsi="Arial" w:cs="Arial"/>
          <w:lang w:val="en-GB"/>
        </w:rPr>
        <w:t>s</w:t>
      </w:r>
      <w:r w:rsidR="00682871">
        <w:rPr>
          <w:rFonts w:ascii="Arial" w:hAnsi="Arial" w:cs="Arial"/>
          <w:lang w:val="en-GB"/>
        </w:rPr>
        <w:t xml:space="preserve"> to articulate </w:t>
      </w:r>
      <w:r w:rsidR="006234A0">
        <w:rPr>
          <w:rFonts w:ascii="Arial" w:hAnsi="Arial" w:cs="Arial"/>
          <w:lang w:val="en-GB"/>
        </w:rPr>
        <w:t>clearly</w:t>
      </w:r>
      <w:r w:rsidR="00682871">
        <w:rPr>
          <w:rFonts w:ascii="Arial" w:hAnsi="Arial" w:cs="Arial"/>
          <w:lang w:val="en-GB"/>
        </w:rPr>
        <w:t xml:space="preserve"> what </w:t>
      </w:r>
      <w:r w:rsidR="004D0F94">
        <w:rPr>
          <w:rFonts w:ascii="Arial" w:hAnsi="Arial" w:cs="Arial"/>
          <w:lang w:val="en-GB"/>
        </w:rPr>
        <w:t xml:space="preserve">exactly </w:t>
      </w:r>
      <w:r w:rsidR="00682871">
        <w:rPr>
          <w:rFonts w:ascii="Arial" w:hAnsi="Arial" w:cs="Arial"/>
          <w:lang w:val="en-GB"/>
        </w:rPr>
        <w:t xml:space="preserve">the obligations </w:t>
      </w:r>
      <w:r w:rsidR="004D0F94">
        <w:rPr>
          <w:rFonts w:ascii="Arial" w:hAnsi="Arial" w:cs="Arial"/>
          <w:lang w:val="en-GB"/>
        </w:rPr>
        <w:t xml:space="preserve">to </w:t>
      </w:r>
      <w:r w:rsidR="00682871">
        <w:rPr>
          <w:rFonts w:ascii="Arial" w:hAnsi="Arial" w:cs="Arial"/>
          <w:lang w:val="en-GB"/>
        </w:rPr>
        <w:t xml:space="preserve">respect, protect </w:t>
      </w:r>
      <w:r w:rsidR="006234A0">
        <w:rPr>
          <w:rFonts w:ascii="Arial" w:hAnsi="Arial" w:cs="Arial"/>
          <w:lang w:val="en-GB"/>
        </w:rPr>
        <w:t xml:space="preserve">and fulfil entail for the primary duty-bearer, the individual </w:t>
      </w:r>
      <w:r w:rsidR="00133EC0">
        <w:rPr>
          <w:rFonts w:ascii="Arial" w:hAnsi="Arial" w:cs="Arial"/>
          <w:lang w:val="en-GB"/>
        </w:rPr>
        <w:t>S</w:t>
      </w:r>
      <w:r w:rsidR="006234A0">
        <w:rPr>
          <w:rFonts w:ascii="Arial" w:hAnsi="Arial" w:cs="Arial"/>
          <w:lang w:val="en-GB"/>
        </w:rPr>
        <w:t>tate</w:t>
      </w:r>
      <w:r w:rsidRPr="008871E0">
        <w:rPr>
          <w:rFonts w:ascii="Arial" w:hAnsi="Arial" w:cs="Arial"/>
          <w:lang w:val="en-GB"/>
        </w:rPr>
        <w:t xml:space="preserve">.   </w:t>
      </w:r>
    </w:p>
    <w:p w14:paraId="62F7C39E" w14:textId="44F1D249" w:rsidR="00A234E4" w:rsidRPr="008E0528" w:rsidRDefault="002F41E1" w:rsidP="00A234E4">
      <w:pPr>
        <w:pStyle w:val="ListParagraph"/>
        <w:numPr>
          <w:ilvl w:val="0"/>
          <w:numId w:val="1"/>
        </w:numPr>
        <w:spacing w:line="360" w:lineRule="auto"/>
        <w:jc w:val="both"/>
        <w:rPr>
          <w:rFonts w:ascii="Arial" w:hAnsi="Arial" w:cs="Arial"/>
          <w:lang w:val="en-GB"/>
        </w:rPr>
      </w:pPr>
      <w:r>
        <w:rPr>
          <w:rFonts w:ascii="Arial" w:hAnsi="Arial" w:cs="Arial"/>
          <w:lang w:val="en-GB"/>
        </w:rPr>
        <w:lastRenderedPageBreak/>
        <w:t xml:space="preserve">Neither </w:t>
      </w:r>
      <w:r w:rsidR="00640B0B" w:rsidRPr="008A649F">
        <w:rPr>
          <w:rFonts w:ascii="Arial" w:hAnsi="Arial" w:cs="Arial"/>
          <w:lang w:val="en-GB"/>
        </w:rPr>
        <w:t xml:space="preserve">does </w:t>
      </w:r>
      <w:r w:rsidR="0055242A">
        <w:rPr>
          <w:rFonts w:ascii="Arial" w:hAnsi="Arial" w:cs="Arial"/>
          <w:lang w:val="en-GB"/>
        </w:rPr>
        <w:t xml:space="preserve">it </w:t>
      </w:r>
      <w:r w:rsidR="00640B0B" w:rsidRPr="008A649F">
        <w:rPr>
          <w:rFonts w:ascii="Arial" w:hAnsi="Arial" w:cs="Arial"/>
          <w:lang w:val="en-GB"/>
        </w:rPr>
        <w:t xml:space="preserve">not make sufficiently clear that measures taken by </w:t>
      </w:r>
      <w:r w:rsidR="00133EC0">
        <w:rPr>
          <w:rFonts w:ascii="Arial" w:hAnsi="Arial" w:cs="Arial"/>
          <w:lang w:val="en-GB"/>
        </w:rPr>
        <w:t>S</w:t>
      </w:r>
      <w:r w:rsidR="00640B0B" w:rsidRPr="008A649F">
        <w:rPr>
          <w:rFonts w:ascii="Arial" w:hAnsi="Arial" w:cs="Arial"/>
          <w:lang w:val="en-GB"/>
        </w:rPr>
        <w:t xml:space="preserve">tates in </w:t>
      </w:r>
      <w:r w:rsidR="00CA2585" w:rsidRPr="008871E0">
        <w:rPr>
          <w:rFonts w:ascii="Arial" w:hAnsi="Arial" w:cs="Arial"/>
          <w:lang w:val="en-GB"/>
        </w:rPr>
        <w:t xml:space="preserve">advancing </w:t>
      </w:r>
      <w:r w:rsidR="00640B0B" w:rsidRPr="008871E0">
        <w:rPr>
          <w:rFonts w:ascii="Arial" w:hAnsi="Arial" w:cs="Arial"/>
          <w:lang w:val="en-GB"/>
        </w:rPr>
        <w:t>development may not be used as a justification for violating human rights.</w:t>
      </w:r>
      <w:r w:rsidR="00A234E4" w:rsidRPr="008E0528">
        <w:rPr>
          <w:rFonts w:ascii="Arial" w:hAnsi="Arial" w:cs="Arial"/>
          <w:lang w:val="en-GB"/>
        </w:rPr>
        <w:t xml:space="preserve"> </w:t>
      </w:r>
    </w:p>
    <w:p w14:paraId="5DAD1CB4" w14:textId="4C625537" w:rsidR="00A37BFA" w:rsidRPr="003F12A6" w:rsidRDefault="00A37BFA" w:rsidP="00A77572">
      <w:pPr>
        <w:pStyle w:val="ListParagraph"/>
        <w:numPr>
          <w:ilvl w:val="0"/>
          <w:numId w:val="1"/>
        </w:numPr>
        <w:spacing w:line="360" w:lineRule="auto"/>
        <w:jc w:val="both"/>
        <w:rPr>
          <w:rFonts w:ascii="Arial" w:hAnsi="Arial" w:cs="Arial"/>
          <w:lang w:val="en-GB"/>
        </w:rPr>
      </w:pPr>
      <w:r w:rsidRPr="003F12A6">
        <w:rPr>
          <w:rFonts w:ascii="Arial" w:hAnsi="Arial" w:cs="Arial"/>
          <w:lang w:val="en-GB"/>
        </w:rPr>
        <w:t xml:space="preserve">The draft hints at possibilities of limitations of the right to development, but without specifying the basis for </w:t>
      </w:r>
      <w:r w:rsidR="00640B0B" w:rsidRPr="003F12A6">
        <w:rPr>
          <w:rFonts w:ascii="Arial" w:hAnsi="Arial" w:cs="Arial"/>
          <w:lang w:val="en-GB"/>
        </w:rPr>
        <w:t xml:space="preserve">it. </w:t>
      </w:r>
    </w:p>
    <w:p w14:paraId="122D99CF" w14:textId="21B56BDF" w:rsidR="00C004C4" w:rsidRPr="003F12A6" w:rsidRDefault="004F75FC" w:rsidP="00604311">
      <w:pPr>
        <w:pStyle w:val="ListParagraph"/>
        <w:numPr>
          <w:ilvl w:val="0"/>
          <w:numId w:val="1"/>
        </w:numPr>
        <w:spacing w:line="360" w:lineRule="auto"/>
        <w:jc w:val="both"/>
        <w:rPr>
          <w:rFonts w:ascii="Arial" w:hAnsi="Arial" w:cs="Arial"/>
          <w:lang w:val="en-GB"/>
        </w:rPr>
      </w:pPr>
      <w:r>
        <w:rPr>
          <w:rFonts w:ascii="Arial" w:hAnsi="Arial" w:cs="Arial"/>
          <w:lang w:val="en-GB"/>
        </w:rPr>
        <w:t>And last but not least, i</w:t>
      </w:r>
      <w:r w:rsidR="00640B0B" w:rsidRPr="003F12A6">
        <w:rPr>
          <w:rFonts w:ascii="Arial" w:hAnsi="Arial" w:cs="Arial"/>
          <w:lang w:val="en-GB"/>
        </w:rPr>
        <w:t xml:space="preserve">t </w:t>
      </w:r>
      <w:r w:rsidR="00A77572" w:rsidRPr="003F12A6">
        <w:rPr>
          <w:rFonts w:ascii="Arial" w:hAnsi="Arial" w:cs="Arial"/>
          <w:lang w:val="en-GB"/>
        </w:rPr>
        <w:t>falsely equa</w:t>
      </w:r>
      <w:r w:rsidR="00025EE5">
        <w:rPr>
          <w:rFonts w:ascii="Arial" w:hAnsi="Arial" w:cs="Arial"/>
          <w:lang w:val="en-GB"/>
        </w:rPr>
        <w:t>te</w:t>
      </w:r>
      <w:r w:rsidR="00A77572" w:rsidRPr="003F12A6">
        <w:rPr>
          <w:rFonts w:ascii="Arial" w:hAnsi="Arial" w:cs="Arial"/>
          <w:lang w:val="en-GB"/>
        </w:rPr>
        <w:t xml:space="preserve">s </w:t>
      </w:r>
      <w:r w:rsidR="00640B0B" w:rsidRPr="003F12A6">
        <w:rPr>
          <w:rFonts w:ascii="Arial" w:hAnsi="Arial" w:cs="Arial"/>
          <w:lang w:val="en-GB"/>
        </w:rPr>
        <w:t>coe</w:t>
      </w:r>
      <w:r w:rsidR="00A77572" w:rsidRPr="003F12A6">
        <w:rPr>
          <w:rFonts w:ascii="Arial" w:hAnsi="Arial" w:cs="Arial"/>
          <w:lang w:val="en-GB"/>
        </w:rPr>
        <w:t>rcive measures with violation</w:t>
      </w:r>
      <w:r w:rsidR="007343FC">
        <w:rPr>
          <w:rFonts w:ascii="Arial" w:hAnsi="Arial" w:cs="Arial"/>
          <w:lang w:val="en-GB"/>
        </w:rPr>
        <w:t>s</w:t>
      </w:r>
      <w:r w:rsidR="00A77572" w:rsidRPr="003F12A6">
        <w:rPr>
          <w:rFonts w:ascii="Arial" w:hAnsi="Arial" w:cs="Arial"/>
          <w:lang w:val="en-GB"/>
        </w:rPr>
        <w:t xml:space="preserve"> of the right to development. </w:t>
      </w:r>
    </w:p>
    <w:p w14:paraId="5E3093AE" w14:textId="77777777" w:rsidR="007343FC" w:rsidRDefault="004D0F94" w:rsidP="00CC3DAB">
      <w:pPr>
        <w:spacing w:line="360" w:lineRule="auto"/>
        <w:jc w:val="both"/>
        <w:rPr>
          <w:rFonts w:ascii="Arial" w:hAnsi="Arial" w:cs="Arial"/>
          <w:lang w:val="en-GB"/>
        </w:rPr>
      </w:pPr>
      <w:r>
        <w:rPr>
          <w:rFonts w:ascii="Arial" w:hAnsi="Arial" w:cs="Arial"/>
          <w:lang w:val="en-GB"/>
        </w:rPr>
        <w:t>While we</w:t>
      </w:r>
      <w:r w:rsidRPr="003F12A6">
        <w:rPr>
          <w:rFonts w:ascii="Arial" w:hAnsi="Arial" w:cs="Arial"/>
          <w:lang w:val="en-GB"/>
        </w:rPr>
        <w:t xml:space="preserve"> </w:t>
      </w:r>
      <w:r w:rsidR="00563BBA" w:rsidRPr="003F12A6">
        <w:rPr>
          <w:rFonts w:ascii="Arial" w:hAnsi="Arial" w:cs="Arial"/>
          <w:lang w:val="en-GB"/>
        </w:rPr>
        <w:t xml:space="preserve">stand ready </w:t>
      </w:r>
      <w:r w:rsidR="007F1C94" w:rsidRPr="003F12A6">
        <w:rPr>
          <w:rFonts w:ascii="Arial" w:hAnsi="Arial" w:cs="Arial"/>
          <w:lang w:val="en-GB"/>
        </w:rPr>
        <w:t>to engage constructively with the Working Group on the Right to Development</w:t>
      </w:r>
      <w:r>
        <w:rPr>
          <w:rFonts w:ascii="Arial" w:hAnsi="Arial" w:cs="Arial"/>
          <w:lang w:val="en-GB"/>
        </w:rPr>
        <w:t>, w</w:t>
      </w:r>
      <w:r w:rsidR="007F1C94" w:rsidRPr="003F12A6">
        <w:rPr>
          <w:rFonts w:ascii="Arial" w:hAnsi="Arial" w:cs="Arial"/>
          <w:lang w:val="en-GB"/>
        </w:rPr>
        <w:t xml:space="preserve">e </w:t>
      </w:r>
      <w:r>
        <w:rPr>
          <w:rFonts w:ascii="Arial" w:hAnsi="Arial" w:cs="Arial"/>
          <w:lang w:val="en-GB"/>
        </w:rPr>
        <w:t xml:space="preserve">wish to </w:t>
      </w:r>
      <w:r w:rsidR="007F1C94" w:rsidRPr="003F12A6">
        <w:rPr>
          <w:rFonts w:ascii="Arial" w:hAnsi="Arial" w:cs="Arial"/>
          <w:lang w:val="en-GB"/>
        </w:rPr>
        <w:t xml:space="preserve">reiterate that </w:t>
      </w:r>
      <w:r w:rsidR="008C6934" w:rsidRPr="003F12A6">
        <w:rPr>
          <w:rFonts w:ascii="Arial" w:hAnsi="Arial" w:cs="Arial"/>
          <w:lang w:val="en-GB"/>
        </w:rPr>
        <w:t xml:space="preserve">we see </w:t>
      </w:r>
      <w:r w:rsidR="005743CD" w:rsidRPr="003F12A6">
        <w:rPr>
          <w:rFonts w:ascii="Arial" w:hAnsi="Arial" w:cs="Arial"/>
          <w:lang w:val="en-GB"/>
        </w:rPr>
        <w:t xml:space="preserve">consensus </w:t>
      </w:r>
      <w:r w:rsidR="008C6934" w:rsidRPr="003F12A6">
        <w:rPr>
          <w:rFonts w:ascii="Arial" w:hAnsi="Arial" w:cs="Arial"/>
          <w:lang w:val="en-GB"/>
        </w:rPr>
        <w:t>a</w:t>
      </w:r>
      <w:r w:rsidR="005743CD" w:rsidRPr="003F12A6">
        <w:rPr>
          <w:rFonts w:ascii="Arial" w:hAnsi="Arial" w:cs="Arial"/>
          <w:lang w:val="en-GB"/>
        </w:rPr>
        <w:t xml:space="preserve">s the only way to move the deliberations forward, </w:t>
      </w:r>
      <w:r w:rsidR="007F1C94" w:rsidRPr="003F12A6">
        <w:rPr>
          <w:rFonts w:ascii="Arial" w:hAnsi="Arial" w:cs="Arial"/>
          <w:lang w:val="en-GB"/>
        </w:rPr>
        <w:t>and we express our willingness to pursue a consensual approach.</w:t>
      </w:r>
      <w:r w:rsidR="00C04F6A" w:rsidRPr="003F12A6">
        <w:rPr>
          <w:rFonts w:ascii="Arial" w:hAnsi="Arial" w:cs="Arial"/>
          <w:lang w:val="en-GB"/>
        </w:rPr>
        <w:t xml:space="preserve"> </w:t>
      </w:r>
      <w:r w:rsidR="008C6934" w:rsidRPr="003F12A6">
        <w:rPr>
          <w:rFonts w:ascii="Arial" w:hAnsi="Arial" w:cs="Arial"/>
          <w:lang w:val="en-GB"/>
        </w:rPr>
        <w:t>W</w:t>
      </w:r>
      <w:r w:rsidR="005743CD" w:rsidRPr="003F12A6">
        <w:rPr>
          <w:rFonts w:ascii="Arial" w:hAnsi="Arial" w:cs="Arial"/>
          <w:lang w:val="en-GB"/>
        </w:rPr>
        <w:t xml:space="preserve">e </w:t>
      </w:r>
      <w:r w:rsidR="008C6934" w:rsidRPr="003F12A6">
        <w:rPr>
          <w:rFonts w:ascii="Arial" w:hAnsi="Arial" w:cs="Arial"/>
          <w:lang w:val="en-GB"/>
        </w:rPr>
        <w:t xml:space="preserve">will, however, not </w:t>
      </w:r>
      <w:r w:rsidR="002E0686">
        <w:rPr>
          <w:rFonts w:ascii="Arial" w:hAnsi="Arial" w:cs="Arial"/>
          <w:lang w:val="en-GB"/>
        </w:rPr>
        <w:t>support</w:t>
      </w:r>
      <w:r w:rsidR="005743CD" w:rsidRPr="003F12A6">
        <w:rPr>
          <w:rFonts w:ascii="Arial" w:hAnsi="Arial" w:cs="Arial"/>
          <w:lang w:val="en-GB"/>
        </w:rPr>
        <w:t xml:space="preserve"> the non-consensual </w:t>
      </w:r>
      <w:r w:rsidR="00C5663F" w:rsidRPr="003F12A6">
        <w:rPr>
          <w:rFonts w:ascii="Arial" w:hAnsi="Arial" w:cs="Arial"/>
          <w:lang w:val="en-GB"/>
        </w:rPr>
        <w:t xml:space="preserve">work </w:t>
      </w:r>
      <w:r w:rsidR="008C6934" w:rsidRPr="003F12A6">
        <w:rPr>
          <w:rFonts w:ascii="Arial" w:hAnsi="Arial" w:cs="Arial"/>
          <w:lang w:val="en-GB"/>
        </w:rPr>
        <w:t>to elaborate a draft legally binding instrument.</w:t>
      </w:r>
    </w:p>
    <w:p w14:paraId="404A0305" w14:textId="77777777" w:rsidR="007343FC" w:rsidRDefault="007343FC" w:rsidP="00CC3DAB">
      <w:pPr>
        <w:spacing w:line="360" w:lineRule="auto"/>
        <w:jc w:val="both"/>
        <w:rPr>
          <w:rFonts w:ascii="Arial" w:hAnsi="Arial" w:cs="Arial"/>
          <w:lang w:val="en-GB"/>
        </w:rPr>
      </w:pPr>
    </w:p>
    <w:p w14:paraId="14F6DAC2" w14:textId="02A80B52" w:rsidR="007F1C94" w:rsidRPr="003F12A6" w:rsidRDefault="007343FC" w:rsidP="007343FC">
      <w:pPr>
        <w:spacing w:line="360" w:lineRule="auto"/>
        <w:jc w:val="center"/>
        <w:rPr>
          <w:rFonts w:ascii="Arial" w:hAnsi="Arial" w:cs="Arial"/>
          <w:lang w:val="en-GB"/>
        </w:rPr>
      </w:pPr>
      <w:r>
        <w:rPr>
          <w:rFonts w:ascii="Arial" w:hAnsi="Arial" w:cs="Arial"/>
          <w:lang w:val="en-GB"/>
        </w:rPr>
        <w:t>_______________</w:t>
      </w:r>
    </w:p>
    <w:p w14:paraId="06DAFA45" w14:textId="5F81AF6D" w:rsidR="009F50F1" w:rsidRPr="003F12A6" w:rsidRDefault="009F50F1" w:rsidP="00A234E4">
      <w:pPr>
        <w:spacing w:line="360" w:lineRule="auto"/>
        <w:jc w:val="both"/>
        <w:rPr>
          <w:rFonts w:ascii="Arial" w:hAnsi="Arial" w:cs="Arial"/>
          <w:lang w:val="en-GB"/>
        </w:rPr>
      </w:pPr>
    </w:p>
    <w:sectPr w:rsidR="009F50F1" w:rsidRPr="003F12A6" w:rsidSect="00CA55F1">
      <w:footnotePr>
        <w:numFmt w:val="chicago"/>
      </w:footnotePr>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FD3E8" w14:textId="77777777" w:rsidR="009F38EA" w:rsidRDefault="009F38EA" w:rsidP="00F33D68">
      <w:pPr>
        <w:spacing w:after="0" w:line="240" w:lineRule="auto"/>
      </w:pPr>
      <w:r>
        <w:separator/>
      </w:r>
    </w:p>
  </w:endnote>
  <w:endnote w:type="continuationSeparator" w:id="0">
    <w:p w14:paraId="1F3F3F97" w14:textId="77777777" w:rsidR="009F38EA" w:rsidRDefault="009F38EA" w:rsidP="00F3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19478" w14:textId="77777777" w:rsidR="009F38EA" w:rsidRDefault="009F38EA" w:rsidP="00F33D68">
      <w:pPr>
        <w:spacing w:after="0" w:line="240" w:lineRule="auto"/>
      </w:pPr>
      <w:r>
        <w:separator/>
      </w:r>
    </w:p>
  </w:footnote>
  <w:footnote w:type="continuationSeparator" w:id="0">
    <w:p w14:paraId="0884F117" w14:textId="77777777" w:rsidR="009F38EA" w:rsidRDefault="009F38EA" w:rsidP="00F33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E0E33"/>
    <w:multiLevelType w:val="hybridMultilevel"/>
    <w:tmpl w:val="BA22389A"/>
    <w:lvl w:ilvl="0" w:tplc="22E05086">
      <w:start w:val="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1304"/>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E0D"/>
    <w:rsid w:val="00004DCA"/>
    <w:rsid w:val="00006346"/>
    <w:rsid w:val="00025EE5"/>
    <w:rsid w:val="000402E4"/>
    <w:rsid w:val="000458E4"/>
    <w:rsid w:val="00052321"/>
    <w:rsid w:val="000703BD"/>
    <w:rsid w:val="00083121"/>
    <w:rsid w:val="00093040"/>
    <w:rsid w:val="0009337D"/>
    <w:rsid w:val="000A5BCA"/>
    <w:rsid w:val="000B7A6B"/>
    <w:rsid w:val="000D5FA7"/>
    <w:rsid w:val="000E4DAA"/>
    <w:rsid w:val="000E53FD"/>
    <w:rsid w:val="000E7A65"/>
    <w:rsid w:val="00102BD7"/>
    <w:rsid w:val="00125A49"/>
    <w:rsid w:val="00133EC0"/>
    <w:rsid w:val="00134E8B"/>
    <w:rsid w:val="0014288D"/>
    <w:rsid w:val="001453D6"/>
    <w:rsid w:val="00152C7F"/>
    <w:rsid w:val="001600DC"/>
    <w:rsid w:val="00164BDC"/>
    <w:rsid w:val="00165003"/>
    <w:rsid w:val="0019117B"/>
    <w:rsid w:val="00193711"/>
    <w:rsid w:val="00194964"/>
    <w:rsid w:val="001A0ACD"/>
    <w:rsid w:val="001C7FD0"/>
    <w:rsid w:val="001D2E29"/>
    <w:rsid w:val="001D5877"/>
    <w:rsid w:val="001D73F6"/>
    <w:rsid w:val="001E55F1"/>
    <w:rsid w:val="001F1179"/>
    <w:rsid w:val="001F7CB2"/>
    <w:rsid w:val="001F7D7E"/>
    <w:rsid w:val="0020471B"/>
    <w:rsid w:val="00207110"/>
    <w:rsid w:val="00215A15"/>
    <w:rsid w:val="00261967"/>
    <w:rsid w:val="00273647"/>
    <w:rsid w:val="00276AEC"/>
    <w:rsid w:val="002852C6"/>
    <w:rsid w:val="002A36D0"/>
    <w:rsid w:val="002B1CF9"/>
    <w:rsid w:val="002B75E0"/>
    <w:rsid w:val="002C62DD"/>
    <w:rsid w:val="002D05FF"/>
    <w:rsid w:val="002D38E0"/>
    <w:rsid w:val="002D6332"/>
    <w:rsid w:val="002E0686"/>
    <w:rsid w:val="002E3E28"/>
    <w:rsid w:val="002F19A0"/>
    <w:rsid w:val="002F25D4"/>
    <w:rsid w:val="002F3DC9"/>
    <w:rsid w:val="002F41E1"/>
    <w:rsid w:val="0030006B"/>
    <w:rsid w:val="00307DF9"/>
    <w:rsid w:val="00335D13"/>
    <w:rsid w:val="003534D9"/>
    <w:rsid w:val="00370D2F"/>
    <w:rsid w:val="00376103"/>
    <w:rsid w:val="003A3FFB"/>
    <w:rsid w:val="003C67A9"/>
    <w:rsid w:val="003D48E5"/>
    <w:rsid w:val="003E1692"/>
    <w:rsid w:val="003E4FD0"/>
    <w:rsid w:val="003F12A6"/>
    <w:rsid w:val="004067D9"/>
    <w:rsid w:val="004125FF"/>
    <w:rsid w:val="00445952"/>
    <w:rsid w:val="00445CF5"/>
    <w:rsid w:val="0045174E"/>
    <w:rsid w:val="00456046"/>
    <w:rsid w:val="004618B1"/>
    <w:rsid w:val="0047759E"/>
    <w:rsid w:val="00482E34"/>
    <w:rsid w:val="004833AD"/>
    <w:rsid w:val="00484621"/>
    <w:rsid w:val="0049262E"/>
    <w:rsid w:val="004A463C"/>
    <w:rsid w:val="004C73A9"/>
    <w:rsid w:val="004D0157"/>
    <w:rsid w:val="004D0CF5"/>
    <w:rsid w:val="004D0F94"/>
    <w:rsid w:val="004E1BA6"/>
    <w:rsid w:val="004F1B71"/>
    <w:rsid w:val="004F75FC"/>
    <w:rsid w:val="005072E5"/>
    <w:rsid w:val="00507E0D"/>
    <w:rsid w:val="00514E4F"/>
    <w:rsid w:val="00526C0B"/>
    <w:rsid w:val="005456AD"/>
    <w:rsid w:val="0055242A"/>
    <w:rsid w:val="0055521B"/>
    <w:rsid w:val="00563BBA"/>
    <w:rsid w:val="00567878"/>
    <w:rsid w:val="00571D8D"/>
    <w:rsid w:val="005731CB"/>
    <w:rsid w:val="005743CD"/>
    <w:rsid w:val="00577F99"/>
    <w:rsid w:val="00585F34"/>
    <w:rsid w:val="005861AE"/>
    <w:rsid w:val="00596E56"/>
    <w:rsid w:val="005B200E"/>
    <w:rsid w:val="005B2ED9"/>
    <w:rsid w:val="005B49DF"/>
    <w:rsid w:val="005B72C1"/>
    <w:rsid w:val="005E480B"/>
    <w:rsid w:val="005E610A"/>
    <w:rsid w:val="00604311"/>
    <w:rsid w:val="00611B6F"/>
    <w:rsid w:val="006234A0"/>
    <w:rsid w:val="00631F70"/>
    <w:rsid w:val="00632E43"/>
    <w:rsid w:val="00640B0B"/>
    <w:rsid w:val="00640E2C"/>
    <w:rsid w:val="00644C86"/>
    <w:rsid w:val="00645A53"/>
    <w:rsid w:val="00661BE9"/>
    <w:rsid w:val="00682871"/>
    <w:rsid w:val="00683683"/>
    <w:rsid w:val="006A05B0"/>
    <w:rsid w:val="006B4EA6"/>
    <w:rsid w:val="006C3703"/>
    <w:rsid w:val="006E4D1F"/>
    <w:rsid w:val="007123E6"/>
    <w:rsid w:val="007343FC"/>
    <w:rsid w:val="00752241"/>
    <w:rsid w:val="0075230D"/>
    <w:rsid w:val="007647C1"/>
    <w:rsid w:val="007A3810"/>
    <w:rsid w:val="007B4BDC"/>
    <w:rsid w:val="007B7038"/>
    <w:rsid w:val="007D77F5"/>
    <w:rsid w:val="007F15DE"/>
    <w:rsid w:val="007F1C94"/>
    <w:rsid w:val="008126EA"/>
    <w:rsid w:val="008162CC"/>
    <w:rsid w:val="00817618"/>
    <w:rsid w:val="00826E8F"/>
    <w:rsid w:val="008317D5"/>
    <w:rsid w:val="00831998"/>
    <w:rsid w:val="00833FFE"/>
    <w:rsid w:val="00855728"/>
    <w:rsid w:val="00855D01"/>
    <w:rsid w:val="00873CDD"/>
    <w:rsid w:val="00880046"/>
    <w:rsid w:val="008871E0"/>
    <w:rsid w:val="00887E6E"/>
    <w:rsid w:val="00887F83"/>
    <w:rsid w:val="00891F09"/>
    <w:rsid w:val="008A649F"/>
    <w:rsid w:val="008B2DCF"/>
    <w:rsid w:val="008B48FC"/>
    <w:rsid w:val="008B78CE"/>
    <w:rsid w:val="008C3665"/>
    <w:rsid w:val="008C6934"/>
    <w:rsid w:val="008D6D9F"/>
    <w:rsid w:val="008E0528"/>
    <w:rsid w:val="008F0D51"/>
    <w:rsid w:val="008F6624"/>
    <w:rsid w:val="009125C1"/>
    <w:rsid w:val="009642A0"/>
    <w:rsid w:val="00981080"/>
    <w:rsid w:val="009871FB"/>
    <w:rsid w:val="009A0AAA"/>
    <w:rsid w:val="009B0A37"/>
    <w:rsid w:val="009C0996"/>
    <w:rsid w:val="009C3BD8"/>
    <w:rsid w:val="009C3DCE"/>
    <w:rsid w:val="009E35D9"/>
    <w:rsid w:val="009F38EA"/>
    <w:rsid w:val="009F50F1"/>
    <w:rsid w:val="009F6A8C"/>
    <w:rsid w:val="00A04622"/>
    <w:rsid w:val="00A234E4"/>
    <w:rsid w:val="00A37BFA"/>
    <w:rsid w:val="00A40E2B"/>
    <w:rsid w:val="00A63451"/>
    <w:rsid w:val="00A65F8E"/>
    <w:rsid w:val="00A77572"/>
    <w:rsid w:val="00A94999"/>
    <w:rsid w:val="00AB6E4A"/>
    <w:rsid w:val="00AB7904"/>
    <w:rsid w:val="00AC7F97"/>
    <w:rsid w:val="00AD0853"/>
    <w:rsid w:val="00AD4465"/>
    <w:rsid w:val="00AE05F0"/>
    <w:rsid w:val="00AF57E9"/>
    <w:rsid w:val="00B112AC"/>
    <w:rsid w:val="00B3367A"/>
    <w:rsid w:val="00B34404"/>
    <w:rsid w:val="00B53D94"/>
    <w:rsid w:val="00B61918"/>
    <w:rsid w:val="00B7493E"/>
    <w:rsid w:val="00B76A9D"/>
    <w:rsid w:val="00B90D6E"/>
    <w:rsid w:val="00B96407"/>
    <w:rsid w:val="00BA293C"/>
    <w:rsid w:val="00BA3DD2"/>
    <w:rsid w:val="00BB26CA"/>
    <w:rsid w:val="00BC5847"/>
    <w:rsid w:val="00BD66E5"/>
    <w:rsid w:val="00C004C4"/>
    <w:rsid w:val="00C03236"/>
    <w:rsid w:val="00C04F6A"/>
    <w:rsid w:val="00C317EC"/>
    <w:rsid w:val="00C5663F"/>
    <w:rsid w:val="00C75BB6"/>
    <w:rsid w:val="00C909B8"/>
    <w:rsid w:val="00C93AEF"/>
    <w:rsid w:val="00C968F7"/>
    <w:rsid w:val="00CA2585"/>
    <w:rsid w:val="00CA55F1"/>
    <w:rsid w:val="00CA5FB7"/>
    <w:rsid w:val="00CC3DAB"/>
    <w:rsid w:val="00CD27A5"/>
    <w:rsid w:val="00CD6770"/>
    <w:rsid w:val="00CE46D6"/>
    <w:rsid w:val="00D07901"/>
    <w:rsid w:val="00D13DC0"/>
    <w:rsid w:val="00D352DC"/>
    <w:rsid w:val="00D40E70"/>
    <w:rsid w:val="00D4108F"/>
    <w:rsid w:val="00D424F1"/>
    <w:rsid w:val="00D57F6D"/>
    <w:rsid w:val="00D629EF"/>
    <w:rsid w:val="00D93A28"/>
    <w:rsid w:val="00D93F45"/>
    <w:rsid w:val="00DA37B3"/>
    <w:rsid w:val="00DB1351"/>
    <w:rsid w:val="00DC29E7"/>
    <w:rsid w:val="00DC60BB"/>
    <w:rsid w:val="00DF6241"/>
    <w:rsid w:val="00E62DEF"/>
    <w:rsid w:val="00E75984"/>
    <w:rsid w:val="00E84D15"/>
    <w:rsid w:val="00EA0332"/>
    <w:rsid w:val="00EA0770"/>
    <w:rsid w:val="00EA2B51"/>
    <w:rsid w:val="00EB45C4"/>
    <w:rsid w:val="00EB61C9"/>
    <w:rsid w:val="00EC05E5"/>
    <w:rsid w:val="00EC441E"/>
    <w:rsid w:val="00EE6085"/>
    <w:rsid w:val="00F01C0B"/>
    <w:rsid w:val="00F11FC5"/>
    <w:rsid w:val="00F14EEE"/>
    <w:rsid w:val="00F30BF2"/>
    <w:rsid w:val="00F33D68"/>
    <w:rsid w:val="00F42F2D"/>
    <w:rsid w:val="00F438B2"/>
    <w:rsid w:val="00F50526"/>
    <w:rsid w:val="00F51B61"/>
    <w:rsid w:val="00F547F9"/>
    <w:rsid w:val="00F60E88"/>
    <w:rsid w:val="00F72C73"/>
    <w:rsid w:val="00F93C5A"/>
    <w:rsid w:val="00FA0F24"/>
    <w:rsid w:val="00FA12C5"/>
    <w:rsid w:val="00FA5262"/>
    <w:rsid w:val="00FB027C"/>
    <w:rsid w:val="00FB6453"/>
    <w:rsid w:val="00FC0C30"/>
    <w:rsid w:val="00FF0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82428"/>
  <w15:docId w15:val="{DF32121C-EAAE-4C4A-81EC-4A86DCE6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A0"/>
    <w:pPr>
      <w:spacing w:after="200" w:line="276" w:lineRule="auto"/>
    </w:pPr>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3D6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F33D68"/>
    <w:rPr>
      <w:rFonts w:cs="Times New Roman"/>
    </w:rPr>
  </w:style>
  <w:style w:type="paragraph" w:styleId="Footer">
    <w:name w:val="footer"/>
    <w:basedOn w:val="Normal"/>
    <w:link w:val="FooterChar"/>
    <w:uiPriority w:val="99"/>
    <w:semiHidden/>
    <w:rsid w:val="00F33D6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F33D68"/>
    <w:rPr>
      <w:rFonts w:cs="Times New Roman"/>
    </w:rPr>
  </w:style>
  <w:style w:type="character" w:styleId="PageNumber">
    <w:name w:val="page number"/>
    <w:basedOn w:val="DefaultParagraphFont"/>
    <w:uiPriority w:val="99"/>
    <w:rsid w:val="002C62DD"/>
    <w:rPr>
      <w:rFonts w:ascii="Times New Roman" w:hAnsi="Times New Roman" w:cs="Times New Roman"/>
      <w:sz w:val="22"/>
    </w:rPr>
  </w:style>
  <w:style w:type="paragraph" w:customStyle="1" w:styleId="RKnormal">
    <w:name w:val="RKnormal"/>
    <w:basedOn w:val="Normal"/>
    <w:link w:val="RKnormalChar"/>
    <w:uiPriority w:val="99"/>
    <w:rsid w:val="00FA5262"/>
    <w:pPr>
      <w:tabs>
        <w:tab w:val="left" w:pos="2835"/>
      </w:tabs>
      <w:overflowPunct w:val="0"/>
      <w:autoSpaceDE w:val="0"/>
      <w:autoSpaceDN w:val="0"/>
      <w:adjustRightInd w:val="0"/>
      <w:spacing w:after="0" w:line="240" w:lineRule="atLeast"/>
      <w:textAlignment w:val="baseline"/>
    </w:pPr>
    <w:rPr>
      <w:sz w:val="24"/>
      <w:szCs w:val="20"/>
      <w:lang w:val="sv-SE"/>
    </w:rPr>
  </w:style>
  <w:style w:type="character" w:customStyle="1" w:styleId="RKnormalChar">
    <w:name w:val="RKnormal Char"/>
    <w:link w:val="RKnormal"/>
    <w:uiPriority w:val="99"/>
    <w:locked/>
    <w:rsid w:val="00FA5262"/>
    <w:rPr>
      <w:sz w:val="24"/>
      <w:lang w:val="sv-SE" w:eastAsia="en-US"/>
    </w:rPr>
  </w:style>
  <w:style w:type="paragraph" w:styleId="DocumentMap">
    <w:name w:val="Document Map"/>
    <w:basedOn w:val="Normal"/>
    <w:link w:val="DocumentMapChar"/>
    <w:uiPriority w:val="99"/>
    <w:semiHidden/>
    <w:rsid w:val="001428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B7A6B"/>
    <w:rPr>
      <w:rFonts w:ascii="Times New Roman" w:hAnsi="Times New Roman" w:cs="Times New Roman"/>
      <w:sz w:val="2"/>
      <w:lang w:val="da-DK"/>
    </w:rPr>
  </w:style>
  <w:style w:type="paragraph" w:styleId="FootnoteText">
    <w:name w:val="footnote text"/>
    <w:basedOn w:val="Normal"/>
    <w:link w:val="FootnoteTextChar"/>
    <w:uiPriority w:val="99"/>
    <w:semiHidden/>
    <w:rsid w:val="00EB45C4"/>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locked/>
    <w:rsid w:val="00093040"/>
    <w:rPr>
      <w:rFonts w:cs="Times New Roman"/>
      <w:sz w:val="20"/>
      <w:szCs w:val="20"/>
      <w:lang w:val="da-DK"/>
    </w:rPr>
  </w:style>
  <w:style w:type="character" w:styleId="FootnoteReference">
    <w:name w:val="footnote reference"/>
    <w:basedOn w:val="DefaultParagraphFont"/>
    <w:uiPriority w:val="99"/>
    <w:semiHidden/>
    <w:rsid w:val="00EB45C4"/>
    <w:rPr>
      <w:rFonts w:cs="Times New Roman"/>
      <w:vertAlign w:val="superscript"/>
    </w:rPr>
  </w:style>
  <w:style w:type="paragraph" w:styleId="NormalWeb">
    <w:name w:val="Normal (Web)"/>
    <w:basedOn w:val="Normal"/>
    <w:uiPriority w:val="99"/>
    <w:semiHidden/>
    <w:rsid w:val="004D0CF5"/>
    <w:pPr>
      <w:spacing w:before="100" w:beforeAutospacing="1" w:after="100" w:afterAutospacing="1" w:line="240" w:lineRule="auto"/>
    </w:pPr>
    <w:rPr>
      <w:rFonts w:ascii="Times New Roman" w:hAnsi="Times New Roman"/>
      <w:sz w:val="24"/>
      <w:szCs w:val="24"/>
      <w:lang w:val="en-GB" w:eastAsia="en-GB"/>
    </w:rPr>
  </w:style>
  <w:style w:type="paragraph" w:styleId="PlainText">
    <w:name w:val="Plain Text"/>
    <w:basedOn w:val="Normal"/>
    <w:link w:val="PlainTextChar"/>
    <w:uiPriority w:val="99"/>
    <w:semiHidden/>
    <w:rsid w:val="008126EA"/>
    <w:pPr>
      <w:spacing w:after="0" w:line="240" w:lineRule="auto"/>
    </w:pPr>
    <w:rPr>
      <w:rFonts w:ascii="Consolas" w:eastAsia="Times New Roman" w:hAnsi="Consolas"/>
      <w:sz w:val="21"/>
      <w:szCs w:val="21"/>
      <w:lang w:val="fi-FI"/>
    </w:rPr>
  </w:style>
  <w:style w:type="character" w:customStyle="1" w:styleId="PlainTextChar">
    <w:name w:val="Plain Text Char"/>
    <w:basedOn w:val="DefaultParagraphFont"/>
    <w:link w:val="PlainText"/>
    <w:uiPriority w:val="99"/>
    <w:semiHidden/>
    <w:locked/>
    <w:rsid w:val="008126EA"/>
    <w:rPr>
      <w:rFonts w:ascii="Consolas" w:hAnsi="Consolas" w:cs="Times New Roman"/>
      <w:sz w:val="21"/>
      <w:szCs w:val="21"/>
      <w:lang w:val="fi-FI" w:eastAsia="en-US" w:bidi="ar-SA"/>
    </w:rPr>
  </w:style>
  <w:style w:type="character" w:styleId="CommentReference">
    <w:name w:val="annotation reference"/>
    <w:basedOn w:val="DefaultParagraphFont"/>
    <w:uiPriority w:val="99"/>
    <w:semiHidden/>
    <w:unhideWhenUsed/>
    <w:rsid w:val="007B7038"/>
    <w:rPr>
      <w:sz w:val="16"/>
      <w:szCs w:val="16"/>
    </w:rPr>
  </w:style>
  <w:style w:type="paragraph" w:styleId="CommentText">
    <w:name w:val="annotation text"/>
    <w:basedOn w:val="Normal"/>
    <w:link w:val="CommentTextChar"/>
    <w:uiPriority w:val="99"/>
    <w:unhideWhenUsed/>
    <w:rsid w:val="007B7038"/>
    <w:pPr>
      <w:spacing w:line="240" w:lineRule="auto"/>
    </w:pPr>
    <w:rPr>
      <w:sz w:val="20"/>
      <w:szCs w:val="20"/>
    </w:rPr>
  </w:style>
  <w:style w:type="character" w:customStyle="1" w:styleId="CommentTextChar">
    <w:name w:val="Comment Text Char"/>
    <w:basedOn w:val="DefaultParagraphFont"/>
    <w:link w:val="CommentText"/>
    <w:uiPriority w:val="99"/>
    <w:rsid w:val="007B7038"/>
    <w:rPr>
      <w:sz w:val="20"/>
      <w:szCs w:val="20"/>
      <w:lang w:val="da-DK"/>
    </w:rPr>
  </w:style>
  <w:style w:type="paragraph" w:styleId="CommentSubject">
    <w:name w:val="annotation subject"/>
    <w:basedOn w:val="CommentText"/>
    <w:next w:val="CommentText"/>
    <w:link w:val="CommentSubjectChar"/>
    <w:uiPriority w:val="99"/>
    <w:semiHidden/>
    <w:unhideWhenUsed/>
    <w:rsid w:val="007B7038"/>
    <w:rPr>
      <w:b/>
      <w:bCs/>
    </w:rPr>
  </w:style>
  <w:style w:type="character" w:customStyle="1" w:styleId="CommentSubjectChar">
    <w:name w:val="Comment Subject Char"/>
    <w:basedOn w:val="CommentTextChar"/>
    <w:link w:val="CommentSubject"/>
    <w:uiPriority w:val="99"/>
    <w:semiHidden/>
    <w:rsid w:val="007B7038"/>
    <w:rPr>
      <w:b/>
      <w:bCs/>
      <w:sz w:val="20"/>
      <w:szCs w:val="20"/>
      <w:lang w:val="da-DK"/>
    </w:rPr>
  </w:style>
  <w:style w:type="paragraph" w:styleId="BalloonText">
    <w:name w:val="Balloon Text"/>
    <w:basedOn w:val="Normal"/>
    <w:link w:val="BalloonTextChar"/>
    <w:uiPriority w:val="99"/>
    <w:semiHidden/>
    <w:unhideWhenUsed/>
    <w:rsid w:val="007B7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38"/>
    <w:rPr>
      <w:rFonts w:ascii="Segoe UI" w:hAnsi="Segoe UI" w:cs="Segoe UI"/>
      <w:sz w:val="18"/>
      <w:szCs w:val="18"/>
      <w:lang w:val="da-DK"/>
    </w:rPr>
  </w:style>
  <w:style w:type="paragraph" w:styleId="ListParagraph">
    <w:name w:val="List Paragraph"/>
    <w:basedOn w:val="Normal"/>
    <w:uiPriority w:val="34"/>
    <w:qFormat/>
    <w:rsid w:val="00C004C4"/>
    <w:pPr>
      <w:ind w:left="720"/>
      <w:contextualSpacing/>
    </w:pPr>
  </w:style>
  <w:style w:type="character" w:customStyle="1" w:styleId="s2">
    <w:name w:val="s2"/>
    <w:basedOn w:val="DefaultParagraphFont"/>
    <w:rsid w:val="005072E5"/>
  </w:style>
  <w:style w:type="character" w:customStyle="1" w:styleId="apple-converted-space">
    <w:name w:val="apple-converted-space"/>
    <w:basedOn w:val="DefaultParagraphFont"/>
    <w:rsid w:val="005072E5"/>
  </w:style>
  <w:style w:type="paragraph" w:styleId="Revision">
    <w:name w:val="Revision"/>
    <w:hidden/>
    <w:uiPriority w:val="99"/>
    <w:semiHidden/>
    <w:rsid w:val="003F12A6"/>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87134">
      <w:marLeft w:val="0"/>
      <w:marRight w:val="0"/>
      <w:marTop w:val="0"/>
      <w:marBottom w:val="0"/>
      <w:divBdr>
        <w:top w:val="none" w:sz="0" w:space="0" w:color="auto"/>
        <w:left w:val="none" w:sz="0" w:space="0" w:color="auto"/>
        <w:bottom w:val="none" w:sz="0" w:space="0" w:color="auto"/>
        <w:right w:val="none" w:sz="0" w:space="0" w:color="auto"/>
      </w:divBdr>
    </w:div>
    <w:div w:id="1483423179">
      <w:bodyDiv w:val="1"/>
      <w:marLeft w:val="0"/>
      <w:marRight w:val="0"/>
      <w:marTop w:val="0"/>
      <w:marBottom w:val="0"/>
      <w:divBdr>
        <w:top w:val="none" w:sz="0" w:space="0" w:color="auto"/>
        <w:left w:val="none" w:sz="0" w:space="0" w:color="auto"/>
        <w:bottom w:val="none" w:sz="0" w:space="0" w:color="auto"/>
        <w:right w:val="none" w:sz="0" w:space="0" w:color="auto"/>
      </w:divBdr>
    </w:div>
    <w:div w:id="168088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0D0D41-9E5D-46A8-B7B1-076C10B6706C}"/>
</file>

<file path=customXml/itemProps2.xml><?xml version="1.0" encoding="utf-8"?>
<ds:datastoreItem xmlns:ds="http://schemas.openxmlformats.org/officeDocument/2006/customXml" ds:itemID="{1BE8AA3B-B197-4BE3-B7F2-7B30548F5212}"/>
</file>

<file path=customXml/itemProps3.xml><?xml version="1.0" encoding="utf-8"?>
<ds:datastoreItem xmlns:ds="http://schemas.openxmlformats.org/officeDocument/2006/customXml" ds:itemID="{0F2330DA-CB3D-45EF-8532-8F0A1E44B7F0}"/>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4985</Characters>
  <Application>Microsoft Office Word</Application>
  <DocSecurity>0</DocSecurity>
  <Lines>41</Lines>
  <Paragraphs>11</Paragraphs>
  <ScaleCrop>false</ScaleCrop>
  <HeadingPairs>
    <vt:vector size="6" baseType="variant">
      <vt:variant>
        <vt:lpstr>Title</vt:lpstr>
      </vt:variant>
      <vt:variant>
        <vt:i4>1</vt:i4>
      </vt:variant>
      <vt:variant>
        <vt:lpstr>Tytuł</vt:lpstr>
      </vt:variant>
      <vt:variant>
        <vt:i4>1</vt:i4>
      </vt:variant>
      <vt:variant>
        <vt:lpstr>Název</vt:lpstr>
      </vt:variant>
      <vt:variant>
        <vt:i4>1</vt:i4>
      </vt:variant>
    </vt:vector>
  </HeadingPairs>
  <TitlesOfParts>
    <vt:vector size="3" baseType="lpstr">
      <vt:lpstr>European Union</vt:lpstr>
      <vt:lpstr>European Union</vt:lpstr>
      <vt:lpstr>European Union</vt:lpstr>
    </vt:vector>
  </TitlesOfParts>
  <Company>European Commission</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dc:title>
  <dc:creator>im-hjem</dc:creator>
  <cp:lastModifiedBy>LAHDENSUU Laura (EEAS-GENEVA)</cp:lastModifiedBy>
  <cp:revision>2</cp:revision>
  <cp:lastPrinted>2021-05-01T21:57:00Z</cp:lastPrinted>
  <dcterms:created xsi:type="dcterms:W3CDTF">2021-07-30T10:41:00Z</dcterms:created>
  <dcterms:modified xsi:type="dcterms:W3CDTF">2021-07-30T10:41:00Z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18dbabad-1906-48d5-90fc-c36c6394417e</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y fmtid="{D5CDD505-2E9C-101B-9397-08002B2CF9AE}" pid="5" name="ContentTypeId">
    <vt:lpwstr>0x0101008822B9E06671B54FA89F14538B9B0FEA</vt:lpwstr>
  </property>
</Properties>
</file>