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3608" w:type="dxa"/>
        <w:tblLook w:val="04A0" w:firstRow="1" w:lastRow="0" w:firstColumn="1" w:lastColumn="0" w:noHBand="0" w:noVBand="1"/>
      </w:tblPr>
      <w:tblGrid>
        <w:gridCol w:w="5670"/>
        <w:gridCol w:w="7938"/>
      </w:tblGrid>
      <w:tr w:rsidR="00194008" w:rsidRPr="00194008" w14:paraId="153A6BB8" w14:textId="77777777" w:rsidTr="00194008">
        <w:trPr>
          <w:trHeight w:val="1918"/>
        </w:trPr>
        <w:tc>
          <w:tcPr>
            <w:tcW w:w="13608" w:type="dxa"/>
            <w:gridSpan w:val="2"/>
            <w:tcBorders>
              <w:top w:val="nil"/>
              <w:left w:val="nil"/>
              <w:bottom w:val="single" w:sz="4" w:space="0" w:color="auto"/>
              <w:right w:val="nil"/>
            </w:tcBorders>
          </w:tcPr>
          <w:p w14:paraId="5D9416C5" w14:textId="3DB2A63C" w:rsidR="00194008" w:rsidRPr="00194008" w:rsidRDefault="00194008" w:rsidP="007E4E0E">
            <w:pPr>
              <w:spacing w:before="240" w:after="240" w:line="360" w:lineRule="auto"/>
              <w:jc w:val="both"/>
              <w:rPr>
                <w:rFonts w:asciiTheme="majorHAnsi" w:hAnsiTheme="majorHAnsi" w:cstheme="majorHAnsi"/>
                <w:b/>
                <w:bCs/>
                <w:sz w:val="24"/>
                <w:szCs w:val="24"/>
                <w:lang w:val="en-US"/>
              </w:rPr>
            </w:pPr>
            <w:bookmarkStart w:id="0" w:name="_GoBack"/>
            <w:bookmarkEnd w:id="0"/>
            <w:r w:rsidRPr="00194008">
              <w:rPr>
                <w:rFonts w:asciiTheme="majorHAnsi" w:hAnsiTheme="majorHAnsi" w:cstheme="majorHAnsi"/>
                <w:iCs/>
                <w:sz w:val="24"/>
                <w:szCs w:val="24"/>
                <w:highlight w:val="white"/>
                <w:lang w:val="en-US"/>
              </w:rPr>
              <w:t xml:space="preserve">The Human Rights Commission in Mexico City (Comisión de Derechos Humanos de la Ciudad de México, CDHCM per its acronym in Spanish) is a public and autonomous institution, with the purpose of protecting, defending, monitoring, promoting, studying, educating, and disseminating the human rights in Mexico City. </w:t>
            </w:r>
            <w:r w:rsidRPr="00194008">
              <w:rPr>
                <w:rFonts w:asciiTheme="majorHAnsi" w:hAnsiTheme="majorHAnsi" w:cstheme="majorHAnsi"/>
                <w:color w:val="000000"/>
                <w:sz w:val="24"/>
                <w:szCs w:val="24"/>
                <w:shd w:val="clear" w:color="auto" w:fill="FFFFFF"/>
                <w:lang w:val="en-US"/>
              </w:rPr>
              <w:t>In the above context and with the view to facilitating the negotiations of the draft convention</w:t>
            </w:r>
            <w:r w:rsidRPr="00194008">
              <w:rPr>
                <w:rFonts w:asciiTheme="majorHAnsi" w:hAnsiTheme="majorHAnsi" w:cstheme="majorHAnsi"/>
                <w:iCs/>
                <w:sz w:val="24"/>
                <w:szCs w:val="24"/>
                <w:highlight w:val="white"/>
                <w:lang w:val="en-US"/>
              </w:rPr>
              <w:t xml:space="preserve"> sends the next </w:t>
            </w:r>
            <w:r w:rsidRPr="00194008">
              <w:rPr>
                <w:rFonts w:asciiTheme="majorHAnsi" w:hAnsiTheme="majorHAnsi" w:cstheme="majorHAnsi"/>
                <w:iCs/>
                <w:sz w:val="24"/>
                <w:szCs w:val="24"/>
                <w:lang w:val="en-US"/>
              </w:rPr>
              <w:t>comments</w:t>
            </w:r>
            <w:r w:rsidRPr="00194008">
              <w:rPr>
                <w:rFonts w:asciiTheme="majorHAnsi" w:hAnsiTheme="majorHAnsi" w:cstheme="majorHAnsi"/>
                <w:color w:val="000000"/>
                <w:sz w:val="24"/>
                <w:szCs w:val="24"/>
                <w:shd w:val="clear" w:color="auto" w:fill="FFFFFF"/>
                <w:lang w:val="en-US"/>
              </w:rPr>
              <w:t> and textual suggestions on the draft convention</w:t>
            </w:r>
            <w:r>
              <w:rPr>
                <w:rFonts w:asciiTheme="majorHAnsi" w:hAnsiTheme="majorHAnsi" w:cstheme="majorHAnsi"/>
                <w:color w:val="000000"/>
                <w:sz w:val="24"/>
                <w:szCs w:val="24"/>
                <w:shd w:val="clear" w:color="auto" w:fill="FFFFFF"/>
                <w:lang w:val="en-US"/>
              </w:rPr>
              <w:t>.</w:t>
            </w:r>
          </w:p>
        </w:tc>
      </w:tr>
      <w:tr w:rsidR="00194008" w:rsidRPr="00194008" w14:paraId="0169D81D" w14:textId="77777777" w:rsidTr="00194008">
        <w:trPr>
          <w:trHeight w:val="558"/>
        </w:trPr>
        <w:tc>
          <w:tcPr>
            <w:tcW w:w="5670" w:type="dxa"/>
            <w:tcBorders>
              <w:top w:val="single" w:sz="4" w:space="0" w:color="auto"/>
            </w:tcBorders>
            <w:shd w:val="clear" w:color="auto" w:fill="D0CECE" w:themeFill="background2" w:themeFillShade="E6"/>
          </w:tcPr>
          <w:p w14:paraId="15553129" w14:textId="62450EEB" w:rsidR="00194008" w:rsidRPr="000E0483" w:rsidRDefault="00194008" w:rsidP="007E4E0E">
            <w:pPr>
              <w:spacing w:before="240" w:after="240" w:line="360" w:lineRule="auto"/>
              <w:jc w:val="center"/>
              <w:rPr>
                <w:rFonts w:asciiTheme="majorHAnsi" w:hAnsiTheme="majorHAnsi" w:cstheme="majorHAnsi"/>
                <w:b/>
                <w:bCs/>
                <w:iCs/>
                <w:sz w:val="24"/>
                <w:szCs w:val="24"/>
                <w:highlight w:val="white"/>
                <w:lang w:val="en-US"/>
              </w:rPr>
            </w:pPr>
            <w:r w:rsidRPr="000E0483">
              <w:rPr>
                <w:rFonts w:asciiTheme="majorHAnsi" w:hAnsiTheme="majorHAnsi" w:cstheme="majorHAnsi"/>
                <w:b/>
                <w:bCs/>
                <w:iCs/>
                <w:sz w:val="24"/>
                <w:szCs w:val="24"/>
                <w:highlight w:val="lightGray"/>
                <w:lang w:val="en-US"/>
              </w:rPr>
              <w:t>Articles</w:t>
            </w:r>
          </w:p>
        </w:tc>
        <w:tc>
          <w:tcPr>
            <w:tcW w:w="7938" w:type="dxa"/>
            <w:tcBorders>
              <w:top w:val="single" w:sz="4" w:space="0" w:color="auto"/>
            </w:tcBorders>
            <w:shd w:val="clear" w:color="auto" w:fill="D0CECE" w:themeFill="background2" w:themeFillShade="E6"/>
          </w:tcPr>
          <w:p w14:paraId="696922D3" w14:textId="7FAFA418" w:rsidR="00194008" w:rsidRPr="000E0483" w:rsidRDefault="00194008" w:rsidP="007E4E0E">
            <w:pPr>
              <w:spacing w:before="240" w:after="240" w:line="360" w:lineRule="auto"/>
              <w:jc w:val="center"/>
              <w:rPr>
                <w:rFonts w:asciiTheme="majorHAnsi" w:hAnsiTheme="majorHAnsi" w:cstheme="majorHAnsi"/>
                <w:b/>
                <w:bCs/>
                <w:iCs/>
                <w:sz w:val="24"/>
                <w:szCs w:val="24"/>
                <w:highlight w:val="white"/>
                <w:lang w:val="en-US"/>
              </w:rPr>
            </w:pPr>
            <w:r w:rsidRPr="000E0483">
              <w:rPr>
                <w:rFonts w:asciiTheme="majorHAnsi" w:hAnsiTheme="majorHAnsi" w:cstheme="majorHAnsi"/>
                <w:b/>
                <w:bCs/>
                <w:iCs/>
                <w:sz w:val="24"/>
                <w:szCs w:val="24"/>
                <w:highlight w:val="lightGray"/>
                <w:lang w:val="en-US"/>
              </w:rPr>
              <w:t>Comments /Textual suggestions</w:t>
            </w:r>
          </w:p>
        </w:tc>
      </w:tr>
      <w:tr w:rsidR="00D113E6" w:rsidRPr="00194008" w14:paraId="63311242" w14:textId="77777777" w:rsidTr="00194008">
        <w:trPr>
          <w:trHeight w:val="3553"/>
        </w:trPr>
        <w:tc>
          <w:tcPr>
            <w:tcW w:w="5670" w:type="dxa"/>
          </w:tcPr>
          <w:p w14:paraId="5264CDF5" w14:textId="77777777" w:rsidR="00194008" w:rsidRPr="00194008" w:rsidRDefault="00194008" w:rsidP="007E4E0E">
            <w:pPr>
              <w:jc w:val="both"/>
              <w:rPr>
                <w:rFonts w:cstheme="minorHAnsi"/>
                <w:b/>
                <w:sz w:val="24"/>
                <w:szCs w:val="24"/>
                <w:lang w:val="en-GB"/>
              </w:rPr>
            </w:pPr>
          </w:p>
          <w:p w14:paraId="6A7EED6F" w14:textId="77777777" w:rsidR="00194008" w:rsidRPr="00194008" w:rsidRDefault="00194008" w:rsidP="007E4E0E">
            <w:pPr>
              <w:jc w:val="both"/>
              <w:rPr>
                <w:rFonts w:cstheme="minorHAnsi"/>
                <w:b/>
                <w:sz w:val="24"/>
                <w:szCs w:val="24"/>
                <w:lang w:val="en-GB"/>
              </w:rPr>
            </w:pPr>
          </w:p>
          <w:p w14:paraId="00A06975" w14:textId="77777777" w:rsidR="00194008" w:rsidRPr="00194008" w:rsidRDefault="00194008" w:rsidP="007E4E0E">
            <w:pPr>
              <w:jc w:val="both"/>
              <w:rPr>
                <w:rFonts w:cstheme="minorHAnsi"/>
                <w:b/>
                <w:sz w:val="24"/>
                <w:szCs w:val="24"/>
                <w:lang w:val="en-GB"/>
              </w:rPr>
            </w:pPr>
          </w:p>
          <w:p w14:paraId="36475943" w14:textId="77777777" w:rsidR="00194008" w:rsidRPr="00194008" w:rsidRDefault="00194008" w:rsidP="007E4E0E">
            <w:pPr>
              <w:jc w:val="both"/>
              <w:rPr>
                <w:rFonts w:cstheme="minorHAnsi"/>
                <w:b/>
                <w:sz w:val="24"/>
                <w:szCs w:val="24"/>
                <w:lang w:val="en-GB"/>
              </w:rPr>
            </w:pPr>
          </w:p>
          <w:p w14:paraId="55AE8A76" w14:textId="24FA6D7F" w:rsidR="00311B32" w:rsidRPr="00194008" w:rsidRDefault="00311B32" w:rsidP="000E0483">
            <w:pPr>
              <w:jc w:val="center"/>
              <w:rPr>
                <w:rFonts w:cstheme="minorHAnsi"/>
                <w:b/>
                <w:sz w:val="24"/>
                <w:szCs w:val="24"/>
                <w:lang w:val="en-GB"/>
              </w:rPr>
            </w:pPr>
            <w:r w:rsidRPr="00194008">
              <w:rPr>
                <w:rFonts w:cstheme="minorHAnsi"/>
                <w:b/>
                <w:sz w:val="24"/>
                <w:szCs w:val="24"/>
                <w:lang w:val="en-GB"/>
              </w:rPr>
              <w:t>Article 3 – General principles</w:t>
            </w:r>
          </w:p>
        </w:tc>
        <w:tc>
          <w:tcPr>
            <w:tcW w:w="7938" w:type="dxa"/>
          </w:tcPr>
          <w:p w14:paraId="68C8113C" w14:textId="77777777" w:rsidR="000E0483" w:rsidRDefault="000E0483" w:rsidP="000E0483">
            <w:pPr>
              <w:pStyle w:val="SingleTxtG"/>
              <w:ind w:left="720"/>
              <w:rPr>
                <w:rFonts w:asciiTheme="minorHAnsi" w:hAnsiTheme="minorHAnsi" w:cstheme="minorHAnsi"/>
                <w:b/>
                <w:sz w:val="24"/>
                <w:szCs w:val="24"/>
                <w:lang w:eastAsia="en-GB"/>
              </w:rPr>
            </w:pPr>
          </w:p>
          <w:p w14:paraId="2402AE14" w14:textId="3914A9EF" w:rsidR="00864A55" w:rsidRPr="00194008" w:rsidRDefault="00665726" w:rsidP="007E4E0E">
            <w:pPr>
              <w:pStyle w:val="SingleTxtG"/>
              <w:numPr>
                <w:ilvl w:val="0"/>
                <w:numId w:val="2"/>
              </w:numPr>
              <w:rPr>
                <w:rFonts w:asciiTheme="minorHAnsi" w:hAnsiTheme="minorHAnsi" w:cstheme="minorHAnsi"/>
                <w:b/>
                <w:sz w:val="24"/>
                <w:szCs w:val="24"/>
                <w:lang w:eastAsia="en-GB"/>
              </w:rPr>
            </w:pPr>
            <w:r w:rsidRPr="00194008">
              <w:rPr>
                <w:rFonts w:asciiTheme="minorHAnsi" w:hAnsiTheme="minorHAnsi" w:cstheme="minorHAnsi"/>
                <w:b/>
                <w:sz w:val="24"/>
                <w:szCs w:val="24"/>
                <w:lang w:eastAsia="en-GB"/>
              </w:rPr>
              <w:t xml:space="preserve">Recognition of local government as the most suitable for enabling participation towards </w:t>
            </w:r>
            <w:r w:rsidR="00162470" w:rsidRPr="00194008">
              <w:rPr>
                <w:rFonts w:asciiTheme="minorHAnsi" w:hAnsiTheme="minorHAnsi" w:cstheme="minorHAnsi"/>
                <w:b/>
                <w:sz w:val="24"/>
                <w:szCs w:val="24"/>
                <w:lang w:eastAsia="en-GB"/>
              </w:rPr>
              <w:t>true realization</w:t>
            </w:r>
            <w:r w:rsidRPr="00194008">
              <w:rPr>
                <w:rFonts w:asciiTheme="minorHAnsi" w:hAnsiTheme="minorHAnsi" w:cstheme="minorHAnsi"/>
                <w:b/>
                <w:sz w:val="24"/>
                <w:szCs w:val="24"/>
                <w:lang w:eastAsia="en-GB"/>
              </w:rPr>
              <w:t xml:space="preserve"> of human rights might be crucial for a true State engagement on their obligations to fulfil right to development and a “human rights city”.</w:t>
            </w:r>
          </w:p>
          <w:p w14:paraId="15DD0D9C" w14:textId="73A80D54" w:rsidR="00311B32" w:rsidRPr="00194008" w:rsidRDefault="00864A55" w:rsidP="007E4E0E">
            <w:pPr>
              <w:pStyle w:val="SingleTxtG"/>
              <w:ind w:left="0"/>
              <w:rPr>
                <w:rFonts w:asciiTheme="minorHAnsi" w:hAnsiTheme="minorHAnsi" w:cstheme="minorHAnsi"/>
                <w:sz w:val="24"/>
                <w:szCs w:val="24"/>
                <w:lang w:eastAsia="en-GB"/>
              </w:rPr>
            </w:pPr>
            <w:r w:rsidRPr="00194008">
              <w:rPr>
                <w:rFonts w:asciiTheme="minorHAnsi" w:hAnsiTheme="minorHAnsi" w:cstheme="minorHAnsi"/>
                <w:sz w:val="24"/>
                <w:szCs w:val="24"/>
                <w:lang w:eastAsia="en-GB"/>
              </w:rPr>
              <w:t>“8.</w:t>
            </w:r>
            <w:r w:rsidRPr="00194008">
              <w:rPr>
                <w:rFonts w:asciiTheme="minorHAnsi" w:hAnsiTheme="minorHAnsi" w:cstheme="minorHAnsi"/>
                <w:sz w:val="24"/>
                <w:szCs w:val="24"/>
                <w:lang w:eastAsia="en-GB"/>
              </w:rPr>
              <w:tab/>
            </w:r>
            <w:r w:rsidRPr="00194008">
              <w:rPr>
                <w:rFonts w:asciiTheme="minorHAnsi" w:hAnsiTheme="minorHAnsi" w:cstheme="minorHAnsi"/>
                <w:bCs/>
                <w:sz w:val="24"/>
                <w:szCs w:val="24"/>
                <w:lang w:eastAsia="en-GB"/>
              </w:rPr>
              <w:t>Local government</w:t>
            </w:r>
            <w:r w:rsidRPr="00194008">
              <w:rPr>
                <w:rFonts w:asciiTheme="minorHAnsi" w:hAnsiTheme="minorHAnsi" w:cstheme="minorHAnsi"/>
                <w:sz w:val="24"/>
                <w:szCs w:val="24"/>
                <w:lang w:eastAsia="en-GB"/>
              </w:rPr>
              <w:t xml:space="preserve"> is commonly defined as the lowest tier of public administration within a given State. In unitary States, local government usually comprises the second or third tier of government, whereas in federal States, it is constituted as the third or sometimes fourth tier of government. Local government aims at bringing government to the grass roots and </w:t>
            </w:r>
            <w:r w:rsidRPr="00194008">
              <w:rPr>
                <w:rFonts w:asciiTheme="minorHAnsi" w:hAnsiTheme="minorHAnsi" w:cstheme="minorHAnsi"/>
                <w:b/>
                <w:sz w:val="24"/>
                <w:szCs w:val="24"/>
                <w:lang w:eastAsia="en-GB"/>
              </w:rPr>
              <w:t xml:space="preserve">enabling citizens to participate effectively </w:t>
            </w:r>
            <w:r w:rsidRPr="00194008">
              <w:rPr>
                <w:rFonts w:asciiTheme="minorHAnsi" w:hAnsiTheme="minorHAnsi" w:cstheme="minorHAnsi"/>
                <w:sz w:val="24"/>
                <w:szCs w:val="24"/>
                <w:lang w:eastAsia="en-GB"/>
              </w:rPr>
              <w:t xml:space="preserve">in the making of decisions affecting their daily lives. As the level closest to the citizens, local government is, in principle, in a much better position than central government to deal </w:t>
            </w:r>
            <w:r w:rsidRPr="00194008">
              <w:rPr>
                <w:rFonts w:asciiTheme="minorHAnsi" w:hAnsiTheme="minorHAnsi" w:cstheme="minorHAnsi"/>
                <w:sz w:val="24"/>
                <w:szCs w:val="24"/>
                <w:lang w:eastAsia="en-GB"/>
              </w:rPr>
              <w:lastRenderedPageBreak/>
              <w:t xml:space="preserve">with matters that require local knowledge and regulation </w:t>
            </w:r>
            <w:r w:rsidR="00194008" w:rsidRPr="00194008">
              <w:rPr>
                <w:rFonts w:asciiTheme="minorHAnsi" w:hAnsiTheme="minorHAnsi" w:cstheme="minorHAnsi"/>
                <w:sz w:val="24"/>
                <w:szCs w:val="24"/>
                <w:lang w:eastAsia="en-GB"/>
              </w:rPr>
              <w:t>based on</w:t>
            </w:r>
            <w:r w:rsidRPr="00194008">
              <w:rPr>
                <w:rFonts w:asciiTheme="minorHAnsi" w:hAnsiTheme="minorHAnsi" w:cstheme="minorHAnsi"/>
                <w:sz w:val="24"/>
                <w:szCs w:val="24"/>
                <w:lang w:eastAsia="en-GB"/>
              </w:rPr>
              <w:t xml:space="preserve"> local needs and priorities.”</w:t>
            </w:r>
            <w:r w:rsidRPr="00194008">
              <w:rPr>
                <w:rStyle w:val="FootnoteReference"/>
                <w:rFonts w:asciiTheme="minorHAnsi" w:hAnsiTheme="minorHAnsi" w:cstheme="minorHAnsi"/>
                <w:sz w:val="24"/>
                <w:szCs w:val="24"/>
                <w:lang w:eastAsia="en-GB"/>
              </w:rPr>
              <w:footnoteReference w:id="1"/>
            </w:r>
          </w:p>
          <w:p w14:paraId="5C5FD311" w14:textId="77777777" w:rsidR="00802D15" w:rsidRPr="00194008" w:rsidRDefault="00802D15" w:rsidP="007E4E0E">
            <w:pPr>
              <w:pStyle w:val="SingleTxtG"/>
              <w:ind w:left="0" w:right="179"/>
              <w:rPr>
                <w:rFonts w:asciiTheme="minorHAnsi" w:hAnsiTheme="minorHAnsi" w:cstheme="minorHAnsi"/>
                <w:sz w:val="24"/>
                <w:szCs w:val="24"/>
                <w:lang w:eastAsia="en-GB"/>
              </w:rPr>
            </w:pPr>
            <w:r w:rsidRPr="00194008">
              <w:rPr>
                <w:rFonts w:asciiTheme="minorHAnsi" w:hAnsiTheme="minorHAnsi" w:cstheme="minorHAnsi"/>
                <w:sz w:val="24"/>
                <w:szCs w:val="24"/>
                <w:lang w:eastAsia="en-GB"/>
              </w:rPr>
              <w:t>Therefore,</w:t>
            </w:r>
            <w:r w:rsidR="00C72134" w:rsidRPr="00194008">
              <w:rPr>
                <w:rFonts w:asciiTheme="minorHAnsi" w:hAnsiTheme="minorHAnsi" w:cstheme="minorHAnsi"/>
                <w:sz w:val="24"/>
                <w:szCs w:val="24"/>
                <w:lang w:eastAsia="en-GB"/>
              </w:rPr>
              <w:t xml:space="preserve"> local focus could be included as a general principle.</w:t>
            </w:r>
          </w:p>
        </w:tc>
      </w:tr>
      <w:tr w:rsidR="00D113E6" w:rsidRPr="00194008" w14:paraId="566DD438" w14:textId="77777777" w:rsidTr="00194008">
        <w:trPr>
          <w:trHeight w:val="5135"/>
        </w:trPr>
        <w:tc>
          <w:tcPr>
            <w:tcW w:w="5670" w:type="dxa"/>
          </w:tcPr>
          <w:p w14:paraId="6D739B49" w14:textId="77777777" w:rsidR="00194008" w:rsidRDefault="00194008" w:rsidP="007E4E0E">
            <w:pPr>
              <w:jc w:val="both"/>
              <w:rPr>
                <w:rFonts w:cstheme="minorHAnsi"/>
                <w:b/>
                <w:sz w:val="24"/>
                <w:szCs w:val="24"/>
                <w:lang w:val="en-GB"/>
              </w:rPr>
            </w:pPr>
          </w:p>
          <w:p w14:paraId="6D3E7E81" w14:textId="77777777" w:rsidR="00194008" w:rsidRDefault="00194008" w:rsidP="007E4E0E">
            <w:pPr>
              <w:jc w:val="both"/>
              <w:rPr>
                <w:rFonts w:cstheme="minorHAnsi"/>
                <w:b/>
                <w:sz w:val="24"/>
                <w:szCs w:val="24"/>
                <w:lang w:val="en-GB"/>
              </w:rPr>
            </w:pPr>
          </w:p>
          <w:p w14:paraId="2D0D524D" w14:textId="77777777" w:rsidR="00194008" w:rsidRDefault="00194008" w:rsidP="007E4E0E">
            <w:pPr>
              <w:jc w:val="both"/>
              <w:rPr>
                <w:rFonts w:cstheme="minorHAnsi"/>
                <w:b/>
                <w:sz w:val="24"/>
                <w:szCs w:val="24"/>
                <w:lang w:val="en-GB"/>
              </w:rPr>
            </w:pPr>
          </w:p>
          <w:p w14:paraId="6C965B12" w14:textId="118817FF" w:rsidR="00650749" w:rsidRPr="00194008" w:rsidRDefault="00650749" w:rsidP="007E4E0E">
            <w:pPr>
              <w:jc w:val="both"/>
              <w:rPr>
                <w:rFonts w:cstheme="minorHAnsi"/>
                <w:b/>
                <w:sz w:val="24"/>
                <w:szCs w:val="24"/>
                <w:lang w:val="en-GB"/>
              </w:rPr>
            </w:pPr>
            <w:r w:rsidRPr="00194008">
              <w:rPr>
                <w:rFonts w:cstheme="minorHAnsi"/>
                <w:b/>
                <w:sz w:val="24"/>
                <w:szCs w:val="24"/>
                <w:lang w:val="en-GB"/>
              </w:rPr>
              <w:t>Article 4 – The right to development</w:t>
            </w:r>
          </w:p>
          <w:p w14:paraId="5F30AD5C" w14:textId="291F1CA4" w:rsidR="00650749" w:rsidRPr="00194008" w:rsidRDefault="00650749" w:rsidP="007E4E0E">
            <w:pPr>
              <w:jc w:val="both"/>
              <w:rPr>
                <w:rFonts w:cstheme="minorHAnsi"/>
                <w:sz w:val="24"/>
                <w:szCs w:val="24"/>
                <w:lang w:val="en-GB"/>
              </w:rPr>
            </w:pPr>
            <w:r w:rsidRPr="00194008">
              <w:rPr>
                <w:rFonts w:cstheme="minorHAnsi"/>
                <w:sz w:val="24"/>
                <w:szCs w:val="24"/>
                <w:lang w:val="en-GB"/>
              </w:rPr>
              <w:t>1. Every human person and all peoples have the inalienable right to development by virtue of which they are entitled to participate in, contribute to and enjoy economic, social, cultural, civil and political development that is consistent with and based on all other human rights and fundamental freedoms.</w:t>
            </w:r>
          </w:p>
          <w:p w14:paraId="69778AF2" w14:textId="77777777" w:rsidR="00650749" w:rsidRPr="00194008" w:rsidRDefault="00650749" w:rsidP="007E4E0E">
            <w:pPr>
              <w:jc w:val="both"/>
              <w:rPr>
                <w:rFonts w:cstheme="minorHAnsi"/>
                <w:sz w:val="24"/>
                <w:szCs w:val="24"/>
                <w:lang w:val="en-GB"/>
              </w:rPr>
            </w:pPr>
            <w:r w:rsidRPr="00194008">
              <w:rPr>
                <w:rFonts w:cstheme="minorHAnsi"/>
                <w:sz w:val="24"/>
                <w:szCs w:val="24"/>
                <w:lang w:val="en-GB"/>
              </w:rPr>
              <w:t>2. Every human person and all peoples have the right to active, free and meaningful participation in development and in the fair distribution of benefits resulting therefrom.</w:t>
            </w:r>
          </w:p>
        </w:tc>
        <w:tc>
          <w:tcPr>
            <w:tcW w:w="7938" w:type="dxa"/>
          </w:tcPr>
          <w:p w14:paraId="2A1A4EAA" w14:textId="77777777" w:rsidR="00D31865" w:rsidRPr="00194008" w:rsidRDefault="00D31865" w:rsidP="007E4E0E">
            <w:pPr>
              <w:pStyle w:val="NormalWeb"/>
              <w:shd w:val="clear" w:color="auto" w:fill="FFFFFF"/>
              <w:spacing w:before="0" w:beforeAutospacing="0" w:after="0" w:afterAutospacing="0"/>
              <w:jc w:val="both"/>
              <w:rPr>
                <w:rFonts w:asciiTheme="minorHAnsi" w:hAnsiTheme="minorHAnsi" w:cstheme="minorHAnsi"/>
                <w:b/>
                <w:lang w:val="en-GB"/>
              </w:rPr>
            </w:pPr>
            <w:r w:rsidRPr="00194008">
              <w:rPr>
                <w:rFonts w:asciiTheme="minorHAnsi" w:hAnsiTheme="minorHAnsi" w:cstheme="minorHAnsi"/>
                <w:b/>
                <w:lang w:val="en-GB"/>
              </w:rPr>
              <w:t xml:space="preserve">2. </w:t>
            </w:r>
            <w:r w:rsidR="00576362" w:rsidRPr="00194008">
              <w:rPr>
                <w:rFonts w:asciiTheme="minorHAnsi" w:hAnsiTheme="minorHAnsi" w:cstheme="minorHAnsi"/>
                <w:b/>
                <w:lang w:val="en-GB"/>
              </w:rPr>
              <w:t>Non-discrimination</w:t>
            </w:r>
            <w:r w:rsidR="00C04371" w:rsidRPr="00194008">
              <w:rPr>
                <w:rFonts w:asciiTheme="minorHAnsi" w:hAnsiTheme="minorHAnsi" w:cstheme="minorHAnsi"/>
                <w:b/>
                <w:lang w:val="en-GB"/>
              </w:rPr>
              <w:t xml:space="preserve"> and progressive realization as a concrete obligation</w:t>
            </w:r>
            <w:r w:rsidR="00311B32" w:rsidRPr="00194008">
              <w:rPr>
                <w:rFonts w:asciiTheme="minorHAnsi" w:hAnsiTheme="minorHAnsi" w:cstheme="minorHAnsi"/>
                <w:b/>
                <w:lang w:val="en-GB"/>
              </w:rPr>
              <w:t xml:space="preserve"> should be mentioned in this article even though the first one is considered in article 3b.</w:t>
            </w:r>
          </w:p>
          <w:p w14:paraId="4E48A70C" w14:textId="77777777" w:rsidR="00311B32" w:rsidRPr="00194008" w:rsidRDefault="00311B32" w:rsidP="007E4E0E">
            <w:pPr>
              <w:pStyle w:val="NormalWeb"/>
              <w:shd w:val="clear" w:color="auto" w:fill="FFFFFF"/>
              <w:spacing w:before="0" w:beforeAutospacing="0" w:after="0" w:afterAutospacing="0"/>
              <w:jc w:val="both"/>
              <w:rPr>
                <w:rFonts w:asciiTheme="minorHAnsi" w:hAnsiTheme="minorHAnsi" w:cstheme="minorHAnsi"/>
                <w:lang w:val="en-GB"/>
              </w:rPr>
            </w:pPr>
          </w:p>
          <w:p w14:paraId="543D68A6" w14:textId="299A88EF" w:rsidR="003510AB" w:rsidRPr="00194008" w:rsidRDefault="003510AB" w:rsidP="007E4E0E">
            <w:pPr>
              <w:pStyle w:val="NormalWeb"/>
              <w:shd w:val="clear" w:color="auto" w:fill="FFFFFF"/>
              <w:spacing w:before="0" w:beforeAutospacing="0" w:after="0" w:afterAutospacing="0"/>
              <w:jc w:val="both"/>
              <w:rPr>
                <w:rFonts w:asciiTheme="minorHAnsi" w:hAnsiTheme="minorHAnsi" w:cstheme="minorHAnsi"/>
                <w:lang w:val="en-GB"/>
              </w:rPr>
            </w:pPr>
            <w:r w:rsidRPr="00194008">
              <w:rPr>
                <w:rFonts w:asciiTheme="minorHAnsi" w:hAnsiTheme="minorHAnsi" w:cstheme="minorHAnsi"/>
                <w:lang w:val="en-GB"/>
              </w:rPr>
              <w:t xml:space="preserve">The right to development has a particular ground on the progressive realization of </w:t>
            </w:r>
            <w:r w:rsidR="00C04371" w:rsidRPr="00194008">
              <w:rPr>
                <w:rFonts w:asciiTheme="minorHAnsi" w:hAnsiTheme="minorHAnsi" w:cstheme="minorHAnsi"/>
                <w:lang w:val="en-GB"/>
              </w:rPr>
              <w:t xml:space="preserve">economic, social, cultural and </w:t>
            </w:r>
            <w:r w:rsidR="00576362" w:rsidRPr="00194008">
              <w:rPr>
                <w:rFonts w:asciiTheme="minorHAnsi" w:hAnsiTheme="minorHAnsi" w:cstheme="minorHAnsi"/>
                <w:lang w:val="en-GB"/>
              </w:rPr>
              <w:t>environmental</w:t>
            </w:r>
            <w:r w:rsidR="00C04371" w:rsidRPr="00194008">
              <w:rPr>
                <w:rFonts w:asciiTheme="minorHAnsi" w:hAnsiTheme="minorHAnsi" w:cstheme="minorHAnsi"/>
                <w:lang w:val="en-GB"/>
              </w:rPr>
              <w:t xml:space="preserve"> rights (ESCER)</w:t>
            </w:r>
            <w:r w:rsidRPr="00194008">
              <w:rPr>
                <w:rFonts w:asciiTheme="minorHAnsi" w:hAnsiTheme="minorHAnsi" w:cstheme="minorHAnsi"/>
                <w:lang w:val="en-GB"/>
              </w:rPr>
              <w:t>.</w:t>
            </w:r>
          </w:p>
          <w:p w14:paraId="52E49AB8" w14:textId="77777777" w:rsidR="003510AB" w:rsidRPr="00194008" w:rsidRDefault="003510AB" w:rsidP="007E4E0E">
            <w:pPr>
              <w:pStyle w:val="NormalWeb"/>
              <w:shd w:val="clear" w:color="auto" w:fill="FFFFFF"/>
              <w:spacing w:before="0" w:beforeAutospacing="0" w:after="0" w:afterAutospacing="0"/>
              <w:jc w:val="both"/>
              <w:rPr>
                <w:rFonts w:asciiTheme="minorHAnsi" w:hAnsiTheme="minorHAnsi" w:cstheme="minorHAnsi"/>
                <w:lang w:val="en-GB"/>
              </w:rPr>
            </w:pPr>
          </w:p>
          <w:p w14:paraId="27106CB2" w14:textId="28840BFF" w:rsidR="00B84C4A" w:rsidRPr="00194008" w:rsidRDefault="00650749" w:rsidP="007E4E0E">
            <w:pPr>
              <w:pStyle w:val="NormalWeb"/>
              <w:shd w:val="clear" w:color="auto" w:fill="FFFFFF"/>
              <w:spacing w:before="0" w:beforeAutospacing="0" w:after="0" w:afterAutospacing="0"/>
              <w:jc w:val="both"/>
              <w:rPr>
                <w:rFonts w:asciiTheme="minorHAnsi" w:hAnsiTheme="minorHAnsi" w:cstheme="minorHAnsi"/>
                <w:lang w:val="en-GB"/>
              </w:rPr>
            </w:pPr>
            <w:r w:rsidRPr="00194008">
              <w:rPr>
                <w:rFonts w:asciiTheme="minorHAnsi" w:hAnsiTheme="minorHAnsi" w:cstheme="minorHAnsi"/>
                <w:lang w:val="en-GB"/>
              </w:rPr>
              <w:t xml:space="preserve">Therefore, Governments, no matter what level of resources they have at their disposal, must take immediate steps within their means towards the </w:t>
            </w:r>
            <w:r w:rsidR="00576362" w:rsidRPr="00194008">
              <w:rPr>
                <w:rFonts w:asciiTheme="minorHAnsi" w:hAnsiTheme="minorHAnsi" w:cstheme="minorHAnsi"/>
                <w:lang w:val="en-GB"/>
              </w:rPr>
              <w:t>fulfilment</w:t>
            </w:r>
            <w:r w:rsidRPr="00194008">
              <w:rPr>
                <w:rFonts w:asciiTheme="minorHAnsi" w:hAnsiTheme="minorHAnsi" w:cstheme="minorHAnsi"/>
                <w:lang w:val="en-GB"/>
              </w:rPr>
              <w:t xml:space="preserve"> of these rights.</w:t>
            </w:r>
          </w:p>
          <w:p w14:paraId="3C26B910" w14:textId="6CCD00F0" w:rsidR="003510AB" w:rsidRPr="00194008" w:rsidRDefault="003510AB" w:rsidP="007E4E0E">
            <w:pPr>
              <w:pStyle w:val="NormalWeb"/>
              <w:shd w:val="clear" w:color="auto" w:fill="FFFFFF"/>
              <w:spacing w:before="0" w:beforeAutospacing="0" w:after="0" w:afterAutospacing="0"/>
              <w:jc w:val="both"/>
              <w:rPr>
                <w:rFonts w:asciiTheme="minorHAnsi" w:hAnsiTheme="minorHAnsi" w:cstheme="minorHAnsi"/>
                <w:lang w:val="en-GB"/>
              </w:rPr>
            </w:pPr>
            <w:r w:rsidRPr="00194008">
              <w:rPr>
                <w:rFonts w:asciiTheme="minorHAnsi" w:hAnsiTheme="minorHAnsi" w:cstheme="minorHAnsi"/>
                <w:lang w:val="en-GB"/>
              </w:rPr>
              <w:t>In many cases ESC</w:t>
            </w:r>
            <w:r w:rsidR="00C04371" w:rsidRPr="00194008">
              <w:rPr>
                <w:rFonts w:asciiTheme="minorHAnsi" w:hAnsiTheme="minorHAnsi" w:cstheme="minorHAnsi"/>
                <w:lang w:val="en-GB"/>
              </w:rPr>
              <w:t>E</w:t>
            </w:r>
            <w:r w:rsidRPr="00194008">
              <w:rPr>
                <w:rFonts w:asciiTheme="minorHAnsi" w:hAnsiTheme="minorHAnsi" w:cstheme="minorHAnsi"/>
                <w:lang w:val="en-GB"/>
              </w:rPr>
              <w:t>R are violated not because resources are not available, but rather because they have been misallocated</w:t>
            </w:r>
          </w:p>
          <w:p w14:paraId="349670D5" w14:textId="77777777" w:rsidR="003510AB" w:rsidRPr="00194008" w:rsidRDefault="003510AB" w:rsidP="007E4E0E">
            <w:pPr>
              <w:pStyle w:val="NormalWeb"/>
              <w:shd w:val="clear" w:color="auto" w:fill="FFFFFF"/>
              <w:spacing w:before="0" w:beforeAutospacing="0" w:after="0" w:afterAutospacing="0"/>
              <w:jc w:val="both"/>
              <w:rPr>
                <w:rFonts w:asciiTheme="minorHAnsi" w:hAnsiTheme="minorHAnsi" w:cstheme="minorHAnsi"/>
                <w:lang w:val="en-GB"/>
              </w:rPr>
            </w:pPr>
          </w:p>
          <w:p w14:paraId="0A7362F0" w14:textId="77777777" w:rsidR="00576362" w:rsidRPr="00194008" w:rsidRDefault="00C04371" w:rsidP="007E4E0E">
            <w:pPr>
              <w:pStyle w:val="NormalWeb"/>
              <w:shd w:val="clear" w:color="auto" w:fill="FFFFFF"/>
              <w:spacing w:before="0" w:beforeAutospacing="0" w:after="0" w:afterAutospacing="0"/>
              <w:jc w:val="both"/>
              <w:rPr>
                <w:rFonts w:asciiTheme="minorHAnsi" w:hAnsiTheme="minorHAnsi" w:cstheme="minorHAnsi"/>
                <w:lang w:val="en-GB"/>
              </w:rPr>
            </w:pPr>
            <w:r w:rsidRPr="00194008">
              <w:rPr>
                <w:rFonts w:asciiTheme="minorHAnsi" w:hAnsiTheme="minorHAnsi" w:cstheme="minorHAnsi"/>
                <w:lang w:val="en-GB"/>
              </w:rPr>
              <w:t>Accordingly, t</w:t>
            </w:r>
            <w:r w:rsidR="003510AB" w:rsidRPr="00194008">
              <w:rPr>
                <w:rFonts w:asciiTheme="minorHAnsi" w:hAnsiTheme="minorHAnsi" w:cstheme="minorHAnsi"/>
                <w:lang w:val="en-GB"/>
              </w:rPr>
              <w:t>he most urgent step to be taken</w:t>
            </w:r>
            <w:r w:rsidR="004314DE" w:rsidRPr="00194008">
              <w:rPr>
                <w:rFonts w:asciiTheme="minorHAnsi" w:hAnsiTheme="minorHAnsi" w:cstheme="minorHAnsi"/>
                <w:lang w:val="en-GB"/>
              </w:rPr>
              <w:t xml:space="preserve"> in order to achieve development</w:t>
            </w:r>
            <w:r w:rsidR="003510AB" w:rsidRPr="00194008">
              <w:rPr>
                <w:rFonts w:asciiTheme="minorHAnsi" w:hAnsiTheme="minorHAnsi" w:cstheme="minorHAnsi"/>
                <w:lang w:val="en-GB"/>
              </w:rPr>
              <w:t xml:space="preserve"> is to </w:t>
            </w:r>
            <w:r w:rsidR="00576362" w:rsidRPr="00194008">
              <w:rPr>
                <w:rFonts w:asciiTheme="minorHAnsi" w:hAnsiTheme="minorHAnsi" w:cstheme="minorHAnsi"/>
                <w:lang w:val="en-GB"/>
              </w:rPr>
              <w:t xml:space="preserve">prioritize </w:t>
            </w:r>
            <w:r w:rsidR="004314DE" w:rsidRPr="00194008">
              <w:rPr>
                <w:rFonts w:asciiTheme="minorHAnsi" w:hAnsiTheme="minorHAnsi" w:cstheme="minorHAnsi"/>
                <w:lang w:val="en-GB"/>
              </w:rPr>
              <w:t xml:space="preserve">most discriminated </w:t>
            </w:r>
            <w:r w:rsidR="00576362" w:rsidRPr="00194008">
              <w:rPr>
                <w:rFonts w:asciiTheme="minorHAnsi" w:hAnsiTheme="minorHAnsi" w:cstheme="minorHAnsi"/>
                <w:lang w:val="en-GB"/>
              </w:rPr>
              <w:t>communities and</w:t>
            </w:r>
            <w:r w:rsidR="004314DE" w:rsidRPr="00194008">
              <w:rPr>
                <w:rFonts w:asciiTheme="minorHAnsi" w:hAnsiTheme="minorHAnsi" w:cstheme="minorHAnsi"/>
                <w:lang w:val="en-GB"/>
              </w:rPr>
              <w:t xml:space="preserve"> people </w:t>
            </w:r>
            <w:r w:rsidRPr="00194008">
              <w:rPr>
                <w:rFonts w:asciiTheme="minorHAnsi" w:hAnsiTheme="minorHAnsi" w:cstheme="minorHAnsi"/>
                <w:lang w:val="en-GB"/>
              </w:rPr>
              <w:t>in terms of participation.</w:t>
            </w:r>
            <w:r w:rsidR="00E25A14" w:rsidRPr="00194008">
              <w:rPr>
                <w:rFonts w:asciiTheme="minorHAnsi" w:hAnsiTheme="minorHAnsi" w:cstheme="minorHAnsi"/>
                <w:lang w:val="en-GB"/>
              </w:rPr>
              <w:t xml:space="preserve"> </w:t>
            </w:r>
            <w:r w:rsidR="003A49A9" w:rsidRPr="00194008">
              <w:rPr>
                <w:rFonts w:asciiTheme="minorHAnsi" w:hAnsiTheme="minorHAnsi" w:cstheme="minorHAnsi"/>
                <w:lang w:val="en-GB"/>
              </w:rPr>
              <w:t>Thus, when talking about indigenous people and people with disabilities, right to consultation and free prior and informed consent about actions that could compromise their collective right to development becomes a priority to protect that right.</w:t>
            </w:r>
            <w:r w:rsidR="008F7266" w:rsidRPr="00194008">
              <w:rPr>
                <w:rFonts w:asciiTheme="minorHAnsi" w:hAnsiTheme="minorHAnsi" w:cstheme="minorHAnsi"/>
                <w:lang w:val="en-GB"/>
              </w:rPr>
              <w:t xml:space="preserve"> </w:t>
            </w:r>
            <w:r w:rsidR="00576362" w:rsidRPr="00194008">
              <w:rPr>
                <w:rFonts w:asciiTheme="minorHAnsi" w:hAnsiTheme="minorHAnsi" w:cstheme="minorHAnsi"/>
                <w:lang w:val="en-GB"/>
              </w:rPr>
              <w:t>(frth. Art. 17)</w:t>
            </w:r>
          </w:p>
          <w:p w14:paraId="07A75693" w14:textId="77777777" w:rsidR="00C04371" w:rsidRPr="00194008" w:rsidRDefault="00C04371" w:rsidP="007E4E0E">
            <w:pPr>
              <w:pStyle w:val="NormalWeb"/>
              <w:shd w:val="clear" w:color="auto" w:fill="FFFFFF"/>
              <w:spacing w:before="0" w:beforeAutospacing="0" w:after="0" w:afterAutospacing="0"/>
              <w:jc w:val="both"/>
              <w:rPr>
                <w:rFonts w:asciiTheme="minorHAnsi" w:hAnsiTheme="minorHAnsi" w:cstheme="minorHAnsi"/>
                <w:lang w:val="en-GB"/>
              </w:rPr>
            </w:pPr>
          </w:p>
          <w:p w14:paraId="39B10085" w14:textId="0FA9E616" w:rsidR="00650749" w:rsidRPr="00194008" w:rsidRDefault="00C04371" w:rsidP="007E4E0E">
            <w:pPr>
              <w:pStyle w:val="NormalWeb"/>
              <w:shd w:val="clear" w:color="auto" w:fill="FFFFFF"/>
              <w:spacing w:before="0" w:beforeAutospacing="0" w:after="0" w:afterAutospacing="0"/>
              <w:jc w:val="both"/>
              <w:rPr>
                <w:rFonts w:asciiTheme="minorHAnsi" w:hAnsiTheme="minorHAnsi" w:cstheme="minorHAnsi"/>
                <w:lang w:val="en-GB"/>
              </w:rPr>
            </w:pPr>
            <w:r w:rsidRPr="00194008">
              <w:rPr>
                <w:rFonts w:asciiTheme="minorHAnsi" w:hAnsiTheme="minorHAnsi" w:cstheme="minorHAnsi"/>
                <w:lang w:val="en-GB"/>
              </w:rPr>
              <w:t xml:space="preserve">Hence, this aspect of </w:t>
            </w:r>
            <w:r w:rsidR="00576362" w:rsidRPr="00194008">
              <w:rPr>
                <w:rFonts w:asciiTheme="minorHAnsi" w:hAnsiTheme="minorHAnsi" w:cstheme="minorHAnsi"/>
                <w:lang w:val="en-GB"/>
              </w:rPr>
              <w:t>non-discrimination</w:t>
            </w:r>
            <w:r w:rsidRPr="00194008">
              <w:rPr>
                <w:rFonts w:asciiTheme="minorHAnsi" w:hAnsiTheme="minorHAnsi" w:cstheme="minorHAnsi"/>
                <w:lang w:val="en-GB"/>
              </w:rPr>
              <w:t xml:space="preserve"> principle must be clear since it imposes </w:t>
            </w:r>
            <w:r w:rsidR="00576362" w:rsidRPr="00194008">
              <w:rPr>
                <w:rFonts w:asciiTheme="minorHAnsi" w:hAnsiTheme="minorHAnsi" w:cstheme="minorHAnsi"/>
                <w:lang w:val="en-GB"/>
              </w:rPr>
              <w:t>to prioritize</w:t>
            </w:r>
            <w:r w:rsidRPr="00194008">
              <w:rPr>
                <w:rFonts w:asciiTheme="minorHAnsi" w:hAnsiTheme="minorHAnsi" w:cstheme="minorHAnsi"/>
                <w:lang w:val="en-GB"/>
              </w:rPr>
              <w:t xml:space="preserve"> and an obligation for states, as well as progressive realization.</w:t>
            </w:r>
          </w:p>
        </w:tc>
      </w:tr>
      <w:tr w:rsidR="00D113E6" w:rsidRPr="00194008" w14:paraId="3D8468C0" w14:textId="77777777" w:rsidTr="00194008">
        <w:trPr>
          <w:trHeight w:val="3141"/>
        </w:trPr>
        <w:tc>
          <w:tcPr>
            <w:tcW w:w="5670" w:type="dxa"/>
          </w:tcPr>
          <w:p w14:paraId="4E734362" w14:textId="03EC86E1" w:rsidR="00D31865" w:rsidRPr="00194008" w:rsidRDefault="00162470" w:rsidP="007E4E0E">
            <w:pPr>
              <w:jc w:val="both"/>
              <w:rPr>
                <w:rFonts w:cstheme="minorHAnsi"/>
                <w:b/>
                <w:sz w:val="24"/>
                <w:szCs w:val="24"/>
                <w:lang w:val="en-GB"/>
              </w:rPr>
            </w:pPr>
            <w:r w:rsidRPr="00194008">
              <w:rPr>
                <w:rFonts w:cstheme="minorHAnsi"/>
                <w:b/>
                <w:sz w:val="24"/>
                <w:szCs w:val="24"/>
                <w:lang w:val="en-GB"/>
              </w:rPr>
              <w:lastRenderedPageBreak/>
              <w:t>Article 6 – Relationship with other human rights</w:t>
            </w:r>
          </w:p>
          <w:p w14:paraId="36ECD4AD" w14:textId="23FF11A6" w:rsidR="00D31865" w:rsidRPr="00194008" w:rsidRDefault="00162470" w:rsidP="007E4E0E">
            <w:pPr>
              <w:jc w:val="both"/>
              <w:rPr>
                <w:rFonts w:cstheme="minorHAnsi"/>
                <w:sz w:val="24"/>
                <w:szCs w:val="24"/>
                <w:lang w:val="en-GB"/>
              </w:rPr>
            </w:pPr>
            <w:r w:rsidRPr="00194008">
              <w:rPr>
                <w:rFonts w:cstheme="minorHAnsi"/>
                <w:sz w:val="24"/>
                <w:szCs w:val="24"/>
                <w:lang w:val="en-GB"/>
              </w:rPr>
              <w:t>1. States Parties reaffirm that all human rights, including the right to development, are universal, interrelated, interdependent, indivisible and equally important.</w:t>
            </w:r>
          </w:p>
          <w:p w14:paraId="36A7D507" w14:textId="54B2EE2D" w:rsidR="00162470" w:rsidRPr="00194008" w:rsidRDefault="00162470" w:rsidP="007E4E0E">
            <w:pPr>
              <w:jc w:val="both"/>
              <w:rPr>
                <w:rFonts w:cstheme="minorHAnsi"/>
                <w:b/>
                <w:sz w:val="24"/>
                <w:szCs w:val="24"/>
                <w:lang w:val="en-GB"/>
              </w:rPr>
            </w:pPr>
            <w:r w:rsidRPr="00194008">
              <w:rPr>
                <w:rFonts w:cstheme="minorHAnsi"/>
                <w:sz w:val="24"/>
                <w:szCs w:val="24"/>
                <w:lang w:val="en-GB"/>
              </w:rPr>
              <w:t xml:space="preserve">2. States Parties agree that the right to development is an integral part of human rights and should be realized in conformity with the full range of civil, cultural, economic, </w:t>
            </w:r>
            <w:r w:rsidR="000E0483" w:rsidRPr="00194008">
              <w:rPr>
                <w:rFonts w:cstheme="minorHAnsi"/>
                <w:sz w:val="24"/>
                <w:szCs w:val="24"/>
                <w:lang w:val="en-GB"/>
              </w:rPr>
              <w:t>political,</w:t>
            </w:r>
            <w:r w:rsidRPr="00194008">
              <w:rPr>
                <w:rFonts w:cstheme="minorHAnsi"/>
                <w:sz w:val="24"/>
                <w:szCs w:val="24"/>
                <w:lang w:val="en-GB"/>
              </w:rPr>
              <w:t xml:space="preserve"> and social rights.</w:t>
            </w:r>
          </w:p>
        </w:tc>
        <w:tc>
          <w:tcPr>
            <w:tcW w:w="7938" w:type="dxa"/>
          </w:tcPr>
          <w:p w14:paraId="5FA441C3" w14:textId="77777777" w:rsidR="00162470" w:rsidRPr="00194008" w:rsidRDefault="00D31865" w:rsidP="007E4E0E">
            <w:pPr>
              <w:pStyle w:val="NormalWeb"/>
              <w:numPr>
                <w:ilvl w:val="0"/>
                <w:numId w:val="3"/>
              </w:numPr>
              <w:shd w:val="clear" w:color="auto" w:fill="FFFFFF"/>
              <w:spacing w:before="0" w:beforeAutospacing="0" w:after="0" w:afterAutospacing="0"/>
              <w:jc w:val="both"/>
              <w:rPr>
                <w:rFonts w:asciiTheme="minorHAnsi" w:hAnsiTheme="minorHAnsi" w:cstheme="minorHAnsi"/>
                <w:lang w:val="en-GB"/>
              </w:rPr>
            </w:pPr>
            <w:r w:rsidRPr="00194008">
              <w:rPr>
                <w:rFonts w:asciiTheme="minorHAnsi" w:hAnsiTheme="minorHAnsi" w:cstheme="minorHAnsi"/>
                <w:lang w:val="en-GB"/>
              </w:rPr>
              <w:t>Progressive realization as a queue relationship with other human rights.</w:t>
            </w:r>
          </w:p>
          <w:p w14:paraId="3B7BB5F9" w14:textId="77777777" w:rsidR="00D31865" w:rsidRPr="00194008" w:rsidRDefault="00D31865" w:rsidP="007E4E0E">
            <w:pPr>
              <w:pStyle w:val="NormalWeb"/>
              <w:shd w:val="clear" w:color="auto" w:fill="FFFFFF"/>
              <w:spacing w:before="0" w:beforeAutospacing="0" w:after="0" w:afterAutospacing="0"/>
              <w:jc w:val="both"/>
              <w:rPr>
                <w:rFonts w:asciiTheme="minorHAnsi" w:hAnsiTheme="minorHAnsi" w:cstheme="minorHAnsi"/>
                <w:lang w:val="en-GB"/>
              </w:rPr>
            </w:pPr>
          </w:p>
          <w:p w14:paraId="1400ED06" w14:textId="0B54D1B8" w:rsidR="00D31865" w:rsidRPr="00194008" w:rsidRDefault="00D31865" w:rsidP="007E4E0E">
            <w:pPr>
              <w:pStyle w:val="NormalWeb"/>
              <w:shd w:val="clear" w:color="auto" w:fill="FFFFFF"/>
              <w:spacing w:before="0" w:beforeAutospacing="0" w:after="0" w:afterAutospacing="0"/>
              <w:jc w:val="both"/>
              <w:rPr>
                <w:rFonts w:asciiTheme="minorHAnsi" w:hAnsiTheme="minorHAnsi" w:cstheme="minorHAnsi"/>
                <w:lang w:val="en-GB"/>
              </w:rPr>
            </w:pPr>
            <w:r w:rsidRPr="00194008">
              <w:rPr>
                <w:rFonts w:asciiTheme="minorHAnsi" w:hAnsiTheme="minorHAnsi" w:cstheme="minorHAnsi"/>
                <w:lang w:val="en-GB"/>
              </w:rPr>
              <w:t xml:space="preserve">In order to achieve development, human rights satisfaction must </w:t>
            </w:r>
            <w:r w:rsidR="00576362" w:rsidRPr="00194008">
              <w:rPr>
                <w:rFonts w:asciiTheme="minorHAnsi" w:hAnsiTheme="minorHAnsi" w:cstheme="minorHAnsi"/>
                <w:lang w:val="en-GB"/>
              </w:rPr>
              <w:t>guarantee</w:t>
            </w:r>
            <w:r w:rsidRPr="00194008">
              <w:rPr>
                <w:rFonts w:asciiTheme="minorHAnsi" w:hAnsiTheme="minorHAnsi" w:cstheme="minorHAnsi"/>
                <w:lang w:val="en-GB"/>
              </w:rPr>
              <w:t xml:space="preserve"> no regression. Also, development is a notion in time that looks forward general and individual wellbeing. Hence, there are specific obligations for States t</w:t>
            </w:r>
            <w:r w:rsidR="001F37EB" w:rsidRPr="00194008">
              <w:rPr>
                <w:rFonts w:asciiTheme="minorHAnsi" w:hAnsiTheme="minorHAnsi" w:cstheme="minorHAnsi"/>
                <w:lang w:val="en-GB"/>
              </w:rPr>
              <w:t>hat</w:t>
            </w:r>
            <w:r w:rsidRPr="00194008">
              <w:rPr>
                <w:rFonts w:asciiTheme="minorHAnsi" w:hAnsiTheme="minorHAnsi" w:cstheme="minorHAnsi"/>
                <w:lang w:val="en-GB"/>
              </w:rPr>
              <w:t xml:space="preserve"> have to be accomplished in </w:t>
            </w:r>
            <w:r w:rsidR="001F37EB" w:rsidRPr="00194008">
              <w:rPr>
                <w:rFonts w:asciiTheme="minorHAnsi" w:hAnsiTheme="minorHAnsi" w:cstheme="minorHAnsi"/>
                <w:lang w:val="en-GB"/>
              </w:rPr>
              <w:t>to achieve human rights mainstreaming.</w:t>
            </w:r>
          </w:p>
          <w:p w14:paraId="0291B150" w14:textId="77777777" w:rsidR="00576362" w:rsidRPr="00194008" w:rsidRDefault="00576362" w:rsidP="007E4E0E">
            <w:pPr>
              <w:pStyle w:val="NormalWeb"/>
              <w:shd w:val="clear" w:color="auto" w:fill="FFFFFF"/>
              <w:spacing w:before="0" w:beforeAutospacing="0" w:after="0" w:afterAutospacing="0"/>
              <w:jc w:val="both"/>
              <w:rPr>
                <w:rFonts w:asciiTheme="minorHAnsi" w:hAnsiTheme="minorHAnsi" w:cstheme="minorHAnsi"/>
                <w:lang w:val="en-GB"/>
              </w:rPr>
            </w:pPr>
          </w:p>
          <w:p w14:paraId="2A4BEB08" w14:textId="7052AA0C" w:rsidR="00576362" w:rsidRPr="00194008" w:rsidRDefault="00576362" w:rsidP="007E4E0E">
            <w:pPr>
              <w:pStyle w:val="NormalWeb"/>
              <w:shd w:val="clear" w:color="auto" w:fill="FFFFFF"/>
              <w:spacing w:before="0" w:beforeAutospacing="0" w:after="0" w:afterAutospacing="0"/>
              <w:jc w:val="both"/>
              <w:rPr>
                <w:rFonts w:asciiTheme="minorHAnsi" w:hAnsiTheme="minorHAnsi" w:cstheme="minorHAnsi"/>
                <w:lang w:val="en-GB"/>
              </w:rPr>
            </w:pPr>
            <w:r w:rsidRPr="00194008">
              <w:rPr>
                <w:rFonts w:asciiTheme="minorHAnsi" w:hAnsiTheme="minorHAnsi" w:cstheme="minorHAnsi"/>
                <w:lang w:val="en-GB"/>
              </w:rPr>
              <w:t>Also, explicit relationship should be stablished between other Conventions</w:t>
            </w:r>
          </w:p>
        </w:tc>
      </w:tr>
      <w:tr w:rsidR="00D113E6" w:rsidRPr="00194008" w14:paraId="559CADFA" w14:textId="77777777" w:rsidTr="00194008">
        <w:trPr>
          <w:trHeight w:val="3236"/>
        </w:trPr>
        <w:tc>
          <w:tcPr>
            <w:tcW w:w="5670" w:type="dxa"/>
          </w:tcPr>
          <w:p w14:paraId="1BB36C3D" w14:textId="77777777" w:rsidR="00752A19" w:rsidRPr="00194008" w:rsidRDefault="00752A19" w:rsidP="007E4E0E">
            <w:pPr>
              <w:jc w:val="both"/>
              <w:rPr>
                <w:rFonts w:cstheme="minorHAnsi"/>
                <w:sz w:val="24"/>
                <w:szCs w:val="24"/>
                <w:lang w:val="en-GB"/>
              </w:rPr>
            </w:pPr>
            <w:r w:rsidRPr="00194008">
              <w:rPr>
                <w:rFonts w:cstheme="minorHAnsi"/>
                <w:sz w:val="24"/>
                <w:szCs w:val="24"/>
                <w:lang w:val="en-GB"/>
              </w:rPr>
              <w:t xml:space="preserve">Article 15 – Special or remedial measures 1. States Parties recognize that certain human persons, groups and peoples, owing to their age, disability, marginalization, vulnerability, indigeneity or minority status, may A/HRC/WG.2/21/2 11 require special or remedial measures to accelerate or achieve de facto equality in their enjoyment of the right to development. 2. States Parties recognize that developing and vulnerable States, owing to historical injustices, conflicts, environmental hazards, climate change or other disadvantages, including of an economic, technical or infrastructural nature, may require special or remedial measures through mutually agreed international legal instruments, policies and practices for ensuring equal enjoyment of the right to development by all human persons and peoples. Such measures may, as appropriate, include: (a) Recognition </w:t>
            </w:r>
            <w:r w:rsidRPr="00194008">
              <w:rPr>
                <w:rFonts w:cstheme="minorHAnsi"/>
                <w:sz w:val="24"/>
                <w:szCs w:val="24"/>
                <w:lang w:val="en-GB"/>
              </w:rPr>
              <w:lastRenderedPageBreak/>
              <w:t>of common but differentiated responsibilities, taking into account different national circumstances; (b) The provision of special and differential treatment; (c) Preferential terms on trade, investment and finance; (d) The creation of special funds or facilitation mechanisms; (e) The facilitation and mobilization of financial, technical, technological, infrastructural, capacity-building or other assistance; (f) Other mutually agreed measures consistent with the provisions of the present Convention.</w:t>
            </w:r>
          </w:p>
        </w:tc>
        <w:tc>
          <w:tcPr>
            <w:tcW w:w="7938" w:type="dxa"/>
          </w:tcPr>
          <w:p w14:paraId="4D4C1582" w14:textId="77777777" w:rsidR="00752A19" w:rsidRPr="00194008" w:rsidRDefault="00752A19" w:rsidP="007E4E0E">
            <w:pPr>
              <w:pStyle w:val="NormalWeb"/>
              <w:numPr>
                <w:ilvl w:val="0"/>
                <w:numId w:val="3"/>
              </w:numPr>
              <w:shd w:val="clear" w:color="auto" w:fill="FFFFFF"/>
              <w:spacing w:before="0" w:beforeAutospacing="0" w:after="0" w:afterAutospacing="0"/>
              <w:jc w:val="both"/>
              <w:rPr>
                <w:rFonts w:asciiTheme="minorHAnsi" w:hAnsiTheme="minorHAnsi" w:cstheme="minorHAnsi"/>
                <w:lang w:val="en-GB"/>
              </w:rPr>
            </w:pPr>
            <w:r w:rsidRPr="00194008">
              <w:rPr>
                <w:rFonts w:asciiTheme="minorHAnsi" w:hAnsiTheme="minorHAnsi" w:cstheme="minorHAnsi"/>
                <w:lang w:val="en-GB"/>
              </w:rPr>
              <w:lastRenderedPageBreak/>
              <w:t>Misuse of terms.</w:t>
            </w:r>
          </w:p>
          <w:p w14:paraId="7AE202A6" w14:textId="77777777" w:rsidR="00752A19" w:rsidRPr="00194008" w:rsidRDefault="00752A19" w:rsidP="007E4E0E">
            <w:pPr>
              <w:pStyle w:val="NormalWeb"/>
              <w:shd w:val="clear" w:color="auto" w:fill="FFFFFF"/>
              <w:spacing w:before="0" w:beforeAutospacing="0" w:after="0" w:afterAutospacing="0"/>
              <w:jc w:val="both"/>
              <w:rPr>
                <w:rFonts w:asciiTheme="minorHAnsi" w:hAnsiTheme="minorHAnsi" w:cstheme="minorHAnsi"/>
                <w:lang w:val="en-GB"/>
              </w:rPr>
            </w:pPr>
          </w:p>
          <w:p w14:paraId="4B8CA61F" w14:textId="4FFE2D1A" w:rsidR="00752A19" w:rsidRPr="00194008" w:rsidRDefault="00752A19" w:rsidP="007E4E0E">
            <w:pPr>
              <w:pStyle w:val="NormalWeb"/>
              <w:shd w:val="clear" w:color="auto" w:fill="FFFFFF"/>
              <w:spacing w:before="0" w:beforeAutospacing="0" w:after="0" w:afterAutospacing="0"/>
              <w:jc w:val="both"/>
              <w:rPr>
                <w:rFonts w:asciiTheme="minorHAnsi" w:hAnsiTheme="minorHAnsi" w:cstheme="minorHAnsi"/>
                <w:lang w:val="en-GB"/>
              </w:rPr>
            </w:pPr>
            <w:r w:rsidRPr="00194008">
              <w:rPr>
                <w:rFonts w:asciiTheme="minorHAnsi" w:hAnsiTheme="minorHAnsi" w:cstheme="minorHAnsi"/>
                <w:lang w:val="en-GB"/>
              </w:rPr>
              <w:t xml:space="preserve">Much has been told and stated about the use of terms such as vulnerability and indigeneity to identify persons and </w:t>
            </w:r>
            <w:r w:rsidR="00576362" w:rsidRPr="00194008">
              <w:rPr>
                <w:rFonts w:asciiTheme="minorHAnsi" w:hAnsiTheme="minorHAnsi" w:cstheme="minorHAnsi"/>
                <w:lang w:val="en-GB"/>
              </w:rPr>
              <w:t>groups</w:t>
            </w:r>
            <w:r w:rsidRPr="00194008">
              <w:rPr>
                <w:rFonts w:asciiTheme="minorHAnsi" w:hAnsiTheme="minorHAnsi" w:cstheme="minorHAnsi"/>
                <w:lang w:val="en-GB"/>
              </w:rPr>
              <w:t xml:space="preserve"> of them that have to be put first when enforcing human rights obligations.</w:t>
            </w:r>
          </w:p>
          <w:p w14:paraId="6DCDCB00" w14:textId="77777777" w:rsidR="00752A19" w:rsidRPr="00194008" w:rsidRDefault="00752A19" w:rsidP="007E4E0E">
            <w:pPr>
              <w:pStyle w:val="NormalWeb"/>
              <w:shd w:val="clear" w:color="auto" w:fill="FFFFFF"/>
              <w:spacing w:before="0" w:beforeAutospacing="0" w:after="0" w:afterAutospacing="0"/>
              <w:jc w:val="both"/>
              <w:rPr>
                <w:rFonts w:asciiTheme="minorHAnsi" w:hAnsiTheme="minorHAnsi" w:cstheme="minorHAnsi"/>
                <w:lang w:val="en-GB"/>
              </w:rPr>
            </w:pPr>
          </w:p>
          <w:p w14:paraId="0AF1B3BE" w14:textId="77777777" w:rsidR="00752A19" w:rsidRPr="00194008" w:rsidRDefault="00752A19" w:rsidP="007E4E0E">
            <w:pPr>
              <w:pStyle w:val="NormalWeb"/>
              <w:shd w:val="clear" w:color="auto" w:fill="FFFFFF"/>
              <w:spacing w:before="0" w:beforeAutospacing="0" w:after="0" w:afterAutospacing="0"/>
              <w:jc w:val="both"/>
              <w:rPr>
                <w:rFonts w:asciiTheme="minorHAnsi" w:hAnsiTheme="minorHAnsi" w:cstheme="minorHAnsi"/>
                <w:lang w:val="en-GB"/>
              </w:rPr>
            </w:pPr>
            <w:r w:rsidRPr="00194008">
              <w:rPr>
                <w:rFonts w:asciiTheme="minorHAnsi" w:hAnsiTheme="minorHAnsi" w:cstheme="minorHAnsi"/>
                <w:lang w:val="en-GB"/>
              </w:rPr>
              <w:t xml:space="preserve">Therefore, these terms should not be used since they could lead to confusion about the cause of the vulnerability and indigeneity and the link between </w:t>
            </w:r>
            <w:r w:rsidR="00576362" w:rsidRPr="00194008">
              <w:rPr>
                <w:rFonts w:asciiTheme="minorHAnsi" w:hAnsiTheme="minorHAnsi" w:cstheme="minorHAnsi"/>
                <w:lang w:val="en-GB"/>
              </w:rPr>
              <w:t>the</w:t>
            </w:r>
            <w:r w:rsidRPr="00194008">
              <w:rPr>
                <w:rFonts w:asciiTheme="minorHAnsi" w:hAnsiTheme="minorHAnsi" w:cstheme="minorHAnsi"/>
                <w:lang w:val="en-GB"/>
              </w:rPr>
              <w:t xml:space="preserve"> cause and states obligations toward equality.</w:t>
            </w:r>
          </w:p>
          <w:p w14:paraId="7589337F" w14:textId="77777777" w:rsidR="00752A19" w:rsidRPr="00194008" w:rsidRDefault="00752A19" w:rsidP="007E4E0E">
            <w:pPr>
              <w:pStyle w:val="NormalWeb"/>
              <w:shd w:val="clear" w:color="auto" w:fill="FFFFFF"/>
              <w:spacing w:before="0" w:beforeAutospacing="0" w:after="0" w:afterAutospacing="0"/>
              <w:jc w:val="both"/>
              <w:rPr>
                <w:rFonts w:asciiTheme="minorHAnsi" w:hAnsiTheme="minorHAnsi" w:cstheme="minorHAnsi"/>
                <w:lang w:val="en-GB"/>
              </w:rPr>
            </w:pPr>
          </w:p>
          <w:p w14:paraId="2B89872C" w14:textId="77777777" w:rsidR="00951984" w:rsidRPr="00194008" w:rsidRDefault="00576362" w:rsidP="007E4E0E">
            <w:pPr>
              <w:pStyle w:val="NormalWeb"/>
              <w:shd w:val="clear" w:color="auto" w:fill="FFFFFF"/>
              <w:spacing w:before="0" w:beforeAutospacing="0" w:after="0" w:afterAutospacing="0"/>
              <w:jc w:val="both"/>
              <w:rPr>
                <w:rFonts w:asciiTheme="minorHAnsi" w:hAnsiTheme="minorHAnsi" w:cstheme="minorHAnsi"/>
                <w:lang w:val="en-GB"/>
              </w:rPr>
            </w:pPr>
            <w:r w:rsidRPr="00194008">
              <w:rPr>
                <w:rFonts w:asciiTheme="minorHAnsi" w:hAnsiTheme="minorHAnsi" w:cstheme="minorHAnsi"/>
                <w:lang w:val="en-GB"/>
              </w:rPr>
              <w:t>Accordingly,</w:t>
            </w:r>
            <w:r w:rsidR="00752A19" w:rsidRPr="00194008">
              <w:rPr>
                <w:rFonts w:asciiTheme="minorHAnsi" w:hAnsiTheme="minorHAnsi" w:cstheme="minorHAnsi"/>
                <w:lang w:val="en-GB"/>
              </w:rPr>
              <w:t xml:space="preserve"> other words should be used so that it could make sense with concepts such as </w:t>
            </w:r>
            <w:r w:rsidR="00951984" w:rsidRPr="00194008">
              <w:rPr>
                <w:rFonts w:asciiTheme="minorHAnsi" w:hAnsiTheme="minorHAnsi" w:cstheme="minorHAnsi"/>
                <w:lang w:val="en-GB"/>
              </w:rPr>
              <w:t>special or remedial measures from a human rights perspective.</w:t>
            </w:r>
          </w:p>
          <w:p w14:paraId="56137C86" w14:textId="77777777" w:rsidR="00951984" w:rsidRPr="00194008" w:rsidRDefault="00951984" w:rsidP="007E4E0E">
            <w:pPr>
              <w:pStyle w:val="NormalWeb"/>
              <w:shd w:val="clear" w:color="auto" w:fill="FFFFFF"/>
              <w:spacing w:before="0" w:beforeAutospacing="0" w:after="0" w:afterAutospacing="0"/>
              <w:jc w:val="both"/>
              <w:rPr>
                <w:rFonts w:asciiTheme="minorHAnsi" w:hAnsiTheme="minorHAnsi" w:cstheme="minorHAnsi"/>
                <w:lang w:val="en-GB"/>
              </w:rPr>
            </w:pPr>
          </w:p>
          <w:p w14:paraId="449CFCD7" w14:textId="77777777" w:rsidR="00752A19" w:rsidRPr="00194008" w:rsidRDefault="00951984" w:rsidP="007E4E0E">
            <w:pPr>
              <w:pStyle w:val="NormalWeb"/>
              <w:shd w:val="clear" w:color="auto" w:fill="FFFFFF"/>
              <w:spacing w:before="0" w:beforeAutospacing="0" w:after="0" w:afterAutospacing="0"/>
              <w:jc w:val="both"/>
              <w:rPr>
                <w:rFonts w:asciiTheme="minorHAnsi" w:hAnsiTheme="minorHAnsi" w:cstheme="minorHAnsi"/>
                <w:lang w:val="en-GB"/>
              </w:rPr>
            </w:pPr>
            <w:r w:rsidRPr="00194008">
              <w:rPr>
                <w:rFonts w:asciiTheme="minorHAnsi" w:hAnsiTheme="minorHAnsi" w:cstheme="minorHAnsi"/>
                <w:lang w:val="en-GB"/>
              </w:rPr>
              <w:t xml:space="preserve">This </w:t>
            </w:r>
            <w:r w:rsidR="00576362" w:rsidRPr="00194008">
              <w:rPr>
                <w:rFonts w:asciiTheme="minorHAnsi" w:hAnsiTheme="minorHAnsi" w:cstheme="minorHAnsi"/>
                <w:lang w:val="en-GB"/>
              </w:rPr>
              <w:t>should</w:t>
            </w:r>
            <w:r w:rsidRPr="00194008">
              <w:rPr>
                <w:rFonts w:asciiTheme="minorHAnsi" w:hAnsiTheme="minorHAnsi" w:cstheme="minorHAnsi"/>
                <w:lang w:val="en-GB"/>
              </w:rPr>
              <w:t xml:space="preserve"> also be </w:t>
            </w:r>
            <w:r w:rsidR="00576362" w:rsidRPr="00194008">
              <w:rPr>
                <w:rFonts w:asciiTheme="minorHAnsi" w:hAnsiTheme="minorHAnsi" w:cstheme="minorHAnsi"/>
                <w:lang w:val="en-GB"/>
              </w:rPr>
              <w:t>considered</w:t>
            </w:r>
            <w:r w:rsidRPr="00194008">
              <w:rPr>
                <w:rFonts w:asciiTheme="minorHAnsi" w:hAnsiTheme="minorHAnsi" w:cstheme="minorHAnsi"/>
                <w:lang w:val="en-GB"/>
              </w:rPr>
              <w:t xml:space="preserve"> when translating the text.</w:t>
            </w:r>
          </w:p>
        </w:tc>
      </w:tr>
      <w:tr w:rsidR="00D113E6" w:rsidRPr="00194008" w14:paraId="25E26CCC" w14:textId="77777777" w:rsidTr="00194008">
        <w:trPr>
          <w:trHeight w:val="596"/>
        </w:trPr>
        <w:tc>
          <w:tcPr>
            <w:tcW w:w="13608" w:type="dxa"/>
            <w:gridSpan w:val="2"/>
          </w:tcPr>
          <w:p w14:paraId="76CB42E8" w14:textId="77777777" w:rsidR="00576362" w:rsidRPr="00194008" w:rsidRDefault="00576362" w:rsidP="007E4E0E">
            <w:pPr>
              <w:pStyle w:val="NormalWeb"/>
              <w:shd w:val="clear" w:color="auto" w:fill="FFFFFF"/>
              <w:spacing w:before="0" w:beforeAutospacing="0" w:after="0" w:afterAutospacing="0"/>
              <w:jc w:val="both"/>
              <w:rPr>
                <w:rFonts w:asciiTheme="minorHAnsi" w:hAnsiTheme="minorHAnsi" w:cstheme="minorHAnsi"/>
                <w:b/>
                <w:lang w:val="en-GB"/>
              </w:rPr>
            </w:pPr>
            <w:r w:rsidRPr="00194008">
              <w:rPr>
                <w:rFonts w:asciiTheme="minorHAnsi" w:hAnsiTheme="minorHAnsi" w:cstheme="minorHAnsi"/>
                <w:b/>
                <w:lang w:val="en-GB"/>
              </w:rPr>
              <w:t>General Comment</w:t>
            </w:r>
          </w:p>
          <w:p w14:paraId="6ED2BE7B" w14:textId="77777777" w:rsidR="00576362" w:rsidRPr="00194008" w:rsidRDefault="00576362" w:rsidP="007E4E0E">
            <w:pPr>
              <w:pStyle w:val="NormalWeb"/>
              <w:shd w:val="clear" w:color="auto" w:fill="FFFFFF"/>
              <w:spacing w:before="0" w:beforeAutospacing="0" w:after="0" w:afterAutospacing="0"/>
              <w:jc w:val="both"/>
              <w:rPr>
                <w:rFonts w:asciiTheme="minorHAnsi" w:hAnsiTheme="minorHAnsi" w:cstheme="minorHAnsi"/>
                <w:lang w:val="en-GB"/>
              </w:rPr>
            </w:pPr>
            <w:r w:rsidRPr="00194008">
              <w:rPr>
                <w:rFonts w:asciiTheme="minorHAnsi" w:hAnsiTheme="minorHAnsi" w:cstheme="minorHAnsi"/>
                <w:lang w:val="en-GB"/>
              </w:rPr>
              <w:t>One article about people with disabilities should be added in order to guarantee right to consultation.</w:t>
            </w:r>
          </w:p>
        </w:tc>
      </w:tr>
    </w:tbl>
    <w:p w14:paraId="7A74882D" w14:textId="77777777" w:rsidR="002D20B4" w:rsidRPr="00194008" w:rsidRDefault="00457982" w:rsidP="007E4E0E">
      <w:pPr>
        <w:jc w:val="both"/>
        <w:rPr>
          <w:rFonts w:cstheme="minorHAnsi"/>
          <w:sz w:val="24"/>
          <w:szCs w:val="24"/>
          <w:lang w:val="en-US"/>
        </w:rPr>
      </w:pPr>
    </w:p>
    <w:sectPr w:rsidR="002D20B4" w:rsidRPr="00194008" w:rsidSect="00576362">
      <w:headerReference w:type="default" r:id="rId8"/>
      <w:footerReference w:type="default" r:id="rId9"/>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B3DBF" w14:textId="77777777" w:rsidR="00E37930" w:rsidRDefault="00E37930" w:rsidP="00864A55">
      <w:pPr>
        <w:spacing w:after="0" w:line="240" w:lineRule="auto"/>
      </w:pPr>
      <w:r>
        <w:separator/>
      </w:r>
    </w:p>
  </w:endnote>
  <w:endnote w:type="continuationSeparator" w:id="0">
    <w:p w14:paraId="2B72E99F" w14:textId="77777777" w:rsidR="00E37930" w:rsidRDefault="00E37930" w:rsidP="00864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4871347"/>
      <w:docPartObj>
        <w:docPartGallery w:val="Page Numbers (Bottom of Page)"/>
        <w:docPartUnique/>
      </w:docPartObj>
    </w:sdtPr>
    <w:sdtEndPr/>
    <w:sdtContent>
      <w:p w14:paraId="37926598" w14:textId="4CE75633" w:rsidR="00576362" w:rsidRDefault="00576362">
        <w:pPr>
          <w:pStyle w:val="Footer"/>
          <w:jc w:val="center"/>
        </w:pPr>
        <w:r>
          <w:fldChar w:fldCharType="begin"/>
        </w:r>
        <w:r>
          <w:instrText>PAGE   \* MERGEFORMAT</w:instrText>
        </w:r>
        <w:r>
          <w:fldChar w:fldCharType="separate"/>
        </w:r>
        <w:r w:rsidR="00457982" w:rsidRPr="00457982">
          <w:rPr>
            <w:noProof/>
            <w:lang w:val="es-ES"/>
          </w:rPr>
          <w:t>1</w:t>
        </w:r>
        <w:r>
          <w:fldChar w:fldCharType="end"/>
        </w:r>
      </w:p>
    </w:sdtContent>
  </w:sdt>
  <w:p w14:paraId="065053C9" w14:textId="77777777" w:rsidR="00576362" w:rsidRDefault="005763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E8FAC" w14:textId="77777777" w:rsidR="00E37930" w:rsidRDefault="00E37930" w:rsidP="00864A55">
      <w:pPr>
        <w:spacing w:after="0" w:line="240" w:lineRule="auto"/>
      </w:pPr>
      <w:r>
        <w:separator/>
      </w:r>
    </w:p>
  </w:footnote>
  <w:footnote w:type="continuationSeparator" w:id="0">
    <w:p w14:paraId="2C4314BA" w14:textId="77777777" w:rsidR="00E37930" w:rsidRDefault="00E37930" w:rsidP="00864A55">
      <w:pPr>
        <w:spacing w:after="0" w:line="240" w:lineRule="auto"/>
      </w:pPr>
      <w:r>
        <w:continuationSeparator/>
      </w:r>
    </w:p>
  </w:footnote>
  <w:footnote w:id="1">
    <w:p w14:paraId="5812C28E" w14:textId="77777777" w:rsidR="00864A55" w:rsidRPr="00370F87" w:rsidRDefault="00864A55" w:rsidP="00864A55">
      <w:pPr>
        <w:spacing w:before="120" w:after="0"/>
        <w:contextualSpacing/>
        <w:rPr>
          <w:rFonts w:cstheme="minorHAnsi"/>
          <w:sz w:val="20"/>
          <w:szCs w:val="20"/>
          <w:lang w:val="en-US" w:eastAsia="en-GB"/>
        </w:rPr>
      </w:pPr>
      <w:r w:rsidRPr="00864A55">
        <w:rPr>
          <w:rStyle w:val="FootnoteReference"/>
          <w:rFonts w:cstheme="minorHAnsi"/>
          <w:b/>
          <w:sz w:val="20"/>
          <w:szCs w:val="20"/>
        </w:rPr>
        <w:footnoteRef/>
      </w:r>
      <w:r w:rsidRPr="00370F87">
        <w:rPr>
          <w:rFonts w:cstheme="minorHAnsi"/>
          <w:b/>
          <w:sz w:val="20"/>
          <w:szCs w:val="20"/>
          <w:lang w:val="en-US"/>
        </w:rPr>
        <w:t xml:space="preserve"> </w:t>
      </w:r>
      <w:r w:rsidRPr="00370F87">
        <w:rPr>
          <w:rFonts w:cstheme="minorHAnsi"/>
          <w:sz w:val="20"/>
          <w:szCs w:val="20"/>
          <w:lang w:val="en-US"/>
        </w:rPr>
        <w:t xml:space="preserve">Role of local government in the promotion and protection of human rights – Final report of the Human Rights Council Advisory Committee, 7 August 2015, </w:t>
      </w:r>
      <w:r w:rsidRPr="00370F87">
        <w:rPr>
          <w:rFonts w:cstheme="minorHAnsi"/>
          <w:sz w:val="20"/>
          <w:szCs w:val="20"/>
          <w:lang w:val="en-US" w:eastAsia="en-GB"/>
        </w:rPr>
        <w:t>Human Rights Council</w:t>
      </w:r>
    </w:p>
    <w:p w14:paraId="62BEAF6E" w14:textId="77777777" w:rsidR="00864A55" w:rsidRPr="00864A55" w:rsidRDefault="00864A55" w:rsidP="00864A55">
      <w:pPr>
        <w:autoSpaceDE w:val="0"/>
        <w:autoSpaceDN w:val="0"/>
        <w:adjustRightInd w:val="0"/>
        <w:spacing w:after="0"/>
        <w:contextualSpacing/>
        <w:rPr>
          <w:rFonts w:cstheme="minorHAnsi"/>
          <w:color w:val="000000"/>
          <w:sz w:val="20"/>
          <w:szCs w:val="20"/>
        </w:rPr>
      </w:pPr>
      <w:r w:rsidRPr="00864A55">
        <w:rPr>
          <w:rFonts w:cstheme="minorHAnsi"/>
          <w:bCs/>
          <w:color w:val="000000"/>
          <w:sz w:val="20"/>
          <w:szCs w:val="20"/>
          <w:lang w:eastAsia="en-GB"/>
        </w:rPr>
        <w:t>Thirtieth</w:t>
      </w:r>
      <w:r w:rsidRPr="00864A55">
        <w:rPr>
          <w:rFonts w:cstheme="minorHAnsi"/>
          <w:color w:val="000000"/>
          <w:sz w:val="20"/>
          <w:szCs w:val="20"/>
        </w:rPr>
        <w:t xml:space="preserve"> </w:t>
      </w:r>
      <w:r>
        <w:rPr>
          <w:rFonts w:cstheme="minorHAnsi"/>
          <w:color w:val="000000"/>
          <w:sz w:val="20"/>
          <w:szCs w:val="20"/>
        </w:rPr>
        <w:t xml:space="preserve">sesión, </w:t>
      </w:r>
    </w:p>
    <w:p w14:paraId="485CF3BD" w14:textId="77777777" w:rsidR="00864A55" w:rsidRPr="00864A55" w:rsidRDefault="00864A55" w:rsidP="00864A55">
      <w:pPr>
        <w:pStyle w:val="HMG"/>
        <w:spacing w:before="0" w:after="0" w:line="240" w:lineRule="auto"/>
        <w:ind w:right="0"/>
        <w:contextualSpacing/>
        <w:mirrorIndents/>
        <w:jc w:val="both"/>
        <w:rPr>
          <w:rFonts w:asciiTheme="minorHAnsi" w:hAnsiTheme="minorHAnsi" w:cstheme="minorHAnsi"/>
          <w:b w:val="0"/>
          <w:sz w:val="20"/>
        </w:rPr>
      </w:pPr>
    </w:p>
    <w:p w14:paraId="30FF7F44" w14:textId="77777777" w:rsidR="00864A55" w:rsidRDefault="00864A5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633D4" w14:textId="0E20F74E" w:rsidR="00370F87" w:rsidRDefault="00370F87" w:rsidP="007E4E0E">
    <w:pPr>
      <w:pStyle w:val="Header"/>
      <w:jc w:val="right"/>
    </w:pPr>
    <w:r>
      <w:rPr>
        <w:noProof/>
        <w:lang w:val="en-GB" w:eastAsia="en-GB"/>
      </w:rPr>
      <w:drawing>
        <wp:anchor distT="0" distB="0" distL="114300" distR="114300" simplePos="0" relativeHeight="251658240" behindDoc="1" locked="0" layoutInCell="1" allowOverlap="1" wp14:anchorId="2DA587FF" wp14:editId="083750F3">
          <wp:simplePos x="0" y="0"/>
          <wp:positionH relativeFrom="column">
            <wp:posOffset>-385</wp:posOffset>
          </wp:positionH>
          <wp:positionV relativeFrom="paragraph">
            <wp:posOffset>125</wp:posOffset>
          </wp:positionV>
          <wp:extent cx="993419" cy="993419"/>
          <wp:effectExtent l="0" t="0" r="0" b="0"/>
          <wp:wrapTight wrapText="bothSides">
            <wp:wrapPolygon edited="0">
              <wp:start x="6629" y="0"/>
              <wp:lineTo x="4143" y="1243"/>
              <wp:lineTo x="0" y="5386"/>
              <wp:lineTo x="0" y="15744"/>
              <wp:lineTo x="4143" y="19887"/>
              <wp:lineTo x="7043" y="21130"/>
              <wp:lineTo x="14087" y="21130"/>
              <wp:lineTo x="16987" y="19887"/>
              <wp:lineTo x="21130" y="15744"/>
              <wp:lineTo x="21130" y="5386"/>
              <wp:lineTo x="16987" y="1243"/>
              <wp:lineTo x="14501" y="0"/>
              <wp:lineTo x="6629" y="0"/>
            </wp:wrapPolygon>
          </wp:wrapTight>
          <wp:docPr id="52" name="Imagen 5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993419" cy="993419"/>
                  </a:xfrm>
                  <a:prstGeom prst="rect">
                    <a:avLst/>
                  </a:prstGeom>
                </pic:spPr>
              </pic:pic>
            </a:graphicData>
          </a:graphic>
        </wp:anchor>
      </w:drawing>
    </w:r>
    <w:r w:rsidR="007E4E0E">
      <w:t xml:space="preserve"> Comisión de Derechos Humanos de la Ciudad de México</w:t>
    </w:r>
  </w:p>
  <w:p w14:paraId="21BC1659" w14:textId="08EAFFA4" w:rsidR="007E4E0E" w:rsidRDefault="007E4E0E" w:rsidP="007E4E0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16101"/>
    <w:multiLevelType w:val="hybridMultilevel"/>
    <w:tmpl w:val="635AD576"/>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0AE47CB"/>
    <w:multiLevelType w:val="hybridMultilevel"/>
    <w:tmpl w:val="86F01A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D5C2F9A"/>
    <w:multiLevelType w:val="hybridMultilevel"/>
    <w:tmpl w:val="222417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33B"/>
    <w:rsid w:val="000E0483"/>
    <w:rsid w:val="00113888"/>
    <w:rsid w:val="00162470"/>
    <w:rsid w:val="00194008"/>
    <w:rsid w:val="001F37EB"/>
    <w:rsid w:val="00311B32"/>
    <w:rsid w:val="003510AB"/>
    <w:rsid w:val="00370F87"/>
    <w:rsid w:val="003A49A9"/>
    <w:rsid w:val="004314DE"/>
    <w:rsid w:val="00457982"/>
    <w:rsid w:val="00576362"/>
    <w:rsid w:val="00650749"/>
    <w:rsid w:val="00665726"/>
    <w:rsid w:val="00752A19"/>
    <w:rsid w:val="00756925"/>
    <w:rsid w:val="007E4E0E"/>
    <w:rsid w:val="00802D15"/>
    <w:rsid w:val="00864A55"/>
    <w:rsid w:val="008F7266"/>
    <w:rsid w:val="00951984"/>
    <w:rsid w:val="009B09AB"/>
    <w:rsid w:val="00A421C1"/>
    <w:rsid w:val="00A7161B"/>
    <w:rsid w:val="00B60B94"/>
    <w:rsid w:val="00B84C4A"/>
    <w:rsid w:val="00C04371"/>
    <w:rsid w:val="00C3333B"/>
    <w:rsid w:val="00C72134"/>
    <w:rsid w:val="00D113E6"/>
    <w:rsid w:val="00D31865"/>
    <w:rsid w:val="00E25A14"/>
    <w:rsid w:val="00E37930"/>
    <w:rsid w:val="00E74914"/>
    <w:rsid w:val="00EE546B"/>
    <w:rsid w:val="00F509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B3ACF0"/>
  <w15:chartTrackingRefBased/>
  <w15:docId w15:val="{22D65F76-5801-4AE5-B0C9-BEDBC93E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3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0749"/>
    <w:pPr>
      <w:ind w:left="720"/>
      <w:contextualSpacing/>
    </w:pPr>
  </w:style>
  <w:style w:type="paragraph" w:styleId="NormalWeb">
    <w:name w:val="Normal (Web)"/>
    <w:basedOn w:val="Normal"/>
    <w:uiPriority w:val="99"/>
    <w:unhideWhenUsed/>
    <w:rsid w:val="0065074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yperlink">
    <w:name w:val="Hyperlink"/>
    <w:basedOn w:val="DefaultParagraphFont"/>
    <w:uiPriority w:val="99"/>
    <w:semiHidden/>
    <w:unhideWhenUsed/>
    <w:rsid w:val="00650749"/>
    <w:rPr>
      <w:color w:val="0000FF"/>
      <w:u w:val="single"/>
    </w:rPr>
  </w:style>
  <w:style w:type="character" w:customStyle="1" w:styleId="element-invisible">
    <w:name w:val="element-invisible"/>
    <w:basedOn w:val="DefaultParagraphFont"/>
    <w:rsid w:val="00650749"/>
  </w:style>
  <w:style w:type="paragraph" w:customStyle="1" w:styleId="SingleTxtG">
    <w:name w:val="_ Single Txt_G"/>
    <w:basedOn w:val="Normal"/>
    <w:link w:val="SingleTxtGChar"/>
    <w:rsid w:val="00864A55"/>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character" w:customStyle="1" w:styleId="SingleTxtGChar">
    <w:name w:val="_ Single Txt_G Char"/>
    <w:link w:val="SingleTxtG"/>
    <w:rsid w:val="00864A55"/>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864A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4A55"/>
    <w:rPr>
      <w:sz w:val="20"/>
      <w:szCs w:val="20"/>
    </w:rPr>
  </w:style>
  <w:style w:type="character" w:styleId="FootnoteReference">
    <w:name w:val="footnote reference"/>
    <w:basedOn w:val="DefaultParagraphFont"/>
    <w:uiPriority w:val="99"/>
    <w:semiHidden/>
    <w:unhideWhenUsed/>
    <w:rsid w:val="00864A55"/>
    <w:rPr>
      <w:vertAlign w:val="superscript"/>
    </w:rPr>
  </w:style>
  <w:style w:type="paragraph" w:customStyle="1" w:styleId="HMG">
    <w:name w:val="_ H __M_G"/>
    <w:basedOn w:val="Normal"/>
    <w:next w:val="Normal"/>
    <w:rsid w:val="00864A55"/>
    <w:pPr>
      <w:keepNext/>
      <w:keepLines/>
      <w:tabs>
        <w:tab w:val="right" w:pos="851"/>
      </w:tabs>
      <w:suppressAutoHyphens/>
      <w:spacing w:before="240" w:after="240" w:line="360" w:lineRule="exact"/>
      <w:ind w:left="1134" w:right="1134" w:hanging="1134"/>
    </w:pPr>
    <w:rPr>
      <w:rFonts w:ascii="Times New Roman" w:eastAsia="Times New Roman" w:hAnsi="Times New Roman" w:cs="Times New Roman"/>
      <w:b/>
      <w:sz w:val="34"/>
      <w:szCs w:val="20"/>
      <w:lang w:val="en-GB"/>
    </w:rPr>
  </w:style>
  <w:style w:type="paragraph" w:styleId="Header">
    <w:name w:val="header"/>
    <w:basedOn w:val="Normal"/>
    <w:link w:val="HeaderChar"/>
    <w:uiPriority w:val="99"/>
    <w:unhideWhenUsed/>
    <w:rsid w:val="00576362"/>
    <w:pPr>
      <w:tabs>
        <w:tab w:val="center" w:pos="4419"/>
        <w:tab w:val="right" w:pos="8838"/>
      </w:tabs>
      <w:spacing w:after="0" w:line="240" w:lineRule="auto"/>
    </w:pPr>
  </w:style>
  <w:style w:type="character" w:customStyle="1" w:styleId="HeaderChar">
    <w:name w:val="Header Char"/>
    <w:basedOn w:val="DefaultParagraphFont"/>
    <w:link w:val="Header"/>
    <w:uiPriority w:val="99"/>
    <w:rsid w:val="00576362"/>
  </w:style>
  <w:style w:type="paragraph" w:styleId="Footer">
    <w:name w:val="footer"/>
    <w:basedOn w:val="Normal"/>
    <w:link w:val="FooterChar"/>
    <w:uiPriority w:val="99"/>
    <w:unhideWhenUsed/>
    <w:rsid w:val="00576362"/>
    <w:pPr>
      <w:tabs>
        <w:tab w:val="center" w:pos="4419"/>
        <w:tab w:val="right" w:pos="8838"/>
      </w:tabs>
      <w:spacing w:after="0" w:line="240" w:lineRule="auto"/>
    </w:pPr>
  </w:style>
  <w:style w:type="character" w:customStyle="1" w:styleId="FooterChar">
    <w:name w:val="Footer Char"/>
    <w:basedOn w:val="DefaultParagraphFont"/>
    <w:link w:val="Footer"/>
    <w:uiPriority w:val="99"/>
    <w:rsid w:val="0057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18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CA2C480-816A-40C9-B7C5-F9EBB8E74AF5}">
  <ds:schemaRefs>
    <ds:schemaRef ds:uri="http://schemas.openxmlformats.org/officeDocument/2006/bibliography"/>
  </ds:schemaRefs>
</ds:datastoreItem>
</file>

<file path=customXml/itemProps2.xml><?xml version="1.0" encoding="utf-8"?>
<ds:datastoreItem xmlns:ds="http://schemas.openxmlformats.org/officeDocument/2006/customXml" ds:itemID="{71099735-EBF7-4313-AA61-2BA11A0976E1}"/>
</file>

<file path=customXml/itemProps3.xml><?xml version="1.0" encoding="utf-8"?>
<ds:datastoreItem xmlns:ds="http://schemas.openxmlformats.org/officeDocument/2006/customXml" ds:itemID="{FB1E117E-6FB6-4460-981D-2E4C83D7B528}"/>
</file>

<file path=customXml/itemProps4.xml><?xml version="1.0" encoding="utf-8"?>
<ds:datastoreItem xmlns:ds="http://schemas.openxmlformats.org/officeDocument/2006/customXml" ds:itemID="{D3F55F56-F4AC-48DB-B0A7-ABCCF3CF8DE0}"/>
</file>

<file path=docProps/app.xml><?xml version="1.0" encoding="utf-8"?>
<Properties xmlns="http://schemas.openxmlformats.org/officeDocument/2006/extended-properties" xmlns:vt="http://schemas.openxmlformats.org/officeDocument/2006/docPropsVTypes">
  <Template>Normal.dotm</Template>
  <TotalTime>0</TotalTime>
  <Pages>5</Pages>
  <Words>937</Words>
  <Characters>5343</Characters>
  <Application>Microsoft Office Word</Application>
  <DocSecurity>4</DocSecurity>
  <Lines>44</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Maria Castila Peon</dc:creator>
  <cp:keywords/>
  <dc:description/>
  <cp:lastModifiedBy>Richard Lapper</cp:lastModifiedBy>
  <cp:revision>2</cp:revision>
  <cp:lastPrinted>2021-08-20T20:13:00Z</cp:lastPrinted>
  <dcterms:created xsi:type="dcterms:W3CDTF">2021-09-03T09:58:00Z</dcterms:created>
  <dcterms:modified xsi:type="dcterms:W3CDTF">2021-09-03T09:58:00Z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