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7321" w:rsidRPr="00E84F55" w:rsidRDefault="000E7321" w:rsidP="00DF35F9">
      <w:pPr>
        <w:pStyle w:val="NormalWeb"/>
        <w:spacing w:before="0" w:beforeAutospacing="0" w:after="0" w:afterAutospacing="0"/>
        <w:jc w:val="center"/>
        <w:rPr>
          <w:b/>
          <w:bCs/>
        </w:rPr>
      </w:pPr>
      <w:bookmarkStart w:id="0" w:name="_GoBack"/>
      <w:bookmarkEnd w:id="0"/>
      <w:r w:rsidRPr="00E84F55">
        <w:rPr>
          <w:b/>
          <w:bCs/>
        </w:rPr>
        <w:t>Comentarios</w:t>
      </w:r>
      <w:r w:rsidR="00102A38">
        <w:rPr>
          <w:b/>
          <w:bCs/>
        </w:rPr>
        <w:t xml:space="preserve"> al </w:t>
      </w:r>
      <w:r w:rsidRPr="00E84F55">
        <w:rPr>
          <w:b/>
          <w:bCs/>
        </w:rPr>
        <w:t xml:space="preserve">Proyecto </w:t>
      </w:r>
      <w:r w:rsidR="005F1601" w:rsidRPr="00E84F55">
        <w:rPr>
          <w:b/>
          <w:bCs/>
        </w:rPr>
        <w:t>C</w:t>
      </w:r>
      <w:r w:rsidRPr="00E84F55">
        <w:rPr>
          <w:b/>
          <w:bCs/>
        </w:rPr>
        <w:t>onvención sobre el derecho al desarrollo presentado por el Presidente-Relator del Grupo de Trabajo sobre el Derecho al Desarrollo</w:t>
      </w:r>
    </w:p>
    <w:p w:rsidR="000E7321" w:rsidRPr="00E84F55" w:rsidRDefault="000E7321" w:rsidP="005F1601">
      <w:pPr>
        <w:pStyle w:val="NormalWeb"/>
        <w:spacing w:before="0" w:beforeAutospacing="0" w:after="0" w:afterAutospacing="0"/>
        <w:jc w:val="both"/>
        <w:rPr>
          <w:b/>
          <w:bCs/>
        </w:rPr>
      </w:pPr>
    </w:p>
    <w:p w:rsidR="000A3B49" w:rsidRDefault="000A3B49" w:rsidP="007C22B9">
      <w:pPr>
        <w:pStyle w:val="NormalWeb"/>
        <w:spacing w:before="0" w:beforeAutospacing="0" w:after="0" w:afterAutospacing="0" w:line="276" w:lineRule="auto"/>
        <w:jc w:val="both"/>
      </w:pPr>
    </w:p>
    <w:p w:rsidR="00633D33" w:rsidRDefault="00E84F55" w:rsidP="00423963">
      <w:pPr>
        <w:pStyle w:val="NormalWeb"/>
        <w:spacing w:before="0" w:beforeAutospacing="0" w:after="0" w:afterAutospacing="0" w:line="276" w:lineRule="auto"/>
        <w:jc w:val="both"/>
      </w:pPr>
      <w:r w:rsidRPr="00E84F55">
        <w:t>C</w:t>
      </w:r>
      <w:r w:rsidR="00772941" w:rsidRPr="00E84F55">
        <w:t xml:space="preserve">on </w:t>
      </w:r>
      <w:r w:rsidR="00102A38">
        <w:t>el i</w:t>
      </w:r>
      <w:r w:rsidR="007C22B9" w:rsidRPr="00E84F55">
        <w:t>nforme sobre</w:t>
      </w:r>
      <w:r w:rsidRPr="00E84F55">
        <w:t xml:space="preserve"> el </w:t>
      </w:r>
      <w:r w:rsidR="00102A38">
        <w:t>í</w:t>
      </w:r>
      <w:r w:rsidR="00102A38" w:rsidRPr="00E84F55">
        <w:t>ndice</w:t>
      </w:r>
      <w:r w:rsidRPr="00E84F55">
        <w:t xml:space="preserve"> de</w:t>
      </w:r>
      <w:r w:rsidR="005B1A6E">
        <w:t xml:space="preserve"> </w:t>
      </w:r>
      <w:r w:rsidR="007C22B9" w:rsidRPr="00E84F55">
        <w:t xml:space="preserve">Desarrollo Humano </w:t>
      </w:r>
      <w:r w:rsidRPr="00E84F55">
        <w:t>se</w:t>
      </w:r>
      <w:r w:rsidR="007C22B9" w:rsidRPr="00E84F55">
        <w:t xml:space="preserve"> busca proporcionar la medida del progreso en los diferentes países</w:t>
      </w:r>
      <w:r w:rsidRPr="00E84F55">
        <w:t xml:space="preserve"> en la materia</w:t>
      </w:r>
      <w:r w:rsidR="007C22B9" w:rsidRPr="00E84F55">
        <w:t>, lo cual implica conocer las</w:t>
      </w:r>
      <w:r w:rsidRPr="00E84F55">
        <w:t xml:space="preserve"> garantías y</w:t>
      </w:r>
      <w:r w:rsidR="007C22B9" w:rsidRPr="00E84F55">
        <w:t xml:space="preserve"> libertades de las personas para vivir la vida que desean. Para ello, se considera la esperanza de vida al nacer, el nivel educativo y el ingreso promedio de la población; asimismo, a lo largo del tiempo se han ido incorporando nuevas variables como la pobreza, la desigualdad y las brechas de género. En este sentido, el Índice de Desarrollo Humanos (IDH) de El Salvador para el 2019 situaba al país en la categoría de desarrollo humano mediano</w:t>
      </w:r>
      <w:r w:rsidR="007C22B9" w:rsidRPr="00E84F55">
        <w:rPr>
          <w:rStyle w:val="FootnoteReference"/>
        </w:rPr>
        <w:footnoteReference w:id="1"/>
      </w:r>
      <w:r w:rsidR="007C22B9" w:rsidRPr="00E84F55">
        <w:t xml:space="preserve">. </w:t>
      </w:r>
      <w:r w:rsidRPr="00E84F55">
        <w:t>(114)</w:t>
      </w:r>
    </w:p>
    <w:p w:rsidR="00633D33" w:rsidRDefault="00633D33" w:rsidP="00423963">
      <w:pPr>
        <w:pStyle w:val="NormalWeb"/>
        <w:spacing w:before="0" w:beforeAutospacing="0" w:after="0" w:afterAutospacing="0" w:line="276" w:lineRule="auto"/>
        <w:jc w:val="both"/>
      </w:pPr>
    </w:p>
    <w:p w:rsidR="00AB61C8" w:rsidRPr="00633D33" w:rsidRDefault="00322263" w:rsidP="00633D33">
      <w:pPr>
        <w:pStyle w:val="NormalWeb"/>
        <w:spacing w:before="0" w:beforeAutospacing="0" w:after="0" w:afterAutospacing="0"/>
        <w:jc w:val="both"/>
      </w:pPr>
      <w:r w:rsidRPr="00633D33">
        <w:t>U</w:t>
      </w:r>
      <w:r w:rsidR="00BF3E65" w:rsidRPr="00633D33">
        <w:t>n estudio</w:t>
      </w:r>
      <w:r w:rsidR="00482756" w:rsidRPr="00633D33">
        <w:t xml:space="preserve"> reciente</w:t>
      </w:r>
      <w:r w:rsidR="00BF3E65" w:rsidRPr="00633D33">
        <w:t xml:space="preserve"> </w:t>
      </w:r>
      <w:r w:rsidR="004E4AE9" w:rsidRPr="00633D33">
        <w:t>de</w:t>
      </w:r>
      <w:r w:rsidR="00BF3E65" w:rsidRPr="00633D33">
        <w:t xml:space="preserve"> la Universidad Francisco Gavidia señala que el 32.2% de la población salvadoreña (2.8 millones de personas</w:t>
      </w:r>
      <w:r w:rsidR="00C71F60" w:rsidRPr="00633D33">
        <w:t xml:space="preserve">) habría vivido en situación de pobreza en 2020 y estaría aumentado a 33.3% en 2021 (2.8 millones de personas) un aumento de 430 mil personas respecto al 2019. De estas personas, alrededor de 476 mil (7.0%) estaría </w:t>
      </w:r>
      <w:r w:rsidR="00793A48" w:rsidRPr="00633D33">
        <w:t xml:space="preserve"> viviendo </w:t>
      </w:r>
      <w:r w:rsidR="00BF3E65" w:rsidRPr="00633D33">
        <w:t xml:space="preserve">  </w:t>
      </w:r>
      <w:r w:rsidR="00793A48" w:rsidRPr="00633D33">
        <w:t>en situación de pobreza extrema en grave riesgo de desnutrición, esto es 96,774 personas adicionales</w:t>
      </w:r>
      <w:r w:rsidR="00E26125" w:rsidRPr="00633D33">
        <w:rPr>
          <w:rStyle w:val="FootnoteReference"/>
        </w:rPr>
        <w:footnoteReference w:id="2"/>
      </w:r>
      <w:r w:rsidR="00793A48" w:rsidRPr="00633D33">
        <w:t xml:space="preserve">. </w:t>
      </w:r>
    </w:p>
    <w:p w:rsidR="00102A38" w:rsidRDefault="00102A38" w:rsidP="00633D33">
      <w:pPr>
        <w:pStyle w:val="NormalWeb"/>
        <w:spacing w:before="0" w:beforeAutospacing="0" w:after="0" w:afterAutospacing="0"/>
        <w:jc w:val="both"/>
      </w:pPr>
    </w:p>
    <w:p w:rsidR="00AB61C8" w:rsidRPr="00633D33" w:rsidRDefault="00102A38" w:rsidP="00633D33">
      <w:pPr>
        <w:pStyle w:val="NormalWeb"/>
        <w:spacing w:before="0" w:beforeAutospacing="0" w:after="0" w:afterAutospacing="0"/>
        <w:jc w:val="both"/>
      </w:pPr>
      <w:r>
        <w:t>L</w:t>
      </w:r>
      <w:r w:rsidR="00AB61C8" w:rsidRPr="00633D33">
        <w:t>a brecha entre extrema riqueza y extrema pobreza, así como la vulnerabilidad</w:t>
      </w:r>
      <w:r w:rsidR="0092510E" w:rsidRPr="00633D33">
        <w:t xml:space="preserve"> que caracteriza al país, y a la región en la que se encuentra, se profundizó aun más a raíz de la pandemia por la COVID-19, siendo algunos de los factores que inciden en la permanencia de la</w:t>
      </w:r>
      <w:r w:rsidR="00034E63" w:rsidRPr="00633D33">
        <w:t>s</w:t>
      </w:r>
      <w:r w:rsidR="0092510E" w:rsidRPr="00633D33">
        <w:t xml:space="preserve"> desigualdad</w:t>
      </w:r>
      <w:r w:rsidR="00034E63" w:rsidRPr="00633D33">
        <w:t>es</w:t>
      </w:r>
      <w:r w:rsidR="0092510E" w:rsidRPr="00633D33">
        <w:t xml:space="preserve"> y </w:t>
      </w:r>
      <w:r w:rsidR="00034E63" w:rsidRPr="00633D33">
        <w:t xml:space="preserve">el </w:t>
      </w:r>
      <w:r w:rsidR="0092510E" w:rsidRPr="00633D33">
        <w:t>bajo crecimiento la concentración de poder, la violencia en todas sus formas y las políticas de protección social que no funcionan bien</w:t>
      </w:r>
      <w:r w:rsidR="003C7464" w:rsidRPr="00633D33">
        <w:rPr>
          <w:rStyle w:val="FootnoteReference"/>
        </w:rPr>
        <w:footnoteReference w:id="3"/>
      </w:r>
      <w:r w:rsidR="0092510E" w:rsidRPr="00633D33">
        <w:t xml:space="preserve">. </w:t>
      </w:r>
    </w:p>
    <w:p w:rsidR="00322263" w:rsidRPr="00633D33" w:rsidRDefault="00322263" w:rsidP="00633D33">
      <w:pPr>
        <w:pStyle w:val="NormalWeb"/>
        <w:spacing w:before="0" w:beforeAutospacing="0" w:after="0" w:afterAutospacing="0"/>
        <w:jc w:val="both"/>
      </w:pPr>
    </w:p>
    <w:p w:rsidR="00322263" w:rsidRPr="00633D33" w:rsidRDefault="00322263" w:rsidP="00633D33">
      <w:pPr>
        <w:pStyle w:val="NormalWeb"/>
        <w:spacing w:before="0" w:beforeAutospacing="0" w:after="0" w:afterAutospacing="0"/>
        <w:jc w:val="both"/>
      </w:pPr>
      <w:r w:rsidRPr="00633D33">
        <w:t xml:space="preserve">El Salvador presenta </w:t>
      </w:r>
      <w:r w:rsidR="00102A38" w:rsidRPr="00633D33">
        <w:t>una estrechez territorial determinante</w:t>
      </w:r>
      <w:r w:rsidRPr="00633D33">
        <w:t xml:space="preserve"> (</w:t>
      </w:r>
      <w:r w:rsidR="00102A38">
        <w:t>un poco más de 19,00km</w:t>
      </w:r>
      <w:r w:rsidR="00102A38">
        <w:rPr>
          <w:vertAlign w:val="superscript"/>
        </w:rPr>
        <w:t>2</w:t>
      </w:r>
      <w:r w:rsidR="00102A38">
        <w:t>)</w:t>
      </w:r>
      <w:r w:rsidRPr="00633D33">
        <w:t xml:space="preserve"> y un aproximado de 320 habitantes por KM2, el 47% del </w:t>
      </w:r>
      <w:r w:rsidR="00102A38">
        <w:t>territorio está expuesto a sequí</w:t>
      </w:r>
      <w:r w:rsidRPr="00633D33">
        <w:t>as y el 9.36</w:t>
      </w:r>
      <w:r w:rsidR="00102A38">
        <w:t>%</w:t>
      </w:r>
      <w:r w:rsidRPr="00633D33">
        <w:t xml:space="preserve"> está expuesto a inundaciones severas como las provocadas por las tormentas Amanda y Cristóbal en el marco de la pandemia a finales del 2020</w:t>
      </w:r>
      <w:r w:rsidR="00FB01FB" w:rsidRPr="00633D33">
        <w:t>.</w:t>
      </w:r>
    </w:p>
    <w:p w:rsidR="00AB61C8" w:rsidRPr="00633D33" w:rsidRDefault="00AB61C8" w:rsidP="00633D33">
      <w:pPr>
        <w:spacing w:after="0" w:line="240" w:lineRule="auto"/>
        <w:jc w:val="both"/>
        <w:rPr>
          <w:rFonts w:ascii="Times New Roman" w:hAnsi="Times New Roman"/>
          <w:b/>
          <w:iCs/>
          <w:sz w:val="24"/>
          <w:szCs w:val="24"/>
        </w:rPr>
      </w:pPr>
      <w:bookmarkStart w:id="1" w:name="_heading=h.1fob9te"/>
      <w:bookmarkEnd w:id="1"/>
    </w:p>
    <w:p w:rsidR="003C7464" w:rsidRPr="00633D33" w:rsidRDefault="00102A38" w:rsidP="00633D33">
      <w:pPr>
        <w:spacing w:after="0" w:line="240" w:lineRule="auto"/>
        <w:jc w:val="both"/>
        <w:rPr>
          <w:rFonts w:ascii="Times New Roman" w:hAnsi="Times New Roman"/>
          <w:bCs/>
          <w:iCs/>
          <w:sz w:val="24"/>
          <w:szCs w:val="24"/>
        </w:rPr>
      </w:pPr>
      <w:r>
        <w:rPr>
          <w:rFonts w:ascii="Times New Roman" w:hAnsi="Times New Roman"/>
          <w:bCs/>
          <w:iCs/>
          <w:sz w:val="24"/>
          <w:szCs w:val="24"/>
        </w:rPr>
        <w:lastRenderedPageBreak/>
        <w:t xml:space="preserve">El </w:t>
      </w:r>
      <w:r w:rsidR="000F11BF" w:rsidRPr="00633D33">
        <w:rPr>
          <w:rFonts w:ascii="Times New Roman" w:hAnsi="Times New Roman"/>
          <w:bCs/>
          <w:iCs/>
          <w:sz w:val="24"/>
          <w:szCs w:val="24"/>
        </w:rPr>
        <w:t>Relator Especial de las Naciones Unidas sobre el derecho al desarrollo, Saad Alfaragi, menciona que e</w:t>
      </w:r>
      <w:r>
        <w:rPr>
          <w:rFonts w:ascii="Times New Roman" w:hAnsi="Times New Roman"/>
          <w:bCs/>
          <w:iCs/>
          <w:sz w:val="24"/>
          <w:szCs w:val="24"/>
        </w:rPr>
        <w:t>ste</w:t>
      </w:r>
      <w:r w:rsidR="000F11BF" w:rsidRPr="00633D33">
        <w:rPr>
          <w:rFonts w:ascii="Times New Roman" w:hAnsi="Times New Roman"/>
          <w:bCs/>
          <w:iCs/>
          <w:sz w:val="24"/>
          <w:szCs w:val="24"/>
        </w:rPr>
        <w:t xml:space="preserve"> derecho “no es simplemente una cuestión de crecimiento económico. Se trata de dar a las personas la capacidad de vivir sus vidas al máximo potencial (…). La medida del é</w:t>
      </w:r>
      <w:r w:rsidR="00423963" w:rsidRPr="00633D33">
        <w:rPr>
          <w:rFonts w:ascii="Times New Roman" w:hAnsi="Times New Roman"/>
          <w:bCs/>
          <w:iCs/>
          <w:sz w:val="24"/>
          <w:szCs w:val="24"/>
        </w:rPr>
        <w:t xml:space="preserve">xito </w:t>
      </w:r>
      <w:r w:rsidR="000F11BF" w:rsidRPr="00633D33">
        <w:rPr>
          <w:rFonts w:ascii="Times New Roman" w:hAnsi="Times New Roman"/>
          <w:bCs/>
          <w:iCs/>
          <w:sz w:val="24"/>
          <w:szCs w:val="24"/>
        </w:rPr>
        <w:t>(…) debe basa[rse] en el respeto de todos los derechos humanos. (…)</w:t>
      </w:r>
      <w:r w:rsidR="00423963" w:rsidRPr="00633D33">
        <w:rPr>
          <w:rFonts w:ascii="Times New Roman" w:hAnsi="Times New Roman"/>
          <w:bCs/>
          <w:iCs/>
          <w:sz w:val="24"/>
          <w:szCs w:val="24"/>
        </w:rPr>
        <w:t>.</w:t>
      </w:r>
      <w:r w:rsidR="000F11BF" w:rsidRPr="00633D33">
        <w:rPr>
          <w:rFonts w:ascii="Times New Roman" w:hAnsi="Times New Roman"/>
          <w:bCs/>
          <w:iCs/>
          <w:sz w:val="24"/>
          <w:szCs w:val="24"/>
        </w:rPr>
        <w:t xml:space="preserve"> [E]l éxito del marco de desarrollo (…) [s]olo [se da] cuando las personas tienen acceso a educación, cuando se les permite trabajar en una profesión de su elección y en condiciones de trabajo decentes y dignas, cuando tienen acceso a servicios financieros, atención médica y vivienda, y cuando pueden participar de manera plena y equitativa en la formulación de políticas que rigen sus vidas</w:t>
      </w:r>
      <w:r w:rsidR="00423963" w:rsidRPr="00633D33">
        <w:rPr>
          <w:rFonts w:ascii="Times New Roman" w:hAnsi="Times New Roman"/>
          <w:bCs/>
          <w:iCs/>
          <w:sz w:val="24"/>
          <w:szCs w:val="24"/>
        </w:rPr>
        <w:t>,</w:t>
      </w:r>
      <w:r w:rsidR="000F11BF" w:rsidRPr="00633D33">
        <w:rPr>
          <w:rFonts w:ascii="Times New Roman" w:hAnsi="Times New Roman"/>
          <w:bCs/>
          <w:iCs/>
          <w:sz w:val="24"/>
          <w:szCs w:val="24"/>
        </w:rPr>
        <w:t xml:space="preserve"> son capaces de lograr un desarrollo verdadero y sostenible. En otras palabras, solo cuando se puede llevar a cabo su derecho al desarrollo”</w:t>
      </w:r>
      <w:r w:rsidR="000F11BF" w:rsidRPr="00633D33">
        <w:rPr>
          <w:rStyle w:val="FootnoteReference"/>
          <w:rFonts w:ascii="Times New Roman" w:hAnsi="Times New Roman"/>
          <w:bCs/>
          <w:iCs/>
          <w:sz w:val="24"/>
          <w:szCs w:val="24"/>
        </w:rPr>
        <w:footnoteReference w:id="4"/>
      </w:r>
      <w:r w:rsidR="000F11BF" w:rsidRPr="00633D33">
        <w:rPr>
          <w:rFonts w:ascii="Times New Roman" w:hAnsi="Times New Roman"/>
          <w:bCs/>
          <w:iCs/>
          <w:sz w:val="24"/>
          <w:szCs w:val="24"/>
        </w:rPr>
        <w:t>.</w:t>
      </w:r>
    </w:p>
    <w:p w:rsidR="003C7464" w:rsidRPr="00633D33" w:rsidRDefault="003C7464" w:rsidP="00633D33">
      <w:pPr>
        <w:spacing w:after="0" w:line="240" w:lineRule="auto"/>
        <w:jc w:val="both"/>
        <w:rPr>
          <w:rFonts w:ascii="Times New Roman" w:hAnsi="Times New Roman"/>
          <w:b/>
          <w:iCs/>
          <w:sz w:val="24"/>
          <w:szCs w:val="24"/>
        </w:rPr>
      </w:pPr>
    </w:p>
    <w:p w:rsidR="00F5446F" w:rsidRPr="00633D33" w:rsidRDefault="000F11BF" w:rsidP="00633D33">
      <w:pPr>
        <w:spacing w:after="0" w:line="240" w:lineRule="auto"/>
        <w:jc w:val="both"/>
        <w:rPr>
          <w:rFonts w:ascii="Times New Roman" w:hAnsi="Times New Roman"/>
          <w:bCs/>
          <w:iCs/>
          <w:sz w:val="24"/>
          <w:szCs w:val="24"/>
        </w:rPr>
      </w:pPr>
      <w:r w:rsidRPr="00633D33">
        <w:rPr>
          <w:rFonts w:ascii="Times New Roman" w:hAnsi="Times New Roman"/>
          <w:bCs/>
          <w:iCs/>
          <w:sz w:val="24"/>
          <w:szCs w:val="24"/>
        </w:rPr>
        <w:t>Tenien</w:t>
      </w:r>
      <w:r w:rsidR="00FB01FB" w:rsidRPr="00633D33">
        <w:rPr>
          <w:rFonts w:ascii="Times New Roman" w:hAnsi="Times New Roman"/>
          <w:bCs/>
          <w:iCs/>
          <w:sz w:val="24"/>
          <w:szCs w:val="24"/>
        </w:rPr>
        <w:t>do</w:t>
      </w:r>
      <w:r w:rsidR="00102A38">
        <w:rPr>
          <w:rFonts w:ascii="Times New Roman" w:hAnsi="Times New Roman"/>
          <w:bCs/>
          <w:iCs/>
          <w:sz w:val="24"/>
          <w:szCs w:val="24"/>
        </w:rPr>
        <w:t xml:space="preserve"> en mente lo anterior, se ha re</w:t>
      </w:r>
      <w:r w:rsidR="00FB01FB" w:rsidRPr="00633D33">
        <w:rPr>
          <w:rFonts w:ascii="Times New Roman" w:hAnsi="Times New Roman"/>
          <w:bCs/>
          <w:iCs/>
          <w:sz w:val="24"/>
          <w:szCs w:val="24"/>
        </w:rPr>
        <w:t>visado el contenido</w:t>
      </w:r>
      <w:r w:rsidR="00766BA2">
        <w:rPr>
          <w:rFonts w:ascii="Times New Roman" w:hAnsi="Times New Roman"/>
          <w:bCs/>
          <w:iCs/>
          <w:sz w:val="24"/>
          <w:szCs w:val="24"/>
        </w:rPr>
        <w:t xml:space="preserve"> </w:t>
      </w:r>
      <w:r w:rsidRPr="00633D33">
        <w:rPr>
          <w:rFonts w:ascii="Times New Roman" w:hAnsi="Times New Roman"/>
          <w:bCs/>
          <w:iCs/>
          <w:sz w:val="24"/>
          <w:szCs w:val="24"/>
        </w:rPr>
        <w:t xml:space="preserve">del proyecto de convención sobre el derecho al desarrollo, estando de acuerdo </w:t>
      </w:r>
      <w:r w:rsidR="00423963" w:rsidRPr="00633D33">
        <w:rPr>
          <w:rFonts w:ascii="Times New Roman" w:hAnsi="Times New Roman"/>
          <w:bCs/>
          <w:iCs/>
          <w:sz w:val="24"/>
          <w:szCs w:val="24"/>
        </w:rPr>
        <w:t xml:space="preserve">y respaldando </w:t>
      </w:r>
      <w:r w:rsidRPr="00633D33">
        <w:rPr>
          <w:rFonts w:ascii="Times New Roman" w:hAnsi="Times New Roman"/>
          <w:bCs/>
          <w:iCs/>
          <w:sz w:val="24"/>
          <w:szCs w:val="24"/>
        </w:rPr>
        <w:t>el objeto y propósito</w:t>
      </w:r>
      <w:r w:rsidR="0011357F" w:rsidRPr="00633D33">
        <w:rPr>
          <w:rFonts w:ascii="Times New Roman" w:hAnsi="Times New Roman"/>
          <w:bCs/>
          <w:iCs/>
          <w:sz w:val="24"/>
          <w:szCs w:val="24"/>
        </w:rPr>
        <w:t xml:space="preserve"> del documento en cuestión, con las definiciones y los principios generales (artículos 1 al 3 – Parte I).</w:t>
      </w:r>
      <w:r w:rsidR="00A10ADE" w:rsidRPr="00633D33">
        <w:rPr>
          <w:rFonts w:ascii="Times New Roman" w:hAnsi="Times New Roman"/>
          <w:bCs/>
          <w:iCs/>
          <w:sz w:val="24"/>
          <w:szCs w:val="24"/>
        </w:rPr>
        <w:t xml:space="preserve"> S</w:t>
      </w:r>
      <w:r w:rsidR="00E4027F" w:rsidRPr="00633D33">
        <w:rPr>
          <w:rFonts w:ascii="Times New Roman" w:hAnsi="Times New Roman"/>
          <w:bCs/>
          <w:iCs/>
          <w:sz w:val="24"/>
          <w:szCs w:val="24"/>
        </w:rPr>
        <w:t xml:space="preserve">e sugiere que en el artículo 3 </w:t>
      </w:r>
      <w:r w:rsidR="00D961AD" w:rsidRPr="00633D33">
        <w:rPr>
          <w:rFonts w:ascii="Times New Roman" w:hAnsi="Times New Roman"/>
          <w:bCs/>
          <w:iCs/>
          <w:sz w:val="24"/>
          <w:szCs w:val="24"/>
        </w:rPr>
        <w:t>(P</w:t>
      </w:r>
      <w:r w:rsidR="00E4027F" w:rsidRPr="00633D33">
        <w:rPr>
          <w:rFonts w:ascii="Times New Roman" w:hAnsi="Times New Roman"/>
          <w:bCs/>
          <w:iCs/>
          <w:sz w:val="24"/>
          <w:szCs w:val="24"/>
        </w:rPr>
        <w:t>rincipios</w:t>
      </w:r>
      <w:r w:rsidR="00D961AD" w:rsidRPr="00633D33">
        <w:rPr>
          <w:rFonts w:ascii="Times New Roman" w:hAnsi="Times New Roman"/>
          <w:bCs/>
          <w:iCs/>
          <w:sz w:val="24"/>
          <w:szCs w:val="24"/>
        </w:rPr>
        <w:t xml:space="preserve"> generales)</w:t>
      </w:r>
      <w:r w:rsidR="00E4027F" w:rsidRPr="00633D33">
        <w:rPr>
          <w:rFonts w:ascii="Times New Roman" w:hAnsi="Times New Roman"/>
          <w:bCs/>
          <w:iCs/>
          <w:sz w:val="24"/>
          <w:szCs w:val="24"/>
        </w:rPr>
        <w:t xml:space="preserve">, en el literal “b” se </w:t>
      </w:r>
      <w:r w:rsidR="006519B3" w:rsidRPr="00633D33">
        <w:rPr>
          <w:rFonts w:ascii="Times New Roman" w:hAnsi="Times New Roman"/>
          <w:bCs/>
          <w:iCs/>
          <w:sz w:val="24"/>
          <w:szCs w:val="24"/>
        </w:rPr>
        <w:t>ag</w:t>
      </w:r>
      <w:r w:rsidR="00895F54" w:rsidRPr="00633D33">
        <w:rPr>
          <w:rFonts w:ascii="Times New Roman" w:hAnsi="Times New Roman"/>
          <w:bCs/>
          <w:iCs/>
          <w:sz w:val="24"/>
          <w:szCs w:val="24"/>
        </w:rPr>
        <w:t>reguen</w:t>
      </w:r>
      <w:r w:rsidR="00E4027F" w:rsidRPr="00633D33">
        <w:rPr>
          <w:rFonts w:ascii="Times New Roman" w:hAnsi="Times New Roman"/>
          <w:bCs/>
          <w:iCs/>
          <w:sz w:val="24"/>
          <w:szCs w:val="24"/>
        </w:rPr>
        <w:t xml:space="preserve"> los principios de transparencia y responsabilidad</w:t>
      </w:r>
      <w:r w:rsidR="00FB01FB" w:rsidRPr="00633D33">
        <w:rPr>
          <w:rFonts w:ascii="Times New Roman" w:hAnsi="Times New Roman"/>
          <w:bCs/>
          <w:iCs/>
          <w:sz w:val="24"/>
          <w:szCs w:val="24"/>
        </w:rPr>
        <w:t xml:space="preserve"> y rendición de cuentas</w:t>
      </w:r>
      <w:r w:rsidR="00E4027F" w:rsidRPr="00633D33">
        <w:rPr>
          <w:rFonts w:ascii="Times New Roman" w:hAnsi="Times New Roman"/>
          <w:bCs/>
          <w:iCs/>
          <w:sz w:val="24"/>
          <w:szCs w:val="24"/>
        </w:rPr>
        <w:t>.</w:t>
      </w:r>
      <w:r w:rsidR="00D85D71" w:rsidRPr="00633D33">
        <w:rPr>
          <w:rFonts w:ascii="Times New Roman" w:hAnsi="Times New Roman"/>
          <w:bCs/>
          <w:iCs/>
          <w:sz w:val="24"/>
          <w:szCs w:val="24"/>
        </w:rPr>
        <w:t xml:space="preserve"> Asimismo,</w:t>
      </w:r>
      <w:r w:rsidR="00D73904" w:rsidRPr="00633D33">
        <w:rPr>
          <w:rFonts w:ascii="Times New Roman" w:hAnsi="Times New Roman"/>
          <w:bCs/>
          <w:iCs/>
          <w:sz w:val="24"/>
          <w:szCs w:val="24"/>
        </w:rPr>
        <w:t xml:space="preserve"> agregar los </w:t>
      </w:r>
      <w:r w:rsidR="00F5446F" w:rsidRPr="00633D33">
        <w:rPr>
          <w:rFonts w:ascii="Times New Roman" w:hAnsi="Times New Roman"/>
          <w:bCs/>
          <w:iCs/>
          <w:sz w:val="24"/>
          <w:szCs w:val="24"/>
        </w:rPr>
        <w:t>literales siguientes:</w:t>
      </w:r>
    </w:p>
    <w:p w:rsidR="00F5446F" w:rsidRPr="00633D33" w:rsidRDefault="00F5446F" w:rsidP="00633D33">
      <w:pPr>
        <w:spacing w:after="0" w:line="240" w:lineRule="auto"/>
        <w:jc w:val="both"/>
        <w:rPr>
          <w:rFonts w:ascii="Times New Roman" w:hAnsi="Times New Roman"/>
          <w:bCs/>
          <w:iCs/>
          <w:sz w:val="24"/>
          <w:szCs w:val="24"/>
        </w:rPr>
      </w:pPr>
    </w:p>
    <w:p w:rsidR="00F5446F" w:rsidRPr="00633D33" w:rsidRDefault="00D73904" w:rsidP="00633D33">
      <w:pPr>
        <w:spacing w:after="0" w:line="240" w:lineRule="auto"/>
        <w:jc w:val="both"/>
        <w:rPr>
          <w:rStyle w:val="Ninguno"/>
          <w:rFonts w:ascii="Times New Roman" w:eastAsia="Arial" w:hAnsi="Times New Roman"/>
          <w:sz w:val="24"/>
          <w:szCs w:val="24"/>
        </w:rPr>
      </w:pPr>
      <w:r w:rsidRPr="00633D33">
        <w:rPr>
          <w:rFonts w:ascii="Times New Roman" w:hAnsi="Times New Roman"/>
          <w:bCs/>
          <w:iCs/>
          <w:sz w:val="24"/>
          <w:szCs w:val="24"/>
        </w:rPr>
        <w:t xml:space="preserve"> </w:t>
      </w:r>
      <w:r w:rsidR="00D85D71" w:rsidRPr="00633D33">
        <w:rPr>
          <w:rFonts w:ascii="Times New Roman" w:hAnsi="Times New Roman"/>
          <w:bCs/>
          <w:iCs/>
          <w:sz w:val="24"/>
          <w:szCs w:val="24"/>
        </w:rPr>
        <w:t xml:space="preserve">j) </w:t>
      </w:r>
      <w:r w:rsidR="00D85D71" w:rsidRPr="00633D33">
        <w:rPr>
          <w:rStyle w:val="Ninguno"/>
          <w:rFonts w:ascii="Times New Roman" w:eastAsia="Arial" w:hAnsi="Times New Roman"/>
          <w:sz w:val="24"/>
          <w:szCs w:val="24"/>
        </w:rPr>
        <w:t xml:space="preserve">Eliminación </w:t>
      </w:r>
      <w:r w:rsidR="00FB01FB" w:rsidRPr="00633D33">
        <w:rPr>
          <w:rStyle w:val="Ninguno"/>
          <w:rFonts w:ascii="Times New Roman" w:eastAsia="Arial" w:hAnsi="Times New Roman"/>
          <w:sz w:val="24"/>
          <w:szCs w:val="24"/>
        </w:rPr>
        <w:t xml:space="preserve">barreras que fomentan </w:t>
      </w:r>
      <w:r w:rsidR="00D85D71" w:rsidRPr="00633D33">
        <w:rPr>
          <w:rStyle w:val="Ninguno"/>
          <w:rFonts w:ascii="Times New Roman" w:eastAsia="Arial" w:hAnsi="Times New Roman"/>
          <w:sz w:val="24"/>
          <w:szCs w:val="24"/>
        </w:rPr>
        <w:t>la desigualdad de las relaciones sociales, económicas, jurídicas y políticas, para alcanzar la justicia, la democracia formal y material, la seg</w:t>
      </w:r>
      <w:r w:rsidRPr="00633D33">
        <w:rPr>
          <w:rStyle w:val="Ninguno"/>
          <w:rFonts w:ascii="Times New Roman" w:eastAsia="Arial" w:hAnsi="Times New Roman"/>
          <w:sz w:val="24"/>
          <w:szCs w:val="24"/>
        </w:rPr>
        <w:t xml:space="preserve">uridad </w:t>
      </w:r>
      <w:r w:rsidR="00F5446F" w:rsidRPr="00633D33">
        <w:rPr>
          <w:rStyle w:val="Ninguno"/>
          <w:rFonts w:ascii="Times New Roman" w:eastAsia="Arial" w:hAnsi="Times New Roman"/>
          <w:sz w:val="24"/>
          <w:szCs w:val="24"/>
        </w:rPr>
        <w:t>jurídica y el bien común.</w:t>
      </w:r>
    </w:p>
    <w:p w:rsidR="00F5446F" w:rsidRPr="00633D33" w:rsidRDefault="00F5446F" w:rsidP="00633D33">
      <w:pPr>
        <w:spacing w:after="0" w:line="240" w:lineRule="auto"/>
        <w:jc w:val="both"/>
        <w:rPr>
          <w:rStyle w:val="Ninguno"/>
          <w:rFonts w:ascii="Times New Roman" w:eastAsia="Arial" w:hAnsi="Times New Roman"/>
          <w:sz w:val="24"/>
          <w:szCs w:val="24"/>
        </w:rPr>
      </w:pPr>
    </w:p>
    <w:p w:rsidR="00D73904" w:rsidRPr="00633D33" w:rsidRDefault="00D73904" w:rsidP="00633D33">
      <w:pPr>
        <w:spacing w:after="0" w:line="240" w:lineRule="auto"/>
        <w:jc w:val="both"/>
        <w:rPr>
          <w:rStyle w:val="Ninguno"/>
          <w:rFonts w:ascii="Times New Roman" w:eastAsia="Arial" w:hAnsi="Times New Roman"/>
          <w:sz w:val="24"/>
          <w:szCs w:val="24"/>
        </w:rPr>
      </w:pPr>
      <w:r w:rsidRPr="00633D33">
        <w:rPr>
          <w:rStyle w:val="Ninguno"/>
          <w:rFonts w:ascii="Times New Roman" w:eastAsia="Arial" w:hAnsi="Times New Roman"/>
          <w:sz w:val="24"/>
          <w:szCs w:val="24"/>
        </w:rPr>
        <w:t xml:space="preserve"> k)</w:t>
      </w:r>
      <w:r w:rsidR="00D85D71" w:rsidRPr="00633D33">
        <w:rPr>
          <w:rStyle w:val="Ninguno"/>
          <w:rFonts w:ascii="Times New Roman" w:eastAsia="Arial" w:hAnsi="Times New Roman"/>
          <w:sz w:val="24"/>
          <w:szCs w:val="24"/>
        </w:rPr>
        <w:t xml:space="preserve"> </w:t>
      </w:r>
      <w:r w:rsidRPr="00633D33">
        <w:rPr>
          <w:rStyle w:val="Ninguno"/>
          <w:rFonts w:ascii="Times New Roman" w:eastAsia="Arial" w:hAnsi="Times New Roman"/>
          <w:sz w:val="24"/>
          <w:szCs w:val="24"/>
        </w:rPr>
        <w:t>Establecer un modelo de gestión de desarrollo participativa de relaciones entre las personas, basadas en principios de democracia, igualdad</w:t>
      </w:r>
      <w:r w:rsidR="00FB01FB" w:rsidRPr="00633D33">
        <w:rPr>
          <w:rStyle w:val="Ninguno"/>
          <w:rFonts w:ascii="Times New Roman" w:eastAsia="Arial" w:hAnsi="Times New Roman"/>
          <w:sz w:val="24"/>
          <w:szCs w:val="24"/>
        </w:rPr>
        <w:t>,</w:t>
      </w:r>
      <w:r w:rsidRPr="00633D33">
        <w:rPr>
          <w:rStyle w:val="Ninguno"/>
          <w:rFonts w:ascii="Times New Roman" w:eastAsia="Arial" w:hAnsi="Times New Roman"/>
          <w:sz w:val="24"/>
          <w:szCs w:val="24"/>
        </w:rPr>
        <w:t xml:space="preserve"> equidad</w:t>
      </w:r>
      <w:r w:rsidR="00FB01FB" w:rsidRPr="00633D33">
        <w:rPr>
          <w:rStyle w:val="Ninguno"/>
          <w:rFonts w:ascii="Times New Roman" w:eastAsia="Arial" w:hAnsi="Times New Roman"/>
          <w:sz w:val="24"/>
          <w:szCs w:val="24"/>
        </w:rPr>
        <w:t xml:space="preserve"> y publicidad</w:t>
      </w:r>
      <w:r w:rsidRPr="00633D33">
        <w:rPr>
          <w:rStyle w:val="Ninguno"/>
          <w:rFonts w:ascii="Times New Roman" w:eastAsia="Arial" w:hAnsi="Times New Roman"/>
          <w:sz w:val="24"/>
          <w:szCs w:val="24"/>
        </w:rPr>
        <w:t>; así como en el reconocimiento de las capacidades y potencialidades personales y grupales.</w:t>
      </w:r>
    </w:p>
    <w:p w:rsidR="00D73904" w:rsidRPr="00633D33" w:rsidRDefault="00D73904" w:rsidP="00633D33">
      <w:pPr>
        <w:pStyle w:val="Estndar"/>
        <w:tabs>
          <w:tab w:val="left" w:pos="8186"/>
        </w:tabs>
        <w:ind w:right="36"/>
        <w:jc w:val="both"/>
        <w:rPr>
          <w:rStyle w:val="Ninguno"/>
          <w:rFonts w:eastAsia="Arial"/>
          <w:sz w:val="24"/>
          <w:szCs w:val="24"/>
        </w:rPr>
      </w:pPr>
    </w:p>
    <w:p w:rsidR="00D961AD" w:rsidRPr="00633D33" w:rsidRDefault="005B7B64" w:rsidP="00633D33">
      <w:pPr>
        <w:spacing w:after="0" w:line="240" w:lineRule="auto"/>
        <w:jc w:val="both"/>
        <w:rPr>
          <w:rFonts w:ascii="Times New Roman" w:hAnsi="Times New Roman"/>
          <w:bCs/>
          <w:iCs/>
          <w:sz w:val="24"/>
          <w:szCs w:val="24"/>
        </w:rPr>
      </w:pPr>
      <w:r w:rsidRPr="00633D33">
        <w:rPr>
          <w:rFonts w:ascii="Times New Roman" w:hAnsi="Times New Roman"/>
          <w:bCs/>
          <w:iCs/>
          <w:sz w:val="24"/>
          <w:szCs w:val="24"/>
        </w:rPr>
        <w:t>Sobre</w:t>
      </w:r>
      <w:r w:rsidR="004707B1" w:rsidRPr="00633D33">
        <w:rPr>
          <w:rFonts w:ascii="Times New Roman" w:hAnsi="Times New Roman"/>
          <w:bCs/>
          <w:iCs/>
          <w:sz w:val="24"/>
          <w:szCs w:val="24"/>
        </w:rPr>
        <w:t xml:space="preserve"> los artículos 4 al 7 (Parte II</w:t>
      </w:r>
      <w:r w:rsidR="000B7E84" w:rsidRPr="00633D33">
        <w:rPr>
          <w:rFonts w:ascii="Times New Roman" w:hAnsi="Times New Roman"/>
          <w:bCs/>
          <w:iCs/>
          <w:sz w:val="24"/>
          <w:szCs w:val="24"/>
        </w:rPr>
        <w:t>), específicamente</w:t>
      </w:r>
      <w:r w:rsidR="00D961AD" w:rsidRPr="00633D33">
        <w:rPr>
          <w:rFonts w:ascii="Times New Roman" w:hAnsi="Times New Roman"/>
          <w:bCs/>
          <w:iCs/>
          <w:sz w:val="24"/>
          <w:szCs w:val="24"/>
        </w:rPr>
        <w:t xml:space="preserve"> en el artículo 5 (Relación con el derecho a la libre determinación), en el numeral 5 tomar en cuenta la discriminación por sexo, idioma, religión, opinión política o de otra índole, origen nacional o social, </w:t>
      </w:r>
      <w:r w:rsidR="00102A38">
        <w:rPr>
          <w:rFonts w:ascii="Times New Roman" w:hAnsi="Times New Roman"/>
          <w:bCs/>
          <w:iCs/>
          <w:sz w:val="24"/>
          <w:szCs w:val="24"/>
        </w:rPr>
        <w:t>situación económica, nacimiento</w:t>
      </w:r>
      <w:r w:rsidR="00FB01FB" w:rsidRPr="00633D33">
        <w:rPr>
          <w:rFonts w:ascii="Times New Roman" w:hAnsi="Times New Roman"/>
          <w:bCs/>
          <w:iCs/>
          <w:sz w:val="24"/>
          <w:szCs w:val="24"/>
        </w:rPr>
        <w:t xml:space="preserve">, grupos vulnerables u </w:t>
      </w:r>
      <w:r w:rsidR="00D961AD" w:rsidRPr="00633D33">
        <w:rPr>
          <w:rFonts w:ascii="Times New Roman" w:hAnsi="Times New Roman"/>
          <w:bCs/>
          <w:iCs/>
          <w:sz w:val="24"/>
          <w:szCs w:val="24"/>
        </w:rPr>
        <w:t>otra condición.</w:t>
      </w:r>
    </w:p>
    <w:p w:rsidR="00D961AD" w:rsidRPr="00633D33" w:rsidRDefault="00D961AD" w:rsidP="00633D33">
      <w:pPr>
        <w:spacing w:after="0" w:line="240" w:lineRule="auto"/>
        <w:jc w:val="both"/>
        <w:rPr>
          <w:rFonts w:ascii="Times New Roman" w:hAnsi="Times New Roman"/>
          <w:bCs/>
          <w:iCs/>
          <w:sz w:val="24"/>
          <w:szCs w:val="24"/>
        </w:rPr>
      </w:pPr>
    </w:p>
    <w:p w:rsidR="00D961AD" w:rsidRPr="00633D33" w:rsidRDefault="005B7B64" w:rsidP="00633D33">
      <w:pPr>
        <w:spacing w:after="0" w:line="240" w:lineRule="auto"/>
        <w:jc w:val="both"/>
        <w:rPr>
          <w:rFonts w:ascii="Times New Roman" w:hAnsi="Times New Roman"/>
          <w:bCs/>
          <w:iCs/>
          <w:sz w:val="24"/>
          <w:szCs w:val="24"/>
        </w:rPr>
      </w:pPr>
      <w:r w:rsidRPr="00633D33">
        <w:rPr>
          <w:rFonts w:ascii="Times New Roman" w:hAnsi="Times New Roman"/>
          <w:bCs/>
          <w:iCs/>
          <w:sz w:val="24"/>
          <w:szCs w:val="24"/>
        </w:rPr>
        <w:t>E</w:t>
      </w:r>
      <w:r w:rsidR="000B7E84" w:rsidRPr="00633D33">
        <w:rPr>
          <w:rFonts w:ascii="Times New Roman" w:hAnsi="Times New Roman"/>
          <w:bCs/>
          <w:iCs/>
          <w:sz w:val="24"/>
          <w:szCs w:val="24"/>
        </w:rPr>
        <w:t>n el artículo 6 (Relación con otros derechos humanos)</w:t>
      </w:r>
      <w:r w:rsidR="004707B1" w:rsidRPr="00633D33">
        <w:rPr>
          <w:rFonts w:ascii="Times New Roman" w:hAnsi="Times New Roman"/>
          <w:bCs/>
          <w:iCs/>
          <w:sz w:val="24"/>
          <w:szCs w:val="24"/>
        </w:rPr>
        <w:t xml:space="preserve">, </w:t>
      </w:r>
      <w:r w:rsidR="00235BD7" w:rsidRPr="00633D33">
        <w:rPr>
          <w:rFonts w:ascii="Times New Roman" w:hAnsi="Times New Roman"/>
          <w:bCs/>
          <w:iCs/>
          <w:sz w:val="24"/>
          <w:szCs w:val="24"/>
        </w:rPr>
        <w:t>se considera</w:t>
      </w:r>
      <w:r w:rsidR="004707B1" w:rsidRPr="00633D33">
        <w:rPr>
          <w:rFonts w:ascii="Times New Roman" w:hAnsi="Times New Roman"/>
          <w:bCs/>
          <w:iCs/>
          <w:sz w:val="24"/>
          <w:szCs w:val="24"/>
        </w:rPr>
        <w:t xml:space="preserve"> importante incluir los derechos de las personas migrantes y sus familias</w:t>
      </w:r>
      <w:r w:rsidR="00235BD7" w:rsidRPr="00633D33">
        <w:rPr>
          <w:rFonts w:ascii="Times New Roman" w:hAnsi="Times New Roman"/>
          <w:bCs/>
          <w:iCs/>
          <w:sz w:val="24"/>
          <w:szCs w:val="24"/>
        </w:rPr>
        <w:t xml:space="preserve">, </w:t>
      </w:r>
      <w:r w:rsidR="000B7E84" w:rsidRPr="00633D33">
        <w:rPr>
          <w:rFonts w:ascii="Times New Roman" w:hAnsi="Times New Roman"/>
          <w:bCs/>
          <w:iCs/>
          <w:sz w:val="24"/>
          <w:szCs w:val="24"/>
        </w:rPr>
        <w:t xml:space="preserve">tomando en consideración </w:t>
      </w:r>
      <w:r w:rsidR="00235BD7" w:rsidRPr="00633D33">
        <w:rPr>
          <w:rFonts w:ascii="Times New Roman" w:hAnsi="Times New Roman"/>
          <w:bCs/>
          <w:iCs/>
          <w:sz w:val="24"/>
          <w:szCs w:val="24"/>
        </w:rPr>
        <w:t>la situación</w:t>
      </w:r>
      <w:r w:rsidR="000B7E84" w:rsidRPr="00633D33">
        <w:rPr>
          <w:rFonts w:ascii="Times New Roman" w:hAnsi="Times New Roman"/>
          <w:bCs/>
          <w:iCs/>
          <w:sz w:val="24"/>
          <w:szCs w:val="24"/>
        </w:rPr>
        <w:t xml:space="preserve"> particular de El Salvador, el cual no solo es un país que expulsa a sus nacionales, sino que también es de tránsito y, en algunas ocasiones, también de acogida. </w:t>
      </w:r>
      <w:r w:rsidR="009A7773" w:rsidRPr="00633D33">
        <w:rPr>
          <w:rFonts w:ascii="Times New Roman" w:hAnsi="Times New Roman"/>
          <w:bCs/>
          <w:iCs/>
          <w:sz w:val="24"/>
          <w:szCs w:val="24"/>
        </w:rPr>
        <w:t xml:space="preserve">El reconocimiento de este grupo </w:t>
      </w:r>
      <w:r w:rsidR="00235BD7" w:rsidRPr="00633D33">
        <w:rPr>
          <w:rFonts w:ascii="Times New Roman" w:hAnsi="Times New Roman"/>
          <w:bCs/>
          <w:iCs/>
          <w:sz w:val="24"/>
          <w:szCs w:val="24"/>
        </w:rPr>
        <w:t xml:space="preserve">poblacional </w:t>
      </w:r>
      <w:r w:rsidR="009A7773" w:rsidRPr="00633D33">
        <w:rPr>
          <w:rFonts w:ascii="Times New Roman" w:hAnsi="Times New Roman"/>
          <w:bCs/>
          <w:iCs/>
          <w:sz w:val="24"/>
          <w:szCs w:val="24"/>
        </w:rPr>
        <w:t xml:space="preserve">como </w:t>
      </w:r>
      <w:r w:rsidR="009A7773" w:rsidRPr="00633D33">
        <w:rPr>
          <w:rFonts w:ascii="Times New Roman" w:hAnsi="Times New Roman"/>
          <w:sz w:val="24"/>
          <w:szCs w:val="24"/>
        </w:rPr>
        <w:t xml:space="preserve">titulares de derechos podría cambiar la forma de elaborar políticas, para que el punto de partida no sea la existencia de personas con necesidades que </w:t>
      </w:r>
      <w:r w:rsidR="009A7773" w:rsidRPr="00633D33">
        <w:rPr>
          <w:rFonts w:ascii="Times New Roman" w:hAnsi="Times New Roman"/>
          <w:sz w:val="24"/>
          <w:szCs w:val="24"/>
        </w:rPr>
        <w:lastRenderedPageBreak/>
        <w:t>deben ser asistidas, sino sujetos con derecho a demandar determinadas prestaciones y conductas</w:t>
      </w:r>
      <w:r w:rsidR="009A7773" w:rsidRPr="00633D33">
        <w:rPr>
          <w:rStyle w:val="FootnoteReference"/>
          <w:rFonts w:ascii="Times New Roman" w:hAnsi="Times New Roman"/>
          <w:sz w:val="24"/>
          <w:szCs w:val="24"/>
        </w:rPr>
        <w:footnoteReference w:id="5"/>
      </w:r>
      <w:r w:rsidR="009A7773" w:rsidRPr="00633D33">
        <w:rPr>
          <w:rFonts w:ascii="Times New Roman" w:hAnsi="Times New Roman"/>
          <w:sz w:val="24"/>
          <w:szCs w:val="24"/>
        </w:rPr>
        <w:t xml:space="preserve">. </w:t>
      </w:r>
      <w:r w:rsidR="00D961AD" w:rsidRPr="00633D33">
        <w:rPr>
          <w:rFonts w:ascii="Times New Roman" w:hAnsi="Times New Roman"/>
          <w:sz w:val="24"/>
          <w:szCs w:val="24"/>
        </w:rPr>
        <w:t>De igual forma</w:t>
      </w:r>
      <w:r w:rsidR="00AA15D7" w:rsidRPr="00633D33">
        <w:rPr>
          <w:rFonts w:ascii="Times New Roman" w:hAnsi="Times New Roman"/>
          <w:sz w:val="24"/>
          <w:szCs w:val="24"/>
        </w:rPr>
        <w:t>,</w:t>
      </w:r>
      <w:r w:rsidR="00D961AD" w:rsidRPr="00633D33">
        <w:rPr>
          <w:rFonts w:ascii="Times New Roman" w:hAnsi="Times New Roman"/>
          <w:sz w:val="24"/>
          <w:szCs w:val="24"/>
        </w:rPr>
        <w:t xml:space="preserve"> en el numeral</w:t>
      </w:r>
      <w:r w:rsidR="00AA15D7" w:rsidRPr="00633D33">
        <w:rPr>
          <w:rFonts w:ascii="Times New Roman" w:hAnsi="Times New Roman"/>
          <w:sz w:val="24"/>
          <w:szCs w:val="24"/>
        </w:rPr>
        <w:t xml:space="preserve"> primero</w:t>
      </w:r>
      <w:r w:rsidR="00D961AD" w:rsidRPr="00633D33">
        <w:rPr>
          <w:rFonts w:ascii="Times New Roman" w:hAnsi="Times New Roman"/>
          <w:sz w:val="24"/>
          <w:szCs w:val="24"/>
        </w:rPr>
        <w:t xml:space="preserve"> de este artículo se debe incluir que los derechos humanos son inalienables e interrelacionados. </w:t>
      </w:r>
    </w:p>
    <w:p w:rsidR="009A7773" w:rsidRPr="00633D33" w:rsidRDefault="009A7773" w:rsidP="00633D33">
      <w:pPr>
        <w:spacing w:after="0" w:line="240" w:lineRule="auto"/>
        <w:jc w:val="both"/>
        <w:rPr>
          <w:rFonts w:ascii="Times New Roman" w:hAnsi="Times New Roman"/>
          <w:bCs/>
          <w:iCs/>
          <w:sz w:val="24"/>
          <w:szCs w:val="24"/>
        </w:rPr>
      </w:pPr>
    </w:p>
    <w:p w:rsidR="00FB01FB" w:rsidRPr="00633D33" w:rsidRDefault="005B7B64" w:rsidP="00633D33">
      <w:pPr>
        <w:spacing w:line="240" w:lineRule="auto"/>
        <w:jc w:val="both"/>
        <w:rPr>
          <w:rFonts w:ascii="Times New Roman" w:hAnsi="Times New Roman"/>
          <w:b/>
          <w:sz w:val="24"/>
          <w:szCs w:val="24"/>
          <w:lang w:val="es-MX"/>
        </w:rPr>
      </w:pPr>
      <w:r w:rsidRPr="00633D33">
        <w:rPr>
          <w:rFonts w:ascii="Times New Roman" w:hAnsi="Times New Roman"/>
          <w:sz w:val="24"/>
          <w:szCs w:val="24"/>
        </w:rPr>
        <w:t>Somos</w:t>
      </w:r>
      <w:r w:rsidR="00C56DEB" w:rsidRPr="00633D33">
        <w:rPr>
          <w:rFonts w:ascii="Times New Roman" w:hAnsi="Times New Roman"/>
          <w:sz w:val="24"/>
          <w:szCs w:val="24"/>
        </w:rPr>
        <w:t xml:space="preserve"> de la opinión que sobre la base de las distintas formas de sociedades, existen múltiples diferencias entre los países desarrollados y los llamados en vías de desarrollo; en tal sentido, la convención debería enfocar sus medidas, especialmente a favor de los últimos</w:t>
      </w:r>
      <w:r w:rsidR="00FB01FB" w:rsidRPr="00633D33">
        <w:rPr>
          <w:rFonts w:ascii="Times New Roman" w:hAnsi="Times New Roman"/>
          <w:sz w:val="24"/>
          <w:szCs w:val="24"/>
        </w:rPr>
        <w:t xml:space="preserve"> y condiciones políticas, sociales y económicas propias donde impera la opacidad y la corrupción</w:t>
      </w:r>
    </w:p>
    <w:p w:rsidR="00FB01FB" w:rsidRPr="00633D33" w:rsidRDefault="00102A38" w:rsidP="00633D33">
      <w:pPr>
        <w:spacing w:line="240" w:lineRule="auto"/>
        <w:jc w:val="both"/>
        <w:rPr>
          <w:rFonts w:ascii="Times New Roman" w:hAnsi="Times New Roman"/>
          <w:sz w:val="24"/>
          <w:szCs w:val="24"/>
          <w:lang w:val="es-MX"/>
        </w:rPr>
      </w:pPr>
      <w:r>
        <w:rPr>
          <w:rFonts w:ascii="Times New Roman" w:hAnsi="Times New Roman"/>
          <w:sz w:val="24"/>
          <w:szCs w:val="24"/>
          <w:lang w:val="es-MX"/>
        </w:rPr>
        <w:t>En relación al a</w:t>
      </w:r>
      <w:r w:rsidR="00FB01FB" w:rsidRPr="00633D33">
        <w:rPr>
          <w:rFonts w:ascii="Times New Roman" w:hAnsi="Times New Roman"/>
          <w:sz w:val="24"/>
          <w:szCs w:val="24"/>
          <w:lang w:val="es-MX"/>
        </w:rPr>
        <w:t>r</w:t>
      </w:r>
      <w:r>
        <w:rPr>
          <w:rFonts w:ascii="Times New Roman" w:hAnsi="Times New Roman"/>
          <w:sz w:val="24"/>
          <w:szCs w:val="24"/>
          <w:lang w:val="es-MX"/>
        </w:rPr>
        <w:t>tí</w:t>
      </w:r>
      <w:r w:rsidR="00FB01FB" w:rsidRPr="00633D33">
        <w:rPr>
          <w:rFonts w:ascii="Times New Roman" w:hAnsi="Times New Roman"/>
          <w:sz w:val="24"/>
          <w:szCs w:val="24"/>
          <w:lang w:val="es-MX"/>
        </w:rPr>
        <w:t>culo 8 se recomienda la incorporación de un lenguaje inclusivo modificando la frase “el derecho al desarrollo de todos” por “el derecho al desarrollo de todas las personas”. Además</w:t>
      </w:r>
      <w:r>
        <w:rPr>
          <w:rFonts w:ascii="Times New Roman" w:hAnsi="Times New Roman"/>
          <w:sz w:val="24"/>
          <w:szCs w:val="24"/>
          <w:lang w:val="es-MX"/>
        </w:rPr>
        <w:t>,</w:t>
      </w:r>
      <w:r w:rsidR="00FB01FB" w:rsidRPr="00633D33">
        <w:rPr>
          <w:rFonts w:ascii="Times New Roman" w:hAnsi="Times New Roman"/>
          <w:sz w:val="24"/>
          <w:szCs w:val="24"/>
          <w:lang w:val="es-MX"/>
        </w:rPr>
        <w:t xml:space="preserve"> incluir a la orientación sexual y la identidad de género como categorías de no discriminación expresamente protegidas y establecer</w:t>
      </w:r>
      <w:r>
        <w:rPr>
          <w:rFonts w:ascii="Times New Roman" w:hAnsi="Times New Roman"/>
          <w:sz w:val="24"/>
          <w:szCs w:val="24"/>
          <w:lang w:val="es-MX"/>
        </w:rPr>
        <w:t xml:space="preserve"> la obligación de garantizar a </w:t>
      </w:r>
      <w:r w:rsidR="00FB01FB" w:rsidRPr="00633D33">
        <w:rPr>
          <w:rFonts w:ascii="Times New Roman" w:hAnsi="Times New Roman"/>
          <w:sz w:val="24"/>
          <w:szCs w:val="24"/>
          <w:lang w:val="es-MX"/>
        </w:rPr>
        <w:t>todas las personas protección legal igual y efectiva contra la discriminación por cualquier motivo</w:t>
      </w:r>
      <w:r w:rsidR="00FB01FB" w:rsidRPr="00633D33">
        <w:rPr>
          <w:rFonts w:ascii="Times New Roman" w:hAnsi="Times New Roman"/>
          <w:sz w:val="24"/>
          <w:szCs w:val="24"/>
        </w:rPr>
        <w:t>.</w:t>
      </w:r>
    </w:p>
    <w:p w:rsidR="00FB01FB" w:rsidRPr="00633D33" w:rsidRDefault="00102A38" w:rsidP="00633D33">
      <w:pPr>
        <w:spacing w:line="240" w:lineRule="auto"/>
        <w:jc w:val="both"/>
        <w:rPr>
          <w:rFonts w:ascii="Times New Roman" w:hAnsi="Times New Roman"/>
          <w:sz w:val="24"/>
          <w:szCs w:val="24"/>
          <w:lang w:val="es-MX"/>
        </w:rPr>
      </w:pPr>
      <w:r>
        <w:rPr>
          <w:rFonts w:ascii="Times New Roman" w:hAnsi="Times New Roman"/>
          <w:sz w:val="24"/>
          <w:szCs w:val="24"/>
          <w:lang w:val="es-MX"/>
        </w:rPr>
        <w:t>En el</w:t>
      </w:r>
      <w:r w:rsidR="00FB01FB" w:rsidRPr="00633D33">
        <w:rPr>
          <w:rFonts w:ascii="Times New Roman" w:hAnsi="Times New Roman"/>
          <w:sz w:val="24"/>
          <w:szCs w:val="24"/>
          <w:lang w:val="es-MX"/>
        </w:rPr>
        <w:t xml:space="preserve"> inciso segundo de este artículo, debería establecerse la obligación de los Estados de velar porque los agentes no estatales, incluidas las empresas e inversionistas vinculados a proyectos de desarrollo, también actúen de conformidad con la Convención, las normas internacionales de derechos humanos y los intereses y necesidades de las poblaciones enfocando los esfuerzo</w:t>
      </w:r>
      <w:r>
        <w:rPr>
          <w:rFonts w:ascii="Times New Roman" w:hAnsi="Times New Roman"/>
          <w:sz w:val="24"/>
          <w:szCs w:val="24"/>
          <w:lang w:val="es-MX"/>
        </w:rPr>
        <w:t>s</w:t>
      </w:r>
      <w:r w:rsidR="00FB01FB" w:rsidRPr="00633D33">
        <w:rPr>
          <w:rFonts w:ascii="Times New Roman" w:hAnsi="Times New Roman"/>
          <w:sz w:val="24"/>
          <w:szCs w:val="24"/>
          <w:lang w:val="es-MX"/>
        </w:rPr>
        <w:t xml:space="preserve"> hacia la consecución de los ODS. </w:t>
      </w:r>
    </w:p>
    <w:p w:rsidR="00FB01FB" w:rsidRPr="00633D33" w:rsidRDefault="00FB01FB" w:rsidP="00633D33">
      <w:pPr>
        <w:spacing w:line="240" w:lineRule="auto"/>
        <w:jc w:val="both"/>
        <w:rPr>
          <w:rFonts w:ascii="Times New Roman" w:hAnsi="Times New Roman"/>
          <w:sz w:val="24"/>
          <w:szCs w:val="24"/>
          <w:lang w:val="es-MX"/>
        </w:rPr>
      </w:pPr>
      <w:r w:rsidRPr="00633D33">
        <w:rPr>
          <w:rFonts w:ascii="Times New Roman" w:hAnsi="Times New Roman"/>
          <w:sz w:val="24"/>
          <w:szCs w:val="24"/>
          <w:lang w:val="es-MX"/>
        </w:rPr>
        <w:t>También resulta importa</w:t>
      </w:r>
      <w:r w:rsidR="00102A38">
        <w:rPr>
          <w:rFonts w:ascii="Times New Roman" w:hAnsi="Times New Roman"/>
          <w:sz w:val="24"/>
          <w:szCs w:val="24"/>
          <w:lang w:val="es-MX"/>
        </w:rPr>
        <w:t>nte incorporar en este artículo</w:t>
      </w:r>
      <w:r w:rsidRPr="00633D33">
        <w:rPr>
          <w:rFonts w:ascii="Times New Roman" w:hAnsi="Times New Roman"/>
          <w:sz w:val="24"/>
          <w:szCs w:val="24"/>
          <w:lang w:val="es-MX"/>
        </w:rPr>
        <w:t xml:space="preserve"> la obligación de los Estados de promover, mantener y preservar las condiciones necesarias para que el derecho al desarrollo sea un proceso integral, tales como una gobernanza democrática y pluralista, las garantías para desarrollar una i</w:t>
      </w:r>
      <w:r w:rsidR="00102A38">
        <w:rPr>
          <w:rFonts w:ascii="Times New Roman" w:hAnsi="Times New Roman"/>
          <w:sz w:val="24"/>
          <w:szCs w:val="24"/>
          <w:lang w:val="es-MX"/>
        </w:rPr>
        <w:t>nstitucionalidad democrática y el E</w:t>
      </w:r>
      <w:r w:rsidRPr="00633D33">
        <w:rPr>
          <w:rFonts w:ascii="Times New Roman" w:hAnsi="Times New Roman"/>
          <w:sz w:val="24"/>
          <w:szCs w:val="24"/>
          <w:lang w:val="es-MX"/>
        </w:rPr>
        <w:t xml:space="preserve">stado de derecho justo y transparente a través de una adecuada rendición de cuentas. </w:t>
      </w:r>
    </w:p>
    <w:p w:rsidR="005B7B64" w:rsidRPr="00633D33" w:rsidRDefault="00FB01FB" w:rsidP="00633D33">
      <w:pPr>
        <w:spacing w:after="0" w:line="240" w:lineRule="auto"/>
        <w:jc w:val="both"/>
        <w:rPr>
          <w:rFonts w:ascii="Times New Roman" w:hAnsi="Times New Roman"/>
          <w:sz w:val="24"/>
          <w:szCs w:val="24"/>
          <w:lang w:val="es-MX"/>
        </w:rPr>
      </w:pPr>
      <w:r w:rsidRPr="00633D33">
        <w:rPr>
          <w:rFonts w:ascii="Times New Roman" w:hAnsi="Times New Roman"/>
          <w:sz w:val="24"/>
          <w:szCs w:val="24"/>
          <w:lang w:val="es-MX"/>
        </w:rPr>
        <w:t>En el artículo 9, se propone ampliar la obligación de las organizaciones internacionales en el sentido de añadir su responsabilidad de incorporar los principios de derechos humanos consagrados en el derecho al desarrollo y colocar a las personas titulares de derechos en el centro de la adopción de sus decisiones. Asimismo, debería establecerse un compromiso por promover, proteger y dar cumplimiento al derecho al desarrollo.</w:t>
      </w:r>
    </w:p>
    <w:p w:rsidR="00102A38" w:rsidRDefault="00102A38" w:rsidP="00102A38">
      <w:pPr>
        <w:spacing w:after="0" w:line="240" w:lineRule="auto"/>
        <w:jc w:val="both"/>
        <w:rPr>
          <w:rFonts w:ascii="Times New Roman" w:hAnsi="Times New Roman"/>
          <w:sz w:val="24"/>
          <w:szCs w:val="24"/>
          <w:lang w:val="es-MX"/>
        </w:rPr>
      </w:pPr>
      <w:r>
        <w:rPr>
          <w:rFonts w:ascii="Times New Roman" w:hAnsi="Times New Roman"/>
          <w:sz w:val="24"/>
          <w:szCs w:val="24"/>
          <w:lang w:val="es-MX"/>
        </w:rPr>
        <w:t xml:space="preserve"> </w:t>
      </w:r>
    </w:p>
    <w:p w:rsidR="00102A38" w:rsidRDefault="00FB01FB" w:rsidP="00102A38">
      <w:pPr>
        <w:spacing w:after="0" w:line="240" w:lineRule="auto"/>
        <w:jc w:val="both"/>
        <w:rPr>
          <w:rFonts w:ascii="Times New Roman" w:hAnsi="Times New Roman"/>
          <w:sz w:val="24"/>
          <w:szCs w:val="24"/>
          <w:lang w:val="es-MX"/>
        </w:rPr>
      </w:pPr>
      <w:r w:rsidRPr="00633D33">
        <w:rPr>
          <w:rFonts w:ascii="Times New Roman" w:hAnsi="Times New Roman"/>
          <w:sz w:val="24"/>
          <w:szCs w:val="24"/>
          <w:lang w:val="es-MX"/>
        </w:rPr>
        <w:t>E</w:t>
      </w:r>
      <w:r w:rsidR="005B7B64" w:rsidRPr="00633D33">
        <w:rPr>
          <w:rFonts w:ascii="Times New Roman" w:hAnsi="Times New Roman"/>
          <w:sz w:val="24"/>
          <w:szCs w:val="24"/>
          <w:lang w:val="es-MX"/>
        </w:rPr>
        <w:t>l</w:t>
      </w:r>
      <w:r w:rsidRPr="00633D33">
        <w:rPr>
          <w:rFonts w:ascii="Times New Roman" w:hAnsi="Times New Roman"/>
          <w:sz w:val="24"/>
          <w:szCs w:val="24"/>
          <w:lang w:val="es-MX"/>
        </w:rPr>
        <w:t xml:space="preserve"> proceso </w:t>
      </w:r>
      <w:r w:rsidR="00102A38">
        <w:rPr>
          <w:rFonts w:ascii="Times New Roman" w:hAnsi="Times New Roman"/>
          <w:sz w:val="24"/>
          <w:szCs w:val="24"/>
          <w:lang w:val="es-MX"/>
        </w:rPr>
        <w:t>de formulación de la Convención</w:t>
      </w:r>
      <w:r w:rsidRPr="00633D33">
        <w:rPr>
          <w:rFonts w:ascii="Times New Roman" w:hAnsi="Times New Roman"/>
          <w:sz w:val="24"/>
          <w:szCs w:val="24"/>
          <w:lang w:val="es-MX"/>
        </w:rPr>
        <w:t>, debería verse como una oportunidad para incorporar disposiciones vinculadas a los “Principios Rectores sobre las Empresas y los Derechos Humanos” de la Organización de las Naciones Unidas. Específicamente en este artículo debería incorporarse la obligación de los Estados de proteger contra las violaciones al derecho humano al desarrollo cometidas en su territorio y/o su jurisdicción por terceros, incluidas las empresas. A tal efecto deben adoptar las medidas apropiadas para prevenir, investigar, castigar y reparar esos abusos mediante políticas adecuadas, actividades de reglamentaci</w:t>
      </w:r>
      <w:r w:rsidR="00102A38">
        <w:rPr>
          <w:rFonts w:ascii="Times New Roman" w:hAnsi="Times New Roman"/>
          <w:sz w:val="24"/>
          <w:szCs w:val="24"/>
          <w:lang w:val="es-MX"/>
        </w:rPr>
        <w:t xml:space="preserve">ón y sometimiento a la justicia </w:t>
      </w:r>
      <w:r w:rsidRPr="00633D33">
        <w:rPr>
          <w:rFonts w:ascii="Times New Roman" w:hAnsi="Times New Roman"/>
          <w:sz w:val="24"/>
          <w:szCs w:val="24"/>
          <w:lang w:val="es-MX"/>
        </w:rPr>
        <w:t>(Principio Fundacional)</w:t>
      </w:r>
      <w:r w:rsidR="00102A38">
        <w:rPr>
          <w:rFonts w:ascii="Times New Roman" w:hAnsi="Times New Roman"/>
          <w:sz w:val="24"/>
          <w:szCs w:val="24"/>
          <w:lang w:val="es-MX"/>
        </w:rPr>
        <w:t>.</w:t>
      </w:r>
    </w:p>
    <w:p w:rsidR="00FB01FB" w:rsidRPr="00633D33" w:rsidRDefault="00FB01FB" w:rsidP="00102A38">
      <w:pPr>
        <w:spacing w:after="0" w:line="240" w:lineRule="auto"/>
        <w:jc w:val="both"/>
        <w:rPr>
          <w:rFonts w:ascii="Times New Roman" w:hAnsi="Times New Roman"/>
          <w:sz w:val="24"/>
          <w:szCs w:val="24"/>
          <w:lang w:val="es-MX"/>
        </w:rPr>
      </w:pPr>
      <w:r w:rsidRPr="00633D33">
        <w:rPr>
          <w:rFonts w:ascii="Times New Roman" w:hAnsi="Times New Roman"/>
          <w:sz w:val="24"/>
          <w:szCs w:val="24"/>
          <w:lang w:val="es-MX"/>
        </w:rPr>
        <w:t xml:space="preserve"> </w:t>
      </w:r>
    </w:p>
    <w:p w:rsidR="00FB01FB" w:rsidRPr="00633D33" w:rsidRDefault="00FB01FB" w:rsidP="00633D33">
      <w:pPr>
        <w:spacing w:line="240" w:lineRule="auto"/>
        <w:jc w:val="both"/>
        <w:rPr>
          <w:rFonts w:ascii="Times New Roman" w:hAnsi="Times New Roman"/>
          <w:sz w:val="24"/>
          <w:szCs w:val="24"/>
          <w:lang w:val="es-MX"/>
        </w:rPr>
      </w:pPr>
      <w:r w:rsidRPr="00633D33">
        <w:rPr>
          <w:rFonts w:ascii="Times New Roman" w:hAnsi="Times New Roman"/>
          <w:sz w:val="24"/>
          <w:szCs w:val="24"/>
          <w:lang w:val="es-MX"/>
        </w:rPr>
        <w:t xml:space="preserve">Incluir en el párrafo 1 del artículo 12 el compromiso de los Estados para promover progresivamente el derecho al desarrollo teniendo en prioritaria consideración la protección del medio ambiente de las generaciones actuales y futuras. En ese artículo también debería incluirse la obligación de dar prioridad a la situación y necesidad de los países y personas menos favorecidas. </w:t>
      </w:r>
    </w:p>
    <w:p w:rsidR="00FB01FB" w:rsidRPr="00633D33" w:rsidRDefault="005B7B64" w:rsidP="00633D33">
      <w:pPr>
        <w:spacing w:line="240" w:lineRule="auto"/>
        <w:jc w:val="both"/>
        <w:rPr>
          <w:rFonts w:ascii="Times New Roman" w:hAnsi="Times New Roman"/>
          <w:sz w:val="24"/>
          <w:szCs w:val="24"/>
          <w:lang w:val="es-MX"/>
        </w:rPr>
      </w:pPr>
      <w:r w:rsidRPr="00633D33">
        <w:rPr>
          <w:rFonts w:ascii="Times New Roman" w:hAnsi="Times New Roman"/>
          <w:sz w:val="24"/>
          <w:szCs w:val="24"/>
          <w:lang w:val="es-MX"/>
        </w:rPr>
        <w:t>D</w:t>
      </w:r>
      <w:r w:rsidR="00FB01FB" w:rsidRPr="00633D33">
        <w:rPr>
          <w:rFonts w:ascii="Times New Roman" w:hAnsi="Times New Roman"/>
          <w:sz w:val="24"/>
          <w:szCs w:val="24"/>
          <w:lang w:val="es-MX"/>
        </w:rPr>
        <w:t>ebe hacerse referencia a la gobernanza pluralista y transparente junto con la participación activa, significativa e informada de la población como elementos esenciales para la efectividad del derecho al desarrollo. Tal como ha sido reconocido por el Relator Especial sobre el Derecho al Desarrollo, el ejercicio de este derecho “debe entrañar  el empoderamiento de las personas, tanto a nivel individual como colectivo, para decidir sus propias prioridades de desarrollo y los métodos que prefieren para lograrlas”</w:t>
      </w:r>
      <w:r w:rsidR="00FB01FB" w:rsidRPr="00633D33">
        <w:rPr>
          <w:rFonts w:ascii="Times New Roman" w:hAnsi="Times New Roman"/>
          <w:sz w:val="24"/>
          <w:szCs w:val="24"/>
        </w:rPr>
        <w:footnoteReference w:id="6"/>
      </w:r>
      <w:r w:rsidR="00FB01FB" w:rsidRPr="00633D33">
        <w:rPr>
          <w:rFonts w:ascii="Times New Roman" w:hAnsi="Times New Roman"/>
          <w:sz w:val="24"/>
          <w:szCs w:val="24"/>
          <w:lang w:val="es-MX"/>
        </w:rPr>
        <w:t xml:space="preserve"> y en tal sentido, el deber de cada Estado de establecer sus propias prioridades nacionales en materia de derecho al desarrollo (inciso final del artículo) necesariamente implica colocar a los titulares de derechos en el centro de la adopción de las decisiones que afectan a su propio desarrollo económico, social, cultural y político.</w:t>
      </w:r>
    </w:p>
    <w:p w:rsidR="00FB01FB" w:rsidRPr="00633D33" w:rsidRDefault="00FB01FB" w:rsidP="00633D33">
      <w:pPr>
        <w:pStyle w:val="Default"/>
        <w:jc w:val="both"/>
        <w:rPr>
          <w:rFonts w:ascii="Times New Roman" w:hAnsi="Times New Roman" w:cs="Times New Roman"/>
          <w:color w:val="auto"/>
          <w:lang w:val="es-MX"/>
        </w:rPr>
      </w:pPr>
      <w:r w:rsidRPr="00633D33">
        <w:rPr>
          <w:rFonts w:ascii="Times New Roman" w:hAnsi="Times New Roman" w:cs="Times New Roman"/>
          <w:lang w:val="es-MX"/>
        </w:rPr>
        <w:t xml:space="preserve">En el mismo numeral 2,  debería hacerse referencia a la obligación de adecuar el derecho interno a los postulados contenidos en la Convención sobre Derecho al Desarrollo, lo que implica la obligación de </w:t>
      </w:r>
      <w:r w:rsidRPr="00633D33">
        <w:rPr>
          <w:rFonts w:ascii="Times New Roman" w:hAnsi="Times New Roman" w:cs="Times New Roman"/>
          <w:color w:val="auto"/>
          <w:lang w:val="es-MX"/>
        </w:rPr>
        <w:t xml:space="preserve"> suprimir todas aquellas normas, políticas y prácticas de cualquier naturaleza que entrañen una violación a las garantías de efectividad de los derechos humanos, o en su defecto, que  desconozcan su reconocimiento u obstaculicen su ejercicio, así también, gara</w:t>
      </w:r>
      <w:r w:rsidR="00102A38">
        <w:rPr>
          <w:rFonts w:ascii="Times New Roman" w:hAnsi="Times New Roman" w:cs="Times New Roman"/>
          <w:color w:val="auto"/>
          <w:lang w:val="es-MX"/>
        </w:rPr>
        <w:t>ntizar la expedición de leyes y</w:t>
      </w:r>
      <w:r w:rsidRPr="00633D33">
        <w:rPr>
          <w:rFonts w:ascii="Times New Roman" w:hAnsi="Times New Roman" w:cs="Times New Roman"/>
          <w:color w:val="auto"/>
          <w:lang w:val="es-MX"/>
        </w:rPr>
        <w:t xml:space="preserve"> desarrollo de políticas y prácticas conducentes a la efectiva observancia de dichas garantías</w:t>
      </w:r>
      <w:r w:rsidRPr="00633D33">
        <w:rPr>
          <w:rStyle w:val="FootnoteReference"/>
          <w:rFonts w:ascii="Times New Roman" w:hAnsi="Times New Roman" w:cs="Times New Roman"/>
          <w:color w:val="auto"/>
          <w:lang w:val="es-MX"/>
        </w:rPr>
        <w:footnoteReference w:id="7"/>
      </w:r>
      <w:r w:rsidR="005B7B64" w:rsidRPr="00633D33">
        <w:rPr>
          <w:rFonts w:ascii="Times New Roman" w:hAnsi="Times New Roman" w:cs="Times New Roman"/>
          <w:color w:val="auto"/>
          <w:lang w:val="es-MX"/>
        </w:rPr>
        <w:t xml:space="preserve">. </w:t>
      </w:r>
      <w:r w:rsidRPr="00633D33">
        <w:rPr>
          <w:rFonts w:ascii="Times New Roman" w:hAnsi="Times New Roman" w:cs="Times New Roman"/>
          <w:color w:val="auto"/>
          <w:lang w:val="es-MX"/>
        </w:rPr>
        <w:t>También debería incluirse la obligación de fomentar el desarrollo utilizando el máximo de recursos disponibles.</w:t>
      </w:r>
    </w:p>
    <w:p w:rsidR="00FB01FB" w:rsidRPr="00633D33" w:rsidRDefault="00FB01FB" w:rsidP="00633D33">
      <w:pPr>
        <w:pStyle w:val="ListParagraph"/>
        <w:spacing w:line="240" w:lineRule="auto"/>
        <w:rPr>
          <w:rFonts w:ascii="Times New Roman" w:hAnsi="Times New Roman"/>
          <w:b/>
          <w:i/>
          <w:sz w:val="24"/>
          <w:szCs w:val="24"/>
          <w:lang w:val="es-MX"/>
        </w:rPr>
      </w:pPr>
      <w:r w:rsidRPr="00633D33">
        <w:rPr>
          <w:rFonts w:ascii="Times New Roman" w:hAnsi="Times New Roman"/>
          <w:b/>
          <w:i/>
          <w:sz w:val="24"/>
          <w:szCs w:val="24"/>
          <w:lang w:val="es-MX"/>
        </w:rPr>
        <w:t xml:space="preserve"> </w:t>
      </w:r>
    </w:p>
    <w:p w:rsidR="00FB01FB" w:rsidRPr="00633D33" w:rsidRDefault="005B7B64" w:rsidP="00633D33">
      <w:pPr>
        <w:spacing w:line="240" w:lineRule="auto"/>
        <w:jc w:val="both"/>
        <w:rPr>
          <w:rFonts w:ascii="Times New Roman" w:hAnsi="Times New Roman"/>
          <w:color w:val="000000"/>
          <w:sz w:val="24"/>
          <w:szCs w:val="24"/>
          <w:lang w:val="es-MX"/>
        </w:rPr>
      </w:pPr>
      <w:r w:rsidRPr="00633D33">
        <w:rPr>
          <w:rFonts w:ascii="Times New Roman" w:hAnsi="Times New Roman"/>
          <w:color w:val="000000"/>
          <w:sz w:val="24"/>
          <w:szCs w:val="24"/>
          <w:lang w:val="es-MX"/>
        </w:rPr>
        <w:t>I</w:t>
      </w:r>
      <w:r w:rsidR="00FB01FB" w:rsidRPr="00633D33">
        <w:rPr>
          <w:rFonts w:ascii="Times New Roman" w:hAnsi="Times New Roman"/>
          <w:color w:val="000000"/>
          <w:sz w:val="24"/>
          <w:szCs w:val="24"/>
          <w:lang w:val="es-MX"/>
        </w:rPr>
        <w:t xml:space="preserve">ncluir </w:t>
      </w:r>
      <w:r w:rsidR="00102A38">
        <w:rPr>
          <w:rFonts w:ascii="Times New Roman" w:hAnsi="Times New Roman"/>
          <w:color w:val="000000"/>
          <w:sz w:val="24"/>
          <w:szCs w:val="24"/>
          <w:lang w:val="es-MX"/>
        </w:rPr>
        <w:t>la obligación de los Estados de</w:t>
      </w:r>
      <w:r w:rsidR="00FB01FB" w:rsidRPr="00633D33">
        <w:rPr>
          <w:rFonts w:ascii="Times New Roman" w:hAnsi="Times New Roman"/>
          <w:color w:val="000000"/>
          <w:sz w:val="24"/>
          <w:szCs w:val="24"/>
          <w:lang w:val="es-MX"/>
        </w:rPr>
        <w:t xml:space="preserve"> incorporar a las poblaciones en los procesos de evaluación mediante garantías específicas para ejercer los derechos a la participación y el acceso a la información. Asimismo</w:t>
      </w:r>
      <w:r w:rsidR="00102A38">
        <w:rPr>
          <w:rFonts w:ascii="Times New Roman" w:hAnsi="Times New Roman"/>
          <w:color w:val="000000"/>
          <w:sz w:val="24"/>
          <w:szCs w:val="24"/>
          <w:lang w:val="es-MX"/>
        </w:rPr>
        <w:t>,</w:t>
      </w:r>
      <w:r w:rsidR="00FB01FB" w:rsidRPr="00633D33">
        <w:rPr>
          <w:rFonts w:ascii="Times New Roman" w:hAnsi="Times New Roman"/>
          <w:color w:val="000000"/>
          <w:sz w:val="24"/>
          <w:szCs w:val="24"/>
          <w:lang w:val="es-MX"/>
        </w:rPr>
        <w:t xml:space="preserve"> debe establecerse que en dichas evaluaciones debe tomarse en consideración las repercusiones en el bienestar de las personas y en el medio ambiente.</w:t>
      </w:r>
      <w:r w:rsidR="001D6A46" w:rsidRPr="00633D33">
        <w:rPr>
          <w:rFonts w:ascii="Times New Roman" w:hAnsi="Times New Roman"/>
          <w:color w:val="000000"/>
          <w:sz w:val="24"/>
          <w:szCs w:val="24"/>
          <w:lang w:val="es-MX"/>
        </w:rPr>
        <w:t xml:space="preserve"> </w:t>
      </w:r>
      <w:r w:rsidR="00FB01FB" w:rsidRPr="00633D33">
        <w:rPr>
          <w:rFonts w:ascii="Times New Roman" w:hAnsi="Times New Roman"/>
          <w:color w:val="000000"/>
          <w:sz w:val="24"/>
          <w:szCs w:val="24"/>
          <w:lang w:val="es-MX"/>
        </w:rPr>
        <w:t xml:space="preserve">En dichas evaluaciones debe incorporarse la obligación de los Estados de informar de manera transparente y a través de medios accesibles los resultados de las evaluaciones. </w:t>
      </w:r>
    </w:p>
    <w:p w:rsidR="00FB01FB" w:rsidRPr="00633D33" w:rsidRDefault="00FB01FB" w:rsidP="00633D33">
      <w:pPr>
        <w:spacing w:line="240" w:lineRule="auto"/>
        <w:jc w:val="both"/>
        <w:rPr>
          <w:rFonts w:ascii="Times New Roman" w:hAnsi="Times New Roman"/>
          <w:color w:val="000000"/>
          <w:sz w:val="24"/>
          <w:szCs w:val="24"/>
          <w:lang w:val="es-MX"/>
        </w:rPr>
      </w:pPr>
      <w:r w:rsidRPr="00633D33">
        <w:rPr>
          <w:rFonts w:ascii="Times New Roman" w:hAnsi="Times New Roman"/>
          <w:color w:val="000000"/>
          <w:sz w:val="24"/>
          <w:szCs w:val="24"/>
          <w:lang w:val="es-MX"/>
        </w:rPr>
        <w:t>Se recomienda la inclusión de obligaciones vinculadas a definir y mantener sistemas públicos de información fiables y actualizados c</w:t>
      </w:r>
      <w:r w:rsidR="00102A38">
        <w:rPr>
          <w:rFonts w:ascii="Times New Roman" w:hAnsi="Times New Roman"/>
          <w:color w:val="000000"/>
          <w:sz w:val="24"/>
          <w:szCs w:val="24"/>
          <w:lang w:val="es-MX"/>
        </w:rPr>
        <w:t>on censos y estudios periódicos que determinen un barrido má</w:t>
      </w:r>
      <w:r w:rsidRPr="00633D33">
        <w:rPr>
          <w:rFonts w:ascii="Times New Roman" w:hAnsi="Times New Roman"/>
          <w:color w:val="000000"/>
          <w:sz w:val="24"/>
          <w:szCs w:val="24"/>
          <w:lang w:val="es-MX"/>
        </w:rPr>
        <w:t xml:space="preserve">s acorde a las características y realidades de </w:t>
      </w:r>
      <w:r w:rsidR="00102A38">
        <w:rPr>
          <w:rFonts w:ascii="Times New Roman" w:hAnsi="Times New Roman"/>
          <w:color w:val="000000"/>
          <w:sz w:val="24"/>
          <w:szCs w:val="24"/>
          <w:lang w:val="es-MX"/>
        </w:rPr>
        <w:t>l</w:t>
      </w:r>
      <w:r w:rsidRPr="00633D33">
        <w:rPr>
          <w:rFonts w:ascii="Times New Roman" w:hAnsi="Times New Roman"/>
          <w:color w:val="000000"/>
          <w:sz w:val="24"/>
          <w:szCs w:val="24"/>
          <w:lang w:val="es-MX"/>
        </w:rPr>
        <w:t>a población y no solamente la de “recopilar datos y estadísticas”, debiendo en todo caso destinar los recursos suficien</w:t>
      </w:r>
      <w:r w:rsidR="00102A38">
        <w:rPr>
          <w:rFonts w:ascii="Times New Roman" w:hAnsi="Times New Roman"/>
          <w:color w:val="000000"/>
          <w:sz w:val="24"/>
          <w:szCs w:val="24"/>
          <w:lang w:val="es-MX"/>
        </w:rPr>
        <w:t>tes para producir, intercambiar</w:t>
      </w:r>
      <w:r w:rsidRPr="00633D33">
        <w:rPr>
          <w:rFonts w:ascii="Times New Roman" w:hAnsi="Times New Roman"/>
          <w:color w:val="000000"/>
          <w:sz w:val="24"/>
          <w:szCs w:val="24"/>
          <w:lang w:val="es-MX"/>
        </w:rPr>
        <w:t xml:space="preserve"> y difundir la información, además de las garantías específicas para lograr el acceso a la misma. </w:t>
      </w:r>
    </w:p>
    <w:p w:rsidR="00FB01FB" w:rsidRPr="00633D33" w:rsidRDefault="00FB01FB" w:rsidP="00633D33">
      <w:pPr>
        <w:spacing w:line="240" w:lineRule="auto"/>
        <w:jc w:val="both"/>
        <w:rPr>
          <w:rFonts w:ascii="Times New Roman" w:hAnsi="Times New Roman"/>
          <w:sz w:val="24"/>
          <w:szCs w:val="24"/>
          <w:lang w:val="es-MX"/>
        </w:rPr>
      </w:pPr>
      <w:r w:rsidRPr="00633D33">
        <w:rPr>
          <w:rFonts w:ascii="Times New Roman" w:hAnsi="Times New Roman"/>
          <w:sz w:val="24"/>
          <w:szCs w:val="24"/>
          <w:lang w:val="es-MX"/>
        </w:rPr>
        <w:t xml:space="preserve">La redacción de este artículo </w:t>
      </w:r>
      <w:r w:rsidR="005B7B64" w:rsidRPr="00633D33">
        <w:rPr>
          <w:rFonts w:ascii="Times New Roman" w:hAnsi="Times New Roman"/>
          <w:sz w:val="24"/>
          <w:szCs w:val="24"/>
          <w:lang w:val="es-MX"/>
        </w:rPr>
        <w:t>21 po</w:t>
      </w:r>
      <w:r w:rsidRPr="00633D33">
        <w:rPr>
          <w:rFonts w:ascii="Times New Roman" w:hAnsi="Times New Roman"/>
          <w:sz w:val="24"/>
          <w:szCs w:val="24"/>
          <w:lang w:val="es-MX"/>
        </w:rPr>
        <w:t>dría modificarse en el sentido de establecer la obligación de los Estados de incorporar los principios vinculados al derecho al desarrollo y los derechos humanos en general en todas las actividades nacionales e internacionales vinculadas al desarme y la reconstrucción después de los conflictos armados</w:t>
      </w:r>
      <w:r w:rsidR="005B7B64" w:rsidRPr="00633D33">
        <w:rPr>
          <w:rFonts w:ascii="Times New Roman" w:hAnsi="Times New Roman"/>
          <w:sz w:val="24"/>
          <w:szCs w:val="24"/>
          <w:lang w:val="es-MX"/>
        </w:rPr>
        <w:t xml:space="preserve"> la paz y la democracia</w:t>
      </w:r>
      <w:r w:rsidRPr="00633D33">
        <w:rPr>
          <w:rFonts w:ascii="Times New Roman" w:hAnsi="Times New Roman"/>
          <w:sz w:val="24"/>
          <w:szCs w:val="24"/>
          <w:lang w:val="es-MX"/>
        </w:rPr>
        <w:t xml:space="preserve">. </w:t>
      </w:r>
    </w:p>
    <w:p w:rsidR="00FB01FB" w:rsidRPr="00633D33" w:rsidRDefault="001D6A46" w:rsidP="00633D33">
      <w:pPr>
        <w:spacing w:line="240" w:lineRule="auto"/>
        <w:jc w:val="both"/>
        <w:rPr>
          <w:rFonts w:ascii="Times New Roman" w:hAnsi="Times New Roman"/>
          <w:sz w:val="24"/>
          <w:szCs w:val="24"/>
          <w:lang w:val="es-MX"/>
        </w:rPr>
      </w:pPr>
      <w:r w:rsidRPr="00633D33">
        <w:rPr>
          <w:rFonts w:ascii="Times New Roman" w:hAnsi="Times New Roman"/>
          <w:sz w:val="24"/>
          <w:szCs w:val="24"/>
          <w:lang w:val="es-MX"/>
        </w:rPr>
        <w:t>I</w:t>
      </w:r>
      <w:r w:rsidR="00FB01FB" w:rsidRPr="00633D33">
        <w:rPr>
          <w:rFonts w:ascii="Times New Roman" w:hAnsi="Times New Roman"/>
          <w:sz w:val="24"/>
          <w:szCs w:val="24"/>
          <w:lang w:val="es-MX"/>
        </w:rPr>
        <w:t>ncluir</w:t>
      </w:r>
      <w:r w:rsidR="00102A38">
        <w:rPr>
          <w:rFonts w:ascii="Times New Roman" w:hAnsi="Times New Roman"/>
          <w:sz w:val="24"/>
          <w:szCs w:val="24"/>
          <w:lang w:val="es-MX"/>
        </w:rPr>
        <w:t>s</w:t>
      </w:r>
      <w:r w:rsidR="00FB01FB" w:rsidRPr="00633D33">
        <w:rPr>
          <w:rFonts w:ascii="Times New Roman" w:hAnsi="Times New Roman"/>
          <w:sz w:val="24"/>
          <w:szCs w:val="24"/>
          <w:lang w:val="es-MX"/>
        </w:rPr>
        <w:t xml:space="preserve">e </w:t>
      </w:r>
      <w:r w:rsidR="00102A38">
        <w:rPr>
          <w:rFonts w:ascii="Times New Roman" w:hAnsi="Times New Roman"/>
          <w:sz w:val="24"/>
          <w:szCs w:val="24"/>
          <w:lang w:val="es-MX"/>
        </w:rPr>
        <w:t>e</w:t>
      </w:r>
      <w:r w:rsidR="00FB01FB" w:rsidRPr="00633D33">
        <w:rPr>
          <w:rFonts w:ascii="Times New Roman" w:hAnsi="Times New Roman"/>
          <w:sz w:val="24"/>
          <w:szCs w:val="24"/>
          <w:lang w:val="es-MX"/>
        </w:rPr>
        <w:t xml:space="preserve">xpresamente </w:t>
      </w:r>
      <w:r w:rsidR="00102A38">
        <w:rPr>
          <w:rFonts w:ascii="Times New Roman" w:hAnsi="Times New Roman"/>
          <w:sz w:val="24"/>
          <w:szCs w:val="24"/>
          <w:lang w:val="es-MX"/>
        </w:rPr>
        <w:t xml:space="preserve">que </w:t>
      </w:r>
      <w:r w:rsidR="00FB01FB" w:rsidRPr="00633D33">
        <w:rPr>
          <w:rFonts w:ascii="Times New Roman" w:hAnsi="Times New Roman"/>
          <w:sz w:val="24"/>
          <w:szCs w:val="24"/>
          <w:lang w:val="es-MX"/>
        </w:rPr>
        <w:t>la comunicación y colaboración con las titularidades de mandatos de procedimientos especiales y otras personas expertas en temáticas de derechos humanos. Asimismo</w:t>
      </w:r>
      <w:r w:rsidR="00102A38">
        <w:rPr>
          <w:rFonts w:ascii="Times New Roman" w:hAnsi="Times New Roman"/>
          <w:sz w:val="24"/>
          <w:szCs w:val="24"/>
          <w:lang w:val="es-MX"/>
        </w:rPr>
        <w:t>,</w:t>
      </w:r>
      <w:r w:rsidR="00FB01FB" w:rsidRPr="00633D33">
        <w:rPr>
          <w:rFonts w:ascii="Times New Roman" w:hAnsi="Times New Roman"/>
          <w:sz w:val="24"/>
          <w:szCs w:val="24"/>
          <w:lang w:val="es-MX"/>
        </w:rPr>
        <w:t xml:space="preserve"> incorporar a las Instituciones Nacionales de Derechos Humanos en el ámbito nacional.</w:t>
      </w:r>
    </w:p>
    <w:p w:rsidR="00FB01FB" w:rsidRPr="00913163" w:rsidRDefault="00FB01FB" w:rsidP="00633D33">
      <w:pPr>
        <w:spacing w:line="240" w:lineRule="auto"/>
        <w:rPr>
          <w:rFonts w:ascii="Times New Roman" w:hAnsi="Times New Roman"/>
          <w:b/>
          <w:i/>
          <w:sz w:val="24"/>
          <w:szCs w:val="24"/>
          <w:lang w:val="es-MX"/>
        </w:rPr>
      </w:pPr>
    </w:p>
    <w:p w:rsidR="00FF39F9" w:rsidRDefault="00913163" w:rsidP="00633D33">
      <w:pPr>
        <w:spacing w:after="0" w:line="240" w:lineRule="auto"/>
        <w:jc w:val="both"/>
        <w:rPr>
          <w:rFonts w:ascii="Times New Roman" w:hAnsi="Times New Roman"/>
          <w:b/>
          <w:sz w:val="24"/>
          <w:szCs w:val="24"/>
        </w:rPr>
      </w:pPr>
      <w:r w:rsidRPr="00913163">
        <w:rPr>
          <w:rFonts w:ascii="Times New Roman" w:hAnsi="Times New Roman"/>
          <w:b/>
          <w:sz w:val="24"/>
          <w:szCs w:val="24"/>
        </w:rPr>
        <w:t>Procurador Apolonio Tobar</w:t>
      </w:r>
    </w:p>
    <w:p w:rsidR="00913163" w:rsidRPr="00913163" w:rsidRDefault="00913163" w:rsidP="00633D33">
      <w:pPr>
        <w:spacing w:after="0" w:line="240" w:lineRule="auto"/>
        <w:jc w:val="both"/>
        <w:rPr>
          <w:rFonts w:ascii="Times New Roman" w:hAnsi="Times New Roman"/>
          <w:b/>
          <w:sz w:val="24"/>
          <w:szCs w:val="24"/>
        </w:rPr>
      </w:pPr>
      <w:r>
        <w:rPr>
          <w:rFonts w:ascii="Times New Roman" w:hAnsi="Times New Roman"/>
          <w:b/>
          <w:sz w:val="24"/>
          <w:szCs w:val="24"/>
        </w:rPr>
        <w:t>INDH de El Salvador</w:t>
      </w:r>
    </w:p>
    <w:sectPr w:rsidR="00913163" w:rsidRPr="00913163" w:rsidSect="00EC3EEB">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155B" w:rsidRDefault="0022155B" w:rsidP="0092510E">
      <w:pPr>
        <w:spacing w:after="0" w:line="240" w:lineRule="auto"/>
      </w:pPr>
      <w:r>
        <w:separator/>
      </w:r>
    </w:p>
  </w:endnote>
  <w:endnote w:type="continuationSeparator" w:id="0">
    <w:p w:rsidR="0022155B" w:rsidRDefault="0022155B" w:rsidP="009251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35F9" w:rsidRDefault="00DF35F9">
    <w:pPr>
      <w:pStyle w:val="Footer"/>
      <w:jc w:val="right"/>
    </w:pPr>
    <w:r>
      <w:fldChar w:fldCharType="begin"/>
    </w:r>
    <w:r>
      <w:instrText xml:space="preserve"> PAGE   \* MERGEFORMAT </w:instrText>
    </w:r>
    <w:r>
      <w:fldChar w:fldCharType="separate"/>
    </w:r>
    <w:r w:rsidR="00267A19">
      <w:rPr>
        <w:noProof/>
      </w:rPr>
      <w:t>1</w:t>
    </w:r>
    <w:r>
      <w:rPr>
        <w:noProof/>
      </w:rPr>
      <w:fldChar w:fldCharType="end"/>
    </w:r>
  </w:p>
  <w:p w:rsidR="00DF35F9" w:rsidRDefault="00DF35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155B" w:rsidRDefault="0022155B" w:rsidP="0092510E">
      <w:pPr>
        <w:spacing w:after="0" w:line="240" w:lineRule="auto"/>
      </w:pPr>
      <w:r>
        <w:separator/>
      </w:r>
    </w:p>
  </w:footnote>
  <w:footnote w:type="continuationSeparator" w:id="0">
    <w:p w:rsidR="0022155B" w:rsidRDefault="0022155B" w:rsidP="0092510E">
      <w:pPr>
        <w:spacing w:after="0" w:line="240" w:lineRule="auto"/>
      </w:pPr>
      <w:r>
        <w:continuationSeparator/>
      </w:r>
    </w:p>
  </w:footnote>
  <w:footnote w:id="1">
    <w:p w:rsidR="007C22B9" w:rsidRPr="00102A38" w:rsidRDefault="007C22B9" w:rsidP="007C22B9">
      <w:pPr>
        <w:pStyle w:val="FootnoteText"/>
        <w:spacing w:after="0" w:line="240" w:lineRule="auto"/>
        <w:jc w:val="both"/>
        <w:rPr>
          <w:rFonts w:ascii="Arial Narrow" w:hAnsi="Arial Narrow" w:cs="Calibri Light"/>
          <w:sz w:val="18"/>
          <w:szCs w:val="18"/>
        </w:rPr>
      </w:pPr>
      <w:r w:rsidRPr="00102A38">
        <w:rPr>
          <w:rStyle w:val="FootnoteReference"/>
          <w:rFonts w:ascii="Arial Narrow" w:hAnsi="Arial Narrow" w:cs="Calibri Light"/>
          <w:sz w:val="18"/>
          <w:szCs w:val="18"/>
        </w:rPr>
        <w:footnoteRef/>
      </w:r>
      <w:r w:rsidRPr="00102A38">
        <w:rPr>
          <w:rFonts w:ascii="Arial Narrow" w:hAnsi="Arial Narrow" w:cs="Calibri Light"/>
          <w:sz w:val="18"/>
          <w:szCs w:val="18"/>
        </w:rPr>
        <w:t xml:space="preserve"> PNUD. </w:t>
      </w:r>
      <w:r w:rsidRPr="00102A38">
        <w:rPr>
          <w:rFonts w:ascii="Arial Narrow" w:hAnsi="Arial Narrow" w:cs="Calibri Light"/>
          <w:i/>
          <w:iCs/>
          <w:sz w:val="18"/>
          <w:szCs w:val="18"/>
        </w:rPr>
        <w:t xml:space="preserve">Informe sobre Desarrollo Humano 2020. La próxima frontera: desarrollo humano y el Antropoceno. </w:t>
      </w:r>
      <w:r w:rsidRPr="00102A38">
        <w:rPr>
          <w:rFonts w:ascii="Arial Narrow" w:hAnsi="Arial Narrow" w:cs="Calibri Light"/>
          <w:sz w:val="18"/>
          <w:szCs w:val="18"/>
        </w:rPr>
        <w:t>Nota informativa para los países acerca del Informe sobre Desarrollo Humano 2020.</w:t>
      </w:r>
    </w:p>
  </w:footnote>
  <w:footnote w:id="2">
    <w:p w:rsidR="00E26125" w:rsidRPr="00102A38" w:rsidRDefault="00E26125">
      <w:pPr>
        <w:pStyle w:val="FootnoteText"/>
        <w:rPr>
          <w:rFonts w:ascii="Arial Narrow" w:hAnsi="Arial Narrow"/>
          <w:sz w:val="18"/>
          <w:szCs w:val="18"/>
          <w:lang w:val="es-MX"/>
        </w:rPr>
      </w:pPr>
      <w:r w:rsidRPr="00102A38">
        <w:rPr>
          <w:rStyle w:val="FootnoteReference"/>
          <w:rFonts w:ascii="Arial Narrow" w:hAnsi="Arial Narrow"/>
          <w:sz w:val="18"/>
          <w:szCs w:val="18"/>
        </w:rPr>
        <w:footnoteRef/>
      </w:r>
      <w:r w:rsidRPr="00102A38">
        <w:rPr>
          <w:rFonts w:ascii="Arial Narrow" w:hAnsi="Arial Narrow"/>
          <w:sz w:val="18"/>
          <w:szCs w:val="18"/>
        </w:rPr>
        <w:t xml:space="preserve"> </w:t>
      </w:r>
      <w:r w:rsidRPr="00102A38">
        <w:rPr>
          <w:rFonts w:ascii="Arial Narrow" w:hAnsi="Arial Narrow"/>
          <w:sz w:val="18"/>
          <w:szCs w:val="18"/>
          <w:lang w:val="es-MX"/>
        </w:rPr>
        <w:t>Universidad Francisco Gavia,</w:t>
      </w:r>
      <w:r w:rsidR="004E4AE9" w:rsidRPr="00102A38">
        <w:rPr>
          <w:rFonts w:ascii="Arial Narrow" w:hAnsi="Arial Narrow"/>
          <w:sz w:val="18"/>
          <w:szCs w:val="18"/>
          <w:lang w:val="es-MX"/>
        </w:rPr>
        <w:t xml:space="preserve"> O</w:t>
      </w:r>
      <w:r w:rsidRPr="00102A38">
        <w:rPr>
          <w:rFonts w:ascii="Arial Narrow" w:hAnsi="Arial Narrow"/>
          <w:sz w:val="18"/>
          <w:szCs w:val="18"/>
          <w:lang w:val="es-MX"/>
        </w:rPr>
        <w:t>bservat</w:t>
      </w:r>
      <w:r w:rsidR="004E4AE9" w:rsidRPr="00102A38">
        <w:rPr>
          <w:rFonts w:ascii="Arial Narrow" w:hAnsi="Arial Narrow"/>
          <w:sz w:val="18"/>
          <w:szCs w:val="18"/>
          <w:lang w:val="es-MX"/>
        </w:rPr>
        <w:t xml:space="preserve">orio de Políticas Públicas, 2° </w:t>
      </w:r>
      <w:r w:rsidRPr="00102A38">
        <w:rPr>
          <w:rFonts w:ascii="Arial Narrow" w:hAnsi="Arial Narrow"/>
          <w:sz w:val="18"/>
          <w:szCs w:val="18"/>
          <w:lang w:val="es-MX"/>
        </w:rPr>
        <w:t xml:space="preserve"> informe sobre la situación de país 2021, 22 de julio de 2021. </w:t>
      </w:r>
    </w:p>
  </w:footnote>
  <w:footnote w:id="3">
    <w:p w:rsidR="003C7464" w:rsidRPr="00102A38" w:rsidRDefault="003C7464" w:rsidP="003C7464">
      <w:pPr>
        <w:spacing w:after="0" w:line="240" w:lineRule="auto"/>
        <w:jc w:val="both"/>
        <w:rPr>
          <w:rFonts w:ascii="Arial Narrow" w:hAnsi="Arial Narrow" w:cs="Calibri Light"/>
          <w:bCs/>
          <w:iCs/>
          <w:sz w:val="18"/>
          <w:szCs w:val="18"/>
        </w:rPr>
      </w:pPr>
      <w:r w:rsidRPr="00102A38">
        <w:rPr>
          <w:rStyle w:val="FootnoteReference"/>
          <w:rFonts w:ascii="Arial Narrow" w:hAnsi="Arial Narrow" w:cs="Calibri Light"/>
          <w:sz w:val="18"/>
          <w:szCs w:val="18"/>
        </w:rPr>
        <w:footnoteRef/>
      </w:r>
      <w:r w:rsidRPr="00102A38">
        <w:rPr>
          <w:rFonts w:ascii="Arial Narrow" w:hAnsi="Arial Narrow" w:cs="Calibri Light"/>
          <w:sz w:val="18"/>
          <w:szCs w:val="18"/>
        </w:rPr>
        <w:t xml:space="preserve"> Naciones Unidas El Salvador. </w:t>
      </w:r>
      <w:r w:rsidRPr="00102A38">
        <w:rPr>
          <w:rFonts w:ascii="Arial Narrow" w:hAnsi="Arial Narrow" w:cs="Calibri Light"/>
          <w:i/>
          <w:iCs/>
          <w:sz w:val="18"/>
          <w:szCs w:val="18"/>
        </w:rPr>
        <w:t xml:space="preserve">PNUD presenta Informe Regional de Desarrollo Humano 2021 “Atrapados: alta desigualdad y bajo crecimiento en América Latina y el Caribe”. </w:t>
      </w:r>
      <w:r w:rsidRPr="00102A38">
        <w:rPr>
          <w:rFonts w:ascii="Arial Narrow" w:hAnsi="Arial Narrow" w:cs="Calibri Light"/>
          <w:sz w:val="18"/>
          <w:szCs w:val="18"/>
        </w:rPr>
        <w:t xml:space="preserve">Recuperado de: </w:t>
      </w:r>
      <w:hyperlink r:id="rId1" w:history="1">
        <w:r w:rsidRPr="00102A38">
          <w:rPr>
            <w:rStyle w:val="Hyperlink"/>
            <w:rFonts w:ascii="Arial Narrow" w:hAnsi="Arial Narrow" w:cs="Calibri Light"/>
            <w:bCs/>
            <w:iCs/>
            <w:color w:val="auto"/>
            <w:sz w:val="18"/>
            <w:szCs w:val="18"/>
            <w:u w:val="none"/>
          </w:rPr>
          <w:t>https://www1.undp.org/content/undp/es/home/news-centre/news/2021/pris-au-piege---fortes-inegalites-et-faible-croissance-en-ameriq.html</w:t>
        </w:r>
      </w:hyperlink>
      <w:r w:rsidR="006519B3" w:rsidRPr="00102A38">
        <w:rPr>
          <w:rFonts w:ascii="Arial Narrow" w:hAnsi="Arial Narrow" w:cs="Calibri Light"/>
          <w:bCs/>
          <w:iCs/>
          <w:sz w:val="18"/>
          <w:szCs w:val="18"/>
        </w:rPr>
        <w:t>.</w:t>
      </w:r>
      <w:r w:rsidR="006519B3">
        <w:rPr>
          <w:rFonts w:ascii="Calibri Light" w:hAnsi="Calibri Light" w:cs="Calibri Light"/>
          <w:bCs/>
          <w:iCs/>
          <w:sz w:val="20"/>
          <w:szCs w:val="20"/>
        </w:rPr>
        <w:t xml:space="preserve"> </w:t>
      </w:r>
    </w:p>
  </w:footnote>
  <w:footnote w:id="4">
    <w:p w:rsidR="000F11BF" w:rsidRPr="00102A38" w:rsidRDefault="000F11BF" w:rsidP="000F11BF">
      <w:pPr>
        <w:pStyle w:val="FootnoteText"/>
        <w:spacing w:after="0" w:line="240" w:lineRule="auto"/>
        <w:jc w:val="both"/>
        <w:rPr>
          <w:rFonts w:ascii="Arial Narrow" w:hAnsi="Arial Narrow" w:cs="Calibri Light"/>
          <w:sz w:val="18"/>
          <w:szCs w:val="18"/>
        </w:rPr>
      </w:pPr>
      <w:r w:rsidRPr="00102A38">
        <w:rPr>
          <w:rStyle w:val="FootnoteReference"/>
          <w:rFonts w:ascii="Arial Narrow" w:hAnsi="Arial Narrow" w:cs="Calibri Light"/>
          <w:sz w:val="18"/>
          <w:szCs w:val="18"/>
        </w:rPr>
        <w:footnoteRef/>
      </w:r>
      <w:r w:rsidRPr="00102A38">
        <w:rPr>
          <w:rFonts w:ascii="Arial Narrow" w:hAnsi="Arial Narrow" w:cs="Calibri Light"/>
          <w:sz w:val="18"/>
          <w:szCs w:val="18"/>
        </w:rPr>
        <w:t xml:space="preserve"> Organización de las Naciones Unidas. </w:t>
      </w:r>
      <w:r w:rsidRPr="00102A38">
        <w:rPr>
          <w:rFonts w:ascii="Arial Narrow" w:hAnsi="Arial Narrow" w:cs="Calibri Light"/>
          <w:i/>
          <w:iCs/>
          <w:sz w:val="18"/>
          <w:szCs w:val="18"/>
        </w:rPr>
        <w:t>Relator Especial de las Naciones Unidas sobre el derecho al desarrollo. Una introducción al mandato.</w:t>
      </w:r>
      <w:r w:rsidRPr="00102A38">
        <w:rPr>
          <w:rFonts w:ascii="Arial Narrow" w:hAnsi="Arial Narrow" w:cs="Calibri Light"/>
          <w:sz w:val="18"/>
          <w:szCs w:val="18"/>
        </w:rPr>
        <w:t xml:space="preserve"> Publicado en febrero de 2018, p. 12.</w:t>
      </w:r>
    </w:p>
  </w:footnote>
  <w:footnote w:id="5">
    <w:p w:rsidR="009A7773" w:rsidRPr="00096CFF" w:rsidRDefault="009A7773" w:rsidP="009A7773">
      <w:pPr>
        <w:spacing w:after="0" w:line="240" w:lineRule="auto"/>
        <w:jc w:val="both"/>
        <w:rPr>
          <w:rFonts w:cs="Calibri"/>
          <w:sz w:val="20"/>
          <w:szCs w:val="20"/>
        </w:rPr>
      </w:pPr>
      <w:r w:rsidRPr="00102A38">
        <w:rPr>
          <w:rStyle w:val="FootnoteReference"/>
          <w:rFonts w:ascii="Arial Narrow" w:hAnsi="Arial Narrow" w:cs="Calibri Light"/>
          <w:sz w:val="18"/>
          <w:szCs w:val="18"/>
        </w:rPr>
        <w:footnoteRef/>
      </w:r>
      <w:r w:rsidRPr="00102A38">
        <w:rPr>
          <w:rFonts w:ascii="Arial Narrow" w:hAnsi="Arial Narrow" w:cs="Calibri Light"/>
          <w:sz w:val="18"/>
          <w:szCs w:val="18"/>
        </w:rPr>
        <w:t xml:space="preserve"> Víctor Abramovich. </w:t>
      </w:r>
      <w:r w:rsidRPr="00102A38">
        <w:rPr>
          <w:rFonts w:ascii="Arial Narrow" w:hAnsi="Arial Narrow" w:cs="Calibri Light"/>
          <w:i/>
          <w:iCs/>
          <w:sz w:val="18"/>
          <w:szCs w:val="18"/>
        </w:rPr>
        <w:t>Una aproximación al enfoque de derechos en las estrategias y políticas de desarrollo</w:t>
      </w:r>
      <w:r w:rsidRPr="00102A38">
        <w:rPr>
          <w:rFonts w:ascii="Arial Narrow" w:hAnsi="Arial Narrow" w:cs="Calibri Light"/>
          <w:sz w:val="18"/>
          <w:szCs w:val="18"/>
        </w:rPr>
        <w:t>. Revista de la CEPAL 88, abril 2006</w:t>
      </w:r>
      <w:r w:rsidR="00235BD7" w:rsidRPr="00102A38">
        <w:rPr>
          <w:rFonts w:ascii="Arial Narrow" w:hAnsi="Arial Narrow" w:cs="Calibri Light"/>
          <w:sz w:val="18"/>
          <w:szCs w:val="18"/>
        </w:rPr>
        <w:t>, p. 36.</w:t>
      </w:r>
    </w:p>
  </w:footnote>
  <w:footnote w:id="6">
    <w:p w:rsidR="00FB01FB" w:rsidRPr="00145C4F" w:rsidRDefault="00FB01FB" w:rsidP="00FB01FB">
      <w:pPr>
        <w:pStyle w:val="FootnoteText"/>
        <w:rPr>
          <w:lang w:val="es-MX"/>
        </w:rPr>
      </w:pPr>
      <w:r>
        <w:rPr>
          <w:rStyle w:val="FootnoteReference"/>
        </w:rPr>
        <w:footnoteRef/>
      </w:r>
      <w:r>
        <w:t xml:space="preserve"> Directrices sobre la realización practica del derecho al desarrollo. Informe del Relator Especial sobre el Derecho al Desarrollo. 2019. Disponible en: </w:t>
      </w:r>
      <w:r w:rsidRPr="002E4F2D">
        <w:t>https://undocs.org/es/A/HRC/42/38</w:t>
      </w:r>
    </w:p>
  </w:footnote>
  <w:footnote w:id="7">
    <w:p w:rsidR="00FB01FB" w:rsidRPr="00102A38" w:rsidRDefault="00FB01FB" w:rsidP="00FB01FB">
      <w:pPr>
        <w:pStyle w:val="FootnoteText"/>
        <w:rPr>
          <w:rFonts w:ascii="Arial Narrow" w:hAnsi="Arial Narrow"/>
          <w:sz w:val="18"/>
          <w:szCs w:val="18"/>
          <w:lang w:val="es-MX"/>
        </w:rPr>
      </w:pPr>
      <w:r w:rsidRPr="00102A38">
        <w:rPr>
          <w:rStyle w:val="FootnoteReference"/>
          <w:rFonts w:ascii="Arial Narrow" w:hAnsi="Arial Narrow"/>
          <w:sz w:val="18"/>
          <w:szCs w:val="18"/>
        </w:rPr>
        <w:footnoteRef/>
      </w:r>
      <w:r w:rsidRPr="00102A38">
        <w:rPr>
          <w:rFonts w:ascii="Arial Narrow" w:hAnsi="Arial Narrow"/>
          <w:sz w:val="18"/>
          <w:szCs w:val="18"/>
        </w:rPr>
        <w:t xml:space="preserve"> </w:t>
      </w:r>
      <w:r w:rsidRPr="00102A38">
        <w:rPr>
          <w:rFonts w:ascii="Arial Narrow" w:hAnsi="Arial Narrow" w:cs="Calibri"/>
          <w:sz w:val="18"/>
          <w:szCs w:val="18"/>
        </w:rPr>
        <w:t>Corte IDH “Caso Fornerón e hija vs. Argentina” Fondo, Reparaciones y Costas. Sentencia del 27 de abril de 2012, Serie C N°242, párr. 131</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35F9" w:rsidRDefault="00913163" w:rsidP="00DF35F9">
    <w:pPr>
      <w:pStyle w:val="Header"/>
      <w:tabs>
        <w:tab w:val="left" w:pos="2638"/>
      </w:tabs>
      <w:rPr>
        <w:b/>
      </w:rPr>
    </w:pPr>
    <w:r w:rsidRPr="00DF35F9">
      <w:rPr>
        <w:noProof/>
        <w:lang w:val="en-GB" w:eastAsia="en-GB"/>
      </w:rPr>
      <w:drawing>
        <wp:inline distT="0" distB="0" distL="0" distR="0">
          <wp:extent cx="714375" cy="742950"/>
          <wp:effectExtent l="0" t="0" r="0" b="0"/>
          <wp:docPr id="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4375" cy="742950"/>
                  </a:xfrm>
                  <a:prstGeom prst="rect">
                    <a:avLst/>
                  </a:prstGeom>
                  <a:noFill/>
                  <a:ln>
                    <a:noFill/>
                  </a:ln>
                </pic:spPr>
              </pic:pic>
            </a:graphicData>
          </a:graphic>
        </wp:inline>
      </w:drawing>
    </w:r>
    <w:r w:rsidR="00DF35F9">
      <w:t xml:space="preserve">        </w:t>
    </w:r>
    <w:r w:rsidR="00DF35F9">
      <w:rPr>
        <w:b/>
      </w:rPr>
      <w:t>INSTIT</w:t>
    </w:r>
    <w:r w:rsidR="00DF35F9" w:rsidRPr="006E2643">
      <w:rPr>
        <w:b/>
      </w:rPr>
      <w:t>UCION NACIONAL DE</w:t>
    </w:r>
    <w:r w:rsidR="00DF35F9">
      <w:rPr>
        <w:b/>
      </w:rPr>
      <w:t xml:space="preserve"> DERECHOS HUMANOS DE EL SALVADOR</w:t>
    </w:r>
  </w:p>
  <w:p w:rsidR="00DF35F9" w:rsidRPr="006E2643" w:rsidRDefault="00DF35F9" w:rsidP="00DF35F9">
    <w:pPr>
      <w:pStyle w:val="Header"/>
      <w:tabs>
        <w:tab w:val="left" w:pos="2638"/>
      </w:tabs>
      <w:rPr>
        <w:b/>
      </w:rPr>
    </w:pPr>
    <w:r>
      <w:rPr>
        <w:b/>
      </w:rPr>
      <w:tab/>
    </w:r>
    <w:r>
      <w:rPr>
        <w:b/>
      </w:rPr>
      <w:tab/>
      <w:t>Procurador Apolonio Tobar</w:t>
    </w:r>
  </w:p>
  <w:p w:rsidR="00DF35F9" w:rsidRDefault="00DF35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9A657B"/>
    <w:multiLevelType w:val="hybridMultilevel"/>
    <w:tmpl w:val="5610101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15:restartNumberingAfterBreak="0">
    <w:nsid w:val="62521F4A"/>
    <w:multiLevelType w:val="hybridMultilevel"/>
    <w:tmpl w:val="FF8683D2"/>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es-SV" w:vendorID="64" w:dllVersion="131078" w:nlCheck="1" w:checkStyle="0"/>
  <w:activeWritingStyle w:appName="MSWord" w:lang="es-ES_tradnl" w:vendorID="64" w:dllVersion="131078" w:nlCheck="1" w:checkStyle="0"/>
  <w:activeWritingStyle w:appName="MSWord" w:lang="es-MX" w:vendorID="64" w:dllVersion="131078" w:nlCheck="1" w:checkStyle="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0205"/>
    <w:rsid w:val="00034E63"/>
    <w:rsid w:val="00040452"/>
    <w:rsid w:val="00096CFF"/>
    <w:rsid w:val="000A05C3"/>
    <w:rsid w:val="000A1648"/>
    <w:rsid w:val="000A3B49"/>
    <w:rsid w:val="000B7E84"/>
    <w:rsid w:val="000E7321"/>
    <w:rsid w:val="000F11BF"/>
    <w:rsid w:val="00102A38"/>
    <w:rsid w:val="0011357F"/>
    <w:rsid w:val="001C62B8"/>
    <w:rsid w:val="001C7D1B"/>
    <w:rsid w:val="001D6A46"/>
    <w:rsid w:val="00212D37"/>
    <w:rsid w:val="0022155B"/>
    <w:rsid w:val="00235BD7"/>
    <w:rsid w:val="0024279E"/>
    <w:rsid w:val="00267A19"/>
    <w:rsid w:val="002F3B7A"/>
    <w:rsid w:val="00322263"/>
    <w:rsid w:val="00334B22"/>
    <w:rsid w:val="003C7464"/>
    <w:rsid w:val="00423963"/>
    <w:rsid w:val="00437BEF"/>
    <w:rsid w:val="004547F0"/>
    <w:rsid w:val="004707B1"/>
    <w:rsid w:val="00482756"/>
    <w:rsid w:val="004B07C9"/>
    <w:rsid w:val="004E4AE9"/>
    <w:rsid w:val="005B1A6E"/>
    <w:rsid w:val="005B7B64"/>
    <w:rsid w:val="005F1601"/>
    <w:rsid w:val="005F1C09"/>
    <w:rsid w:val="00633D33"/>
    <w:rsid w:val="006519B3"/>
    <w:rsid w:val="006A0B88"/>
    <w:rsid w:val="006D0ECC"/>
    <w:rsid w:val="00712ACF"/>
    <w:rsid w:val="00766BA2"/>
    <w:rsid w:val="00772941"/>
    <w:rsid w:val="00793A48"/>
    <w:rsid w:val="007B5AB0"/>
    <w:rsid w:val="007C22B9"/>
    <w:rsid w:val="00881879"/>
    <w:rsid w:val="00895F54"/>
    <w:rsid w:val="0091125F"/>
    <w:rsid w:val="00913163"/>
    <w:rsid w:val="009146E8"/>
    <w:rsid w:val="0092510E"/>
    <w:rsid w:val="009A7773"/>
    <w:rsid w:val="009F0EB7"/>
    <w:rsid w:val="00A10ADE"/>
    <w:rsid w:val="00A20E8D"/>
    <w:rsid w:val="00AA15D7"/>
    <w:rsid w:val="00AB61C8"/>
    <w:rsid w:val="00BF3E65"/>
    <w:rsid w:val="00C270AE"/>
    <w:rsid w:val="00C56DEB"/>
    <w:rsid w:val="00C71F60"/>
    <w:rsid w:val="00C768BF"/>
    <w:rsid w:val="00D42B4B"/>
    <w:rsid w:val="00D73904"/>
    <w:rsid w:val="00D85D71"/>
    <w:rsid w:val="00D961AD"/>
    <w:rsid w:val="00DF35F9"/>
    <w:rsid w:val="00E26125"/>
    <w:rsid w:val="00E4027F"/>
    <w:rsid w:val="00E60205"/>
    <w:rsid w:val="00E84F55"/>
    <w:rsid w:val="00EC3EEB"/>
    <w:rsid w:val="00F5026B"/>
    <w:rsid w:val="00F5446F"/>
    <w:rsid w:val="00FB01FB"/>
    <w:rsid w:val="00FD4C38"/>
    <w:rsid w:val="00FF39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00051C-614C-4769-B021-1D0F0A6CD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0EB7"/>
    <w:pPr>
      <w:spacing w:after="200" w:line="276" w:lineRule="auto"/>
    </w:pPr>
    <w:rPr>
      <w:sz w:val="22"/>
      <w:szCs w:val="22"/>
      <w:lang w:val="es-S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AB61C8"/>
    <w:rPr>
      <w:color w:val="0563C1"/>
      <w:u w:val="single"/>
    </w:rPr>
  </w:style>
  <w:style w:type="character" w:customStyle="1" w:styleId="Mencinsinresolver">
    <w:name w:val="Mención sin resolver"/>
    <w:uiPriority w:val="99"/>
    <w:semiHidden/>
    <w:unhideWhenUsed/>
    <w:rsid w:val="00AB61C8"/>
    <w:rPr>
      <w:color w:val="605E5C"/>
      <w:shd w:val="clear" w:color="auto" w:fill="E1DFDD"/>
    </w:rPr>
  </w:style>
  <w:style w:type="paragraph" w:styleId="NormalWeb">
    <w:name w:val="Normal (Web)"/>
    <w:basedOn w:val="Normal"/>
    <w:uiPriority w:val="99"/>
    <w:semiHidden/>
    <w:unhideWhenUsed/>
    <w:rsid w:val="00AB61C8"/>
    <w:pPr>
      <w:spacing w:before="100" w:beforeAutospacing="1" w:after="100" w:afterAutospacing="1" w:line="240" w:lineRule="auto"/>
    </w:pPr>
    <w:rPr>
      <w:rFonts w:ascii="Times New Roman" w:eastAsia="Times New Roman" w:hAnsi="Times New Roman"/>
      <w:sz w:val="24"/>
      <w:szCs w:val="24"/>
      <w:lang w:eastAsia="es-SV"/>
    </w:rPr>
  </w:style>
  <w:style w:type="paragraph" w:styleId="FootnoteText">
    <w:name w:val="footnote text"/>
    <w:basedOn w:val="Normal"/>
    <w:link w:val="FootnoteTextChar"/>
    <w:uiPriority w:val="99"/>
    <w:unhideWhenUsed/>
    <w:rsid w:val="0092510E"/>
    <w:rPr>
      <w:sz w:val="20"/>
      <w:szCs w:val="20"/>
      <w:lang w:val="x-none"/>
    </w:rPr>
  </w:style>
  <w:style w:type="character" w:customStyle="1" w:styleId="FootnoteTextChar">
    <w:name w:val="Footnote Text Char"/>
    <w:link w:val="FootnoteText"/>
    <w:uiPriority w:val="99"/>
    <w:rsid w:val="0092510E"/>
    <w:rPr>
      <w:lang w:eastAsia="en-US"/>
    </w:rPr>
  </w:style>
  <w:style w:type="character" w:styleId="FootnoteReference">
    <w:name w:val="footnote reference"/>
    <w:aliases w:val="Texto de nota al pie,Appel note de bas de page,Footnotes refss,Footnote number,referencia nota al pie,BVI fnr,f,4_G,16 Point,Superscript 6 Point,Texto nota al pie,Footnote Reference Char3,Footnote Reference Char1 Char, Car Car2,Ref,R"/>
    <w:link w:val="Refdenotaalpie1"/>
    <w:unhideWhenUsed/>
    <w:qFormat/>
    <w:rsid w:val="0092510E"/>
    <w:rPr>
      <w:vertAlign w:val="superscript"/>
    </w:rPr>
  </w:style>
  <w:style w:type="character" w:customStyle="1" w:styleId="Ninguno">
    <w:name w:val="Ninguno"/>
    <w:rsid w:val="00D85D71"/>
    <w:rPr>
      <w:lang w:val="es-ES_tradnl"/>
    </w:rPr>
  </w:style>
  <w:style w:type="paragraph" w:customStyle="1" w:styleId="Estndar">
    <w:name w:val="Estándar"/>
    <w:rsid w:val="00D85D71"/>
    <w:pPr>
      <w:widowControl w:val="0"/>
      <w:pBdr>
        <w:top w:val="nil"/>
        <w:left w:val="nil"/>
        <w:bottom w:val="nil"/>
        <w:right w:val="nil"/>
        <w:between w:val="nil"/>
        <w:bar w:val="nil"/>
      </w:pBdr>
      <w:suppressAutoHyphens/>
    </w:pPr>
    <w:rPr>
      <w:rFonts w:ascii="Times New Roman" w:eastAsia="Times New Roman" w:hAnsi="Times New Roman"/>
      <w:color w:val="000000"/>
      <w:kern w:val="1"/>
      <w:u w:color="000000"/>
      <w:bdr w:val="nil"/>
      <w:lang w:val="es-ES_tradnl" w:eastAsia="es-SV"/>
    </w:rPr>
  </w:style>
  <w:style w:type="paragraph" w:styleId="ListParagraph">
    <w:name w:val="List Paragraph"/>
    <w:basedOn w:val="Normal"/>
    <w:uiPriority w:val="34"/>
    <w:qFormat/>
    <w:rsid w:val="00FB01FB"/>
    <w:pPr>
      <w:spacing w:after="160" w:line="259" w:lineRule="auto"/>
      <w:ind w:left="720"/>
      <w:contextualSpacing/>
    </w:pPr>
  </w:style>
  <w:style w:type="paragraph" w:customStyle="1" w:styleId="Refdenotaalpie1">
    <w:name w:val="Ref. de nota al pie1"/>
    <w:aliases w:val="BVI fnr Car Car Car Car, BVI fnr Car Car Car Car"/>
    <w:basedOn w:val="Normal"/>
    <w:link w:val="FootnoteReference"/>
    <w:rsid w:val="00FB01FB"/>
    <w:pPr>
      <w:spacing w:after="160" w:line="240" w:lineRule="exact"/>
    </w:pPr>
    <w:rPr>
      <w:sz w:val="20"/>
      <w:szCs w:val="20"/>
      <w:vertAlign w:val="superscript"/>
      <w:lang w:eastAsia="es-SV"/>
    </w:rPr>
  </w:style>
  <w:style w:type="paragraph" w:customStyle="1" w:styleId="Default">
    <w:name w:val="Default"/>
    <w:rsid w:val="00FB01FB"/>
    <w:pPr>
      <w:autoSpaceDE w:val="0"/>
      <w:autoSpaceDN w:val="0"/>
      <w:adjustRightInd w:val="0"/>
    </w:pPr>
    <w:rPr>
      <w:rFonts w:ascii="Verdana" w:hAnsi="Verdana" w:cs="Verdana"/>
      <w:color w:val="000000"/>
      <w:sz w:val="24"/>
      <w:szCs w:val="24"/>
      <w:lang w:val="es-SV"/>
    </w:rPr>
  </w:style>
  <w:style w:type="paragraph" w:styleId="Header">
    <w:name w:val="header"/>
    <w:basedOn w:val="Normal"/>
    <w:link w:val="HeaderChar"/>
    <w:uiPriority w:val="99"/>
    <w:unhideWhenUsed/>
    <w:rsid w:val="00DF35F9"/>
    <w:pPr>
      <w:tabs>
        <w:tab w:val="center" w:pos="4680"/>
        <w:tab w:val="right" w:pos="9360"/>
      </w:tabs>
    </w:pPr>
  </w:style>
  <w:style w:type="character" w:customStyle="1" w:styleId="HeaderChar">
    <w:name w:val="Header Char"/>
    <w:link w:val="Header"/>
    <w:uiPriority w:val="99"/>
    <w:rsid w:val="00DF35F9"/>
    <w:rPr>
      <w:sz w:val="22"/>
      <w:szCs w:val="22"/>
      <w:lang w:val="es-SV"/>
    </w:rPr>
  </w:style>
  <w:style w:type="paragraph" w:styleId="Footer">
    <w:name w:val="footer"/>
    <w:basedOn w:val="Normal"/>
    <w:link w:val="FooterChar"/>
    <w:uiPriority w:val="99"/>
    <w:unhideWhenUsed/>
    <w:rsid w:val="00DF35F9"/>
    <w:pPr>
      <w:tabs>
        <w:tab w:val="center" w:pos="4680"/>
        <w:tab w:val="right" w:pos="9360"/>
      </w:tabs>
    </w:pPr>
  </w:style>
  <w:style w:type="character" w:customStyle="1" w:styleId="FooterChar">
    <w:name w:val="Footer Char"/>
    <w:link w:val="Footer"/>
    <w:uiPriority w:val="99"/>
    <w:rsid w:val="00DF35F9"/>
    <w:rPr>
      <w:sz w:val="22"/>
      <w:szCs w:val="22"/>
      <w:lang w:val="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7822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_rels/footnotes.xml.rels><?xml version="1.0" encoding="UTF-8" standalone="yes"?>
<Relationships xmlns="http://schemas.openxmlformats.org/package/2006/relationships"><Relationship Id="rId1" Type="http://schemas.openxmlformats.org/officeDocument/2006/relationships/hyperlink" Target="https://www1.undp.org/content/undp/es/home/news-centre/news/2021/pris-au-piege---fortes-inegalites-et-faible-croissance-en-ameriq.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7A17AAF-10FD-44B1-BED6-62028C21D29F}">
  <ds:schemaRefs>
    <ds:schemaRef ds:uri="http://schemas.openxmlformats.org/officeDocument/2006/bibliography"/>
  </ds:schemaRefs>
</ds:datastoreItem>
</file>

<file path=customXml/itemProps2.xml><?xml version="1.0" encoding="utf-8"?>
<ds:datastoreItem xmlns:ds="http://schemas.openxmlformats.org/officeDocument/2006/customXml" ds:itemID="{0D56FB1F-59F6-49A8-8A23-D126EFFB47D1}"/>
</file>

<file path=customXml/itemProps3.xml><?xml version="1.0" encoding="utf-8"?>
<ds:datastoreItem xmlns:ds="http://schemas.openxmlformats.org/officeDocument/2006/customXml" ds:itemID="{6ADD1492-45EF-4E87-8D2F-B1B2BE125FAB}"/>
</file>

<file path=customXml/itemProps4.xml><?xml version="1.0" encoding="utf-8"?>
<ds:datastoreItem xmlns:ds="http://schemas.openxmlformats.org/officeDocument/2006/customXml" ds:itemID="{797A7DA1-A760-41C3-AFD5-91F31C56BF31}"/>
</file>

<file path=docProps/app.xml><?xml version="1.0" encoding="utf-8"?>
<Properties xmlns="http://schemas.openxmlformats.org/officeDocument/2006/extended-properties" xmlns:vt="http://schemas.openxmlformats.org/officeDocument/2006/docPropsVTypes">
  <Template>Normal.dotm</Template>
  <TotalTime>1</TotalTime>
  <Pages>3</Pages>
  <Words>1699</Words>
  <Characters>9687</Characters>
  <Application>Microsoft Office Word</Application>
  <DocSecurity>4</DocSecurity>
  <Lines>80</Lines>
  <Paragraphs>22</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Hewlett-Packard Company</Company>
  <LinksUpToDate>false</LinksUpToDate>
  <CharactersWithSpaces>11364</CharactersWithSpaces>
  <SharedDoc>false</SharedDoc>
  <HLinks>
    <vt:vector size="6" baseType="variant">
      <vt:variant>
        <vt:i4>3080289</vt:i4>
      </vt:variant>
      <vt:variant>
        <vt:i4>0</vt:i4>
      </vt:variant>
      <vt:variant>
        <vt:i4>0</vt:i4>
      </vt:variant>
      <vt:variant>
        <vt:i4>5</vt:i4>
      </vt:variant>
      <vt:variant>
        <vt:lpwstr>https://www1.undp.org/content/undp/es/home/news-centre/news/2021/pris-au-piege---fortes-inegalites-et-faible-croissance-en-ameriq.html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heidybrizuela</dc:creator>
  <cp:keywords/>
  <cp:lastModifiedBy>Richard Lapper</cp:lastModifiedBy>
  <cp:revision>2</cp:revision>
  <dcterms:created xsi:type="dcterms:W3CDTF">2021-09-03T10:23:00Z</dcterms:created>
  <dcterms:modified xsi:type="dcterms:W3CDTF">2021-09-03T10:23:00Z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